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E87E4" w14:textId="77777777" w:rsidR="00AF1A9D" w:rsidRDefault="00AF1A9D">
      <w:pPr>
        <w:spacing w:after="100"/>
        <w:jc w:val="center"/>
        <w:rPr>
          <w:b/>
          <w:bCs/>
          <w:sz w:val="32"/>
          <w:szCs w:val="32"/>
        </w:rPr>
      </w:pPr>
    </w:p>
    <w:p w14:paraId="07EB9232" w14:textId="5702FADB" w:rsidR="007F6D9A" w:rsidRDefault="00AF1A9D">
      <w:pPr>
        <w:spacing w:after="100"/>
        <w:jc w:val="center"/>
        <w:rPr>
          <w:b/>
          <w:bCs/>
          <w:sz w:val="32"/>
          <w:szCs w:val="32"/>
        </w:rPr>
      </w:pPr>
      <w:r>
        <w:rPr>
          <w:b/>
          <w:bCs/>
          <w:sz w:val="32"/>
          <w:szCs w:val="32"/>
        </w:rPr>
        <w:t>Modelagem preditiva da produtividade da safra de soja com uso de aprendizado de máquina e dados agrometeorológicos</w:t>
      </w:r>
    </w:p>
    <w:p w14:paraId="615D6545" w14:textId="77777777" w:rsidR="00AF1A9D" w:rsidRDefault="00AF1A9D">
      <w:pPr>
        <w:spacing w:after="100"/>
        <w:jc w:val="center"/>
        <w:rPr>
          <w:b/>
          <w:bCs/>
          <w:sz w:val="24"/>
          <w:szCs w:val="24"/>
        </w:rPr>
      </w:pPr>
    </w:p>
    <w:p>
      <w:pPr>
        <w:spacing w:after="40"/>
        <w:jc w:val="center"/>
      </w:pPr>
      <w:r>
        <w:rPr>
          <w:i/>
          <w:iCs/>
          <w:sz w:val="22"/>
          <w:szCs w:val="22"/>
        </w:rPr>
        <w:t xml:space="preserve">Nome do Integrante 1, Nome do Integrante 2, Nome do Integrante 3</w:t>
      </w:r>
    </w:p>
    <w:p w14:paraId="07432228" w14:textId="77777777" w:rsidR="00137179" w:rsidRDefault="00000000">
      <w:pPr>
        <w:spacing w:after="200"/>
        <w:jc w:val="center"/>
      </w:pPr>
    </w:p>
    <w:p w14:paraId="1374FD09" w14:textId="77777777" w:rsidR="007F6D9A" w:rsidRDefault="007F6D9A">
      <w:pPr>
        <w:spacing w:after="40"/>
        <w:jc w:val="center"/>
        <w:rPr>
          <w:i/>
          <w:iCs/>
          <w:sz w:val="22"/>
          <w:szCs w:val="22"/>
        </w:rPr>
      </w:pPr>
    </w:p>
    <w:p w14:paraId="6F8F7C75" w14:textId="77777777" w:rsidR="007F6D9A" w:rsidRDefault="007F6D9A">
      <w:pPr>
        <w:spacing w:after="40"/>
        <w:jc w:val="center"/>
        <w:rPr>
          <w:i/>
          <w:iCs/>
          <w:sz w:val="22"/>
          <w:szCs w:val="22"/>
        </w:rPr>
      </w:pPr>
    </w:p>
    <w:p w14:paraId="35821274" w14:textId="0A1C0243" w:rsidR="00137179" w:rsidRDefault="00000000">
      <w:pPr>
        <w:spacing w:after="40"/>
        <w:jc w:val="center"/>
      </w:pPr>
      <w:r>
        <w:rPr>
          <w:i/>
          <w:iCs/>
          <w:sz w:val="22"/>
          <w:szCs w:val="22"/>
        </w:rPr>
        <w:t xml:space="preserve">Faculdade de Computação e Informática (FCI)</w:t>
      </w:r>
    </w:p>
    <w:p w14:paraId="5A0AAF46" w14:textId="77777777" w:rsidR="00137179" w:rsidRDefault="00000000">
      <w:pPr>
        <w:spacing w:after="200"/>
        <w:jc w:val="center"/>
      </w:pPr>
      <w:r>
        <w:rPr>
          <w:i/>
          <w:iCs/>
          <w:sz w:val="22"/>
          <w:szCs w:val="22"/>
        </w:rPr>
        <w:t>Universidade Presbiteriana Mackenzie – São Paulo, SP – Brasil</w:t>
      </w:r>
    </w:p>
    <w:p w14:paraId="3D4A61BA" w14:textId="77777777" w:rsidR="00137179" w:rsidRDefault="00000000">
      <w:pPr>
        <w:spacing w:after="300"/>
        <w:jc w:val="center"/>
      </w:pPr>
      <w:r>
        <w:rPr>
          <w:sz w:val="22"/>
          <w:szCs w:val="22"/>
        </w:rPr>
        <w:t xml:space="preserve">integrante1@mackenzie.br, integrante2@mackenzie.br, integrante3@mackenzie.br</w:t>
      </w:r>
    </w:p>
    <w:p w14:paraId="753F4951" w14:textId="77777777" w:rsidR="007F6D9A" w:rsidRDefault="007F6D9A">
      <w:pPr>
        <w:spacing w:after="160"/>
        <w:jc w:val="center"/>
        <w:rPr>
          <w:b/>
          <w:bCs/>
          <w:sz w:val="26"/>
          <w:szCs w:val="26"/>
        </w:rPr>
      </w:pPr>
    </w:p>
    <w:p w14:paraId="6B2DEFC1" w14:textId="77777777" w:rsidR="007F6D9A" w:rsidRDefault="007F6D9A">
      <w:pPr>
        <w:spacing w:after="160"/>
        <w:jc w:val="center"/>
        <w:rPr>
          <w:b/>
          <w:bCs/>
          <w:sz w:val="26"/>
          <w:szCs w:val="26"/>
        </w:rPr>
      </w:pPr>
    </w:p>
    <w:p>
      <w:pPr>
        <w:keepNext/>
      </w:pPr>
      <w:bookmarkStart w:id="0" w:name="_Toc244263378"/>
      <w:r>
        <w:rPr>
          <w:b/>
          <w:bCs/>
          <w:sz w:val="28"/>
          <w:szCs w:val="28"/>
        </w:rPr>
        <w:t>Resumo executivo</w:t>
      </w:r>
      <w:bookmarkEnd w:id="0"/>
    </w:p>
    <w:p>
      <w:pPr>
        <w:spacing w:after="200" w:line="276" w:lineRule="auto"/>
        <w:ind w:firstLine="720"/>
        <w:jc w:val="both"/>
      </w:pPr>
      <w:r>
        <w:rPr>
          <w:sz w:val="24"/>
          <w:szCs w:val="24"/>
        </w:rPr>
        <w:t xml:space="preserve">Este relatório apresenta as seis etapas de modelagem com aprendizado de máquina desenvolvidas para prever o rendimento médio da soja (kg/ha) nos municípios do Rio Grande do Sul, a previsão da </w:t>
      </w:r>
      <w:r>
        <w:rPr>
          <w:b/>
          <w:bCs/>
          <w:sz w:val="24"/>
          <w:szCs w:val="24"/>
        </w:rPr>
        <w:t>safra 2026</w:t>
      </w:r>
      <w:r>
        <w:rPr>
          <w:sz w:val="24"/>
          <w:szCs w:val="24"/>
        </w:rPr>
        <w:t xml:space="preserve"> e a perspectiva da </w:t>
      </w:r>
      <w:r>
        <w:rPr>
          <w:b/>
          <w:bCs/>
          <w:sz w:val="24"/>
          <w:szCs w:val="24"/>
        </w:rPr>
        <w:t>safra 2027</w:t>
      </w:r>
      <w:r>
        <w:rPr>
          <w:sz w:val="24"/>
          <w:szCs w:val="24"/>
        </w:rPr>
        <w:t>. Cada previsão é emitida em 31 de março do ano da colheita, cerca de um mês antes do fim da colheita, e usa apenas dados já publicados nessa data. Neste relatório, a safra Y é a colhida no ano Y (a safra 2026 corresponde ao ciclo 2025/26).</w:t>
      </w:r>
    </w:p>
    <w:p>
      <w:pPr>
        <w:keepNext/>
        <w:spacing w:before="120" w:after="300"/>
        <w:jc w:val="center"/>
      </w:pPr>
      <w:r>
        <w:rPr>
          <w:i/>
          <w:iCs/>
          <w:sz w:val="22"/>
          <w:szCs w:val="22"/>
        </w:rPr>
        <w:t xml:space="preserve">Tabela 1 – Principais resultados. Fonte: elaboração própria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379"/>
        <w:gridCol w:w="6121"/>
      </w:tblGrid>
      <w:tr>
        <w:trPr>
          <w:cantSplit/>
          <w:tblHeader/>
        </w:trPr>
        <w:tc>
          <w:tcPr>
            <w:tcW w:w="2379" w:type="dxa"/>
            <w:shd w:val="clear" w:color="auto" w:fill="D9D9D9"/>
            <w:tcMar>
              <w:top w:w="80" w:type="dxa"/>
              <w:left w:w="100" w:type="dxa"/>
              <w:bottom w:w="80" w:type="dxa"/>
              <w:right w:w="100" w:type="dxa"/>
            </w:tcMar>
          </w:tcPr>
          <w:p>
            <w:pPr>
              <w:keepNext/>
              <w:jc w:val="center"/>
            </w:pPr>
            <w:r>
              <w:rPr>
                <w:b/>
                <w:bCs/>
                <w:sz w:val="22"/>
                <w:szCs w:val="22"/>
              </w:rPr>
              <w:t>Item</w:t>
            </w:r>
          </w:p>
        </w:tc>
        <w:tc>
          <w:tcPr>
            <w:tcW w:w="6121" w:type="dxa"/>
            <w:shd w:val="clear" w:color="auto" w:fill="D9D9D9"/>
            <w:tcMar>
              <w:top w:w="80" w:type="dxa"/>
              <w:left w:w="100" w:type="dxa"/>
              <w:bottom w:w="80" w:type="dxa"/>
              <w:right w:w="100" w:type="dxa"/>
            </w:tcMar>
          </w:tcPr>
          <w:p>
            <w:pPr>
              <w:keepNext/>
              <w:jc w:val="center"/>
            </w:pPr>
            <w:r>
              <w:rPr>
                <w:b/>
                <w:bCs/>
                <w:sz w:val="22"/>
                <w:szCs w:val="22"/>
              </w:rPr>
              <w:t>Resultado</w:t>
            </w:r>
          </w:p>
        </w:tc>
      </w:tr>
      <w:tr>
        <w:trPr>
          <w:cantSplit/>
        </w:trPr>
        <w:tc>
          <w:tcPr>
            <w:tcW w:w="2379" w:type="dxa"/>
            <w:tcMar>
              <w:top w:w="80" w:type="dxa"/>
              <w:left w:w="100" w:type="dxa"/>
              <w:bottom w:w="80" w:type="dxa"/>
              <w:right w:w="100" w:type="dxa"/>
            </w:tcMar>
          </w:tcPr>
          <w:p>
            <w:pPr>
              <w:keepNext/>
            </w:pPr>
            <w:r>
              <w:rPr>
                <w:sz w:val="22"/>
                <w:szCs w:val="22"/>
              </w:rPr>
              <w:t>Modelo final</w:t>
            </w:r>
          </w:p>
        </w:tc>
        <w:tc>
          <w:tcPr>
            <w:tcW w:w="6121" w:type="dxa"/>
            <w:tcMar>
              <w:top w:w="80" w:type="dxa"/>
              <w:left w:w="100" w:type="dxa"/>
              <w:bottom w:w="80" w:type="dxa"/>
              <w:right w:w="100" w:type="dxa"/>
            </w:tcMar>
          </w:tcPr>
          <w:p>
            <w:pPr>
              <w:keepNext/>
            </w:pPr>
            <w:r>
              <w:rPr>
                <w:sz w:val="22"/>
                <w:szCs w:val="22"/>
              </w:rPr>
              <w:t>FL: regressão linear que soma ao patamar do município (média das cinco últimas safras publicadas) um desvio explicado pelo clima de outubro a março, com um termo de seca extrema</w:t>
            </w:r>
          </w:p>
        </w:tc>
      </w:tr>
      <w:tr>
        <w:trPr>
          <w:cantSplit/>
        </w:trPr>
        <w:tc>
          <w:tcPr>
            <w:tcW w:w="2379" w:type="dxa"/>
            <w:tcMar>
              <w:top w:w="80" w:type="dxa"/>
              <w:left w:w="100" w:type="dxa"/>
              <w:bottom w:w="80" w:type="dxa"/>
              <w:right w:w="100" w:type="dxa"/>
            </w:tcMar>
          </w:tcPr>
          <w:p>
            <w:pPr>
              <w:keepNext/>
            </w:pPr>
            <w:r>
              <w:rPr>
                <w:sz w:val="22"/>
                <w:szCs w:val="22"/>
              </w:rPr>
              <w:t>Precisão – uma safra de fora</w:t>
            </w:r>
          </w:p>
        </w:tc>
        <w:tc>
          <w:tcPr>
            <w:tcW w:w="6121" w:type="dxa"/>
            <w:tcMar>
              <w:top w:w="80" w:type="dxa"/>
              <w:left w:w="100" w:type="dxa"/>
              <w:bottom w:w="80" w:type="dxa"/>
              <w:right w:w="100" w:type="dxa"/>
            </w:tcMar>
          </w:tcPr>
          <w:p>
            <w:pPr>
              <w:keepNext/>
            </w:pPr>
            <w:r>
              <w:rPr>
                <w:sz w:val="22"/>
                <w:szCs w:val="22"/>
              </w:rPr>
              <w:t>RMSE de 626 kg/ha (R² 0,40); erro médio de 19% por município e de 244 kg/ha na média estadual; erro 31% menor que o da média histórica do município; acurácia de ≈81% (100% menos o erro relativo)</w:t>
            </w:r>
          </w:p>
        </w:tc>
      </w:tr>
      <w:tr>
        <w:trPr>
          <w:cantSplit/>
        </w:trPr>
        <w:tc>
          <w:tcPr>
            <w:tcW w:w="2379" w:type="dxa"/>
            <w:tcMar>
              <w:top w:w="80" w:type="dxa"/>
              <w:left w:w="100" w:type="dxa"/>
              <w:bottom w:w="80" w:type="dxa"/>
              <w:right w:w="100" w:type="dxa"/>
            </w:tcMar>
          </w:tcPr>
          <w:p>
            <w:pPr>
              <w:keepNext/>
            </w:pPr>
            <w:r>
              <w:rPr>
                <w:sz w:val="22"/>
                <w:szCs w:val="22"/>
              </w:rPr>
              <w:t>Precisão – teste 2021–2025</w:t>
            </w:r>
          </w:p>
        </w:tc>
        <w:tc>
          <w:tcPr>
            <w:tcW w:w="6121" w:type="dxa"/>
            <w:tcMar>
              <w:top w:w="80" w:type="dxa"/>
              <w:left w:w="100" w:type="dxa"/>
              <w:bottom w:w="80" w:type="dxa"/>
              <w:right w:w="100" w:type="dxa"/>
            </w:tcMar>
          </w:tcPr>
          <w:p>
            <w:pPr>
              <w:keepNext/>
            </w:pPr>
            <w:r>
              <w:rPr>
                <w:sz w:val="22"/>
                <w:szCs w:val="22"/>
              </w:rPr>
              <w:t>RMSE de 772 kg/ha (R² 0,28), 11% menor que o da média histórica, num período com secas fortes em 2022, 2023 e 2025</w:t>
            </w:r>
          </w:p>
        </w:tc>
      </w:tr>
      <w:tr>
        <w:trPr>
          <w:cantSplit/>
        </w:trPr>
        <w:tc>
          <w:tcPr>
            <w:tcW w:w="2379" w:type="dxa"/>
            <w:tcMar>
              <w:top w:w="80" w:type="dxa"/>
              <w:left w:w="100" w:type="dxa"/>
              <w:bottom w:w="80" w:type="dxa"/>
              <w:right w:w="100" w:type="dxa"/>
            </w:tcMar>
          </w:tcPr>
          <w:p>
            <w:pPr>
              <w:keepNext/>
            </w:pPr>
            <w:r>
              <w:rPr>
                <w:sz w:val="22"/>
                <w:szCs w:val="22"/>
              </w:rPr>
              <w:t>Safra 2026 – previsão</w:t>
            </w:r>
          </w:p>
        </w:tc>
        <w:tc>
          <w:tcPr>
            <w:tcW w:w="6121" w:type="dxa"/>
            <w:tcMar>
              <w:top w:w="80" w:type="dxa"/>
              <w:left w:w="100" w:type="dxa"/>
              <w:bottom w:w="80" w:type="dxa"/>
              <w:right w:w="100" w:type="dxa"/>
            </w:tcMar>
          </w:tcPr>
          <w:p>
            <w:pPr>
              <w:keepNext/>
            </w:pPr>
            <w:r>
              <w:rPr>
                <w:sz w:val="22"/>
                <w:szCs w:val="22"/>
              </w:rPr>
              <w:t>2.097 kg/ha (intervalo de 80%: 1.685 a 2.430 kg/ha), emitida com o clima até março de 2026</w:t>
            </w:r>
          </w:p>
        </w:tc>
      </w:tr>
      <w:tr>
        <w:trPr>
          <w:cantSplit/>
        </w:trPr>
        <w:tc>
          <w:tcPr>
            <w:tcW w:w="2379" w:type="dxa"/>
            <w:tcMar>
              <w:top w:w="80" w:type="dxa"/>
              <w:left w:w="100" w:type="dxa"/>
              <w:bottom w:w="80" w:type="dxa"/>
              <w:right w:w="100" w:type="dxa"/>
            </w:tcMar>
          </w:tcPr>
          <w:p>
            <w:pPr>
              <w:keepNext/>
            </w:pPr>
            <w:r>
              <w:rPr>
                <w:sz w:val="22"/>
                <w:szCs w:val="22"/>
              </w:rPr>
              <w:t>Safra 2026 – referência do IBGE</w:t>
            </w:r>
          </w:p>
        </w:tc>
        <w:tc>
          <w:tcPr>
            <w:tcW w:w="6121" w:type="dxa"/>
            <w:tcMar>
              <w:top w:w="80" w:type="dxa"/>
              <w:left w:w="100" w:type="dxa"/>
              <w:bottom w:w="80" w:type="dxa"/>
              <w:right w:w="100" w:type="dxa"/>
            </w:tcMar>
          </w:tcPr>
          <w:p>
            <w:pPr>
              <w:keepNext/>
            </w:pPr>
            <w:r>
              <w:rPr>
                <w:sz w:val="22"/>
                <w:szCs w:val="22"/>
              </w:rPr>
              <w:t>LSPA de setembro de 2026: 2.734 kg/ha. O modelo subestimou a safra em cerca de 23%. O resultado oficial (PAM) sai em setembro de 2027</w:t>
            </w:r>
          </w:p>
        </w:tc>
      </w:tr>
      <w:tr>
        <w:trPr>
          <w:cantSplit/>
        </w:trPr>
        <w:tc>
          <w:tcPr>
            <w:tcW w:w="2379" w:type="dxa"/>
            <w:tcMar>
              <w:top w:w="80" w:type="dxa"/>
              <w:left w:w="100" w:type="dxa"/>
              <w:bottom w:w="80" w:type="dxa"/>
              <w:right w:w="100" w:type="dxa"/>
            </w:tcMar>
          </w:tcPr>
          <w:p>
            <w:pPr>
              <w:keepNext/>
            </w:pPr>
            <w:r>
              <w:rPr>
                <w:sz w:val="22"/>
                <w:szCs w:val="22"/>
              </w:rPr>
              <w:t>Safra 2027 – perspectiva</w:t>
            </w:r>
          </w:p>
        </w:tc>
        <w:tc>
          <w:tcPr>
            <w:tcW w:w="6121" w:type="dxa"/>
            <w:tcMar>
              <w:top w:w="80" w:type="dxa"/>
              <w:left w:w="100" w:type="dxa"/>
              <w:bottom w:w="80" w:type="dxa"/>
              <w:right w:w="100" w:type="dxa"/>
            </w:tcMar>
          </w:tcPr>
          <w:p>
            <w:pPr>
              <w:keepNext/>
            </w:pPr>
            <w:r>
              <w:rPr>
                <w:sz w:val="22"/>
                <w:szCs w:val="22"/>
              </w:rPr>
              <w:t xml:space="preserve">Patamar de 2.300 kg/ha. Sob El Niño, fase esperada para o verão 2026/27, mediana de </w:t>
            </w:r>
            <w:r>
              <w:rPr>
                <w:sz w:val="22"/>
                <w:szCs w:val="22"/>
              </w:rPr>
              <w:t>2.831 kg/ha (percentis 10 e 90: 2.218 e 3.066); com todos os cenários, 2.522 kg/ha</w:t>
            </w:r>
          </w:p>
        </w:tc>
      </w:tr>
      <w:tr>
        <w:trPr>
          <w:cantSplit/>
        </w:trPr>
        <w:tc>
          <w:tcPr>
            <w:tcW w:w="2379" w:type="dxa"/>
            <w:tcMar>
              <w:top w:w="80" w:type="dxa"/>
              <w:left w:w="100" w:type="dxa"/>
              <w:bottom w:w="80" w:type="dxa"/>
              <w:right w:w="100" w:type="dxa"/>
            </w:tcMar>
          </w:tcPr>
          <w:p>
            <w:pPr>
              <w:keepNext/>
            </w:pPr>
            <w:r>
              <w:rPr>
                <w:sz w:val="22"/>
                <w:szCs w:val="22"/>
              </w:rPr>
              <w:t>Safra 2027 – previsão</w:t>
            </w:r>
          </w:p>
        </w:tc>
        <w:tc>
          <w:tcPr>
            <w:tcW w:w="6121" w:type="dxa"/>
            <w:tcMar>
              <w:top w:w="80" w:type="dxa"/>
              <w:left w:w="100" w:type="dxa"/>
              <w:bottom w:w="80" w:type="dxa"/>
              <w:right w:w="100" w:type="dxa"/>
            </w:tcMar>
          </w:tcPr>
          <w:p>
            <w:pPr>
              <w:keepNext/>
            </w:pPr>
            <w:r>
              <w:rPr>
                <w:sz w:val="22"/>
                <w:szCs w:val="22"/>
              </w:rPr>
              <w:t>Será emitida em 31 de março de 2027, com o clima observado de outubro de 2026 a março de 2027</w:t>
            </w:r>
          </w:p>
        </w:tc>
      </w:tr>
    </w:tbl>
    <w:p>
      <w:pPr>
        <w:spacing w:after="200" w:line="276" w:lineRule="auto"/>
        <w:ind w:firstLine="720"/>
        <w:jc w:val="both"/>
      </w:pPr>
      <w:r>
        <w:rPr>
          <w:sz w:val="24"/>
          <w:szCs w:val="24"/>
        </w:rPr>
        <w:t>Os resultados mostram que a forma de representar o clima e o patamar de produtividade pesou mais do que a escolha do algoritmo: a regressão linear superou Random Forest e Gradient Boosting em todas as etapas. A Tabela 2 resume o calendário de cada safra.</w:t>
      </w:r>
    </w:p>
    <w:p>
      <w:pPr>
        <w:keepNext/>
        <w:spacing w:before="120" w:after="300"/>
        <w:jc w:val="center"/>
      </w:pPr>
      <w:r>
        <w:rPr>
          <w:i/>
          <w:iCs/>
          <w:sz w:val="22"/>
          <w:szCs w:val="22"/>
        </w:rPr>
        <w:t xml:space="preserve">Tabela 2 – Calendário da previsão e da divulgação oficial de cada safra. Fonte: elaboração própria a partir do calendário de divulgação do IBGE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934"/>
        <w:gridCol w:w="1274"/>
        <w:gridCol w:w="1700"/>
        <w:gridCol w:w="1274"/>
        <w:gridCol w:w="1700"/>
        <w:gridCol w:w="1618"/>
      </w:tblGrid>
      <w:tr>
        <w:trPr>
          <w:cantSplit/>
          <w:tblHeader/>
        </w:trPr>
        <w:tc>
          <w:tcPr>
            <w:tcW w:w="934" w:type="dxa"/>
            <w:shd w:val="clear" w:color="auto" w:fill="D9D9D9"/>
            <w:tcMar>
              <w:top w:w="80" w:type="dxa"/>
              <w:left w:w="100" w:type="dxa"/>
              <w:bottom w:w="80" w:type="dxa"/>
              <w:right w:w="100" w:type="dxa"/>
            </w:tcMar>
          </w:tcPr>
          <w:p>
            <w:pPr>
              <w:keepNext/>
              <w:jc w:val="center"/>
            </w:pPr>
            <w:r>
              <w:rPr>
                <w:b/>
                <w:bCs/>
                <w:sz w:val="22"/>
                <w:szCs w:val="22"/>
              </w:rPr>
              <w:t>Safra</w:t>
            </w:r>
          </w:p>
        </w:tc>
        <w:tc>
          <w:tcPr>
            <w:tcW w:w="1274" w:type="dxa"/>
            <w:shd w:val="clear" w:color="auto" w:fill="D9D9D9"/>
            <w:tcMar>
              <w:top w:w="80" w:type="dxa"/>
              <w:left w:w="100" w:type="dxa"/>
              <w:bottom w:w="80" w:type="dxa"/>
              <w:right w:w="100" w:type="dxa"/>
            </w:tcMar>
          </w:tcPr>
          <w:p>
            <w:pPr>
              <w:keepNext/>
              <w:jc w:val="center"/>
            </w:pPr>
            <w:r>
              <w:rPr>
                <w:b/>
                <w:bCs/>
                <w:sz w:val="22"/>
                <w:szCs w:val="22"/>
              </w:rPr>
              <w:t>Plantio</w:t>
            </w:r>
          </w:p>
        </w:tc>
        <w:tc>
          <w:tcPr>
            <w:tcW w:w="1700" w:type="dxa"/>
            <w:shd w:val="clear" w:color="auto" w:fill="D9D9D9"/>
            <w:tcMar>
              <w:top w:w="80" w:type="dxa"/>
              <w:left w:w="100" w:type="dxa"/>
              <w:bottom w:w="80" w:type="dxa"/>
              <w:right w:w="100" w:type="dxa"/>
            </w:tcMar>
          </w:tcPr>
          <w:p>
            <w:pPr>
              <w:keepNext/>
              <w:jc w:val="center"/>
            </w:pPr>
            <w:r>
              <w:rPr>
                <w:b/>
                <w:bCs/>
                <w:sz w:val="22"/>
                <w:szCs w:val="22"/>
              </w:rPr>
              <w:t>Previsão do modelo</w:t>
            </w:r>
          </w:p>
        </w:tc>
        <w:tc>
          <w:tcPr>
            <w:tcW w:w="1274" w:type="dxa"/>
            <w:shd w:val="clear" w:color="auto" w:fill="D9D9D9"/>
            <w:tcMar>
              <w:top w:w="80" w:type="dxa"/>
              <w:left w:w="100" w:type="dxa"/>
              <w:bottom w:w="80" w:type="dxa"/>
              <w:right w:w="100" w:type="dxa"/>
            </w:tcMar>
          </w:tcPr>
          <w:p>
            <w:pPr>
              <w:keepNext/>
              <w:jc w:val="center"/>
            </w:pPr>
            <w:r>
              <w:rPr>
                <w:b/>
                <w:bCs/>
                <w:sz w:val="22"/>
                <w:szCs w:val="22"/>
              </w:rPr>
              <w:t>Patamar usado</w:t>
            </w:r>
          </w:p>
        </w:tc>
        <w:tc>
          <w:tcPr>
            <w:tcW w:w="1700" w:type="dxa"/>
            <w:shd w:val="clear" w:color="auto" w:fill="D9D9D9"/>
            <w:tcMar>
              <w:top w:w="80" w:type="dxa"/>
              <w:left w:w="100" w:type="dxa"/>
              <w:bottom w:w="80" w:type="dxa"/>
              <w:right w:w="100" w:type="dxa"/>
            </w:tcMar>
          </w:tcPr>
          <w:p>
            <w:pPr>
              <w:keepNext/>
              <w:jc w:val="center"/>
            </w:pPr>
            <w:r>
              <w:rPr>
                <w:b/>
                <w:bCs/>
                <w:sz w:val="22"/>
                <w:szCs w:val="22"/>
              </w:rPr>
              <w:t>Estimativa do IBGE (LSPA)</w:t>
            </w:r>
          </w:p>
        </w:tc>
        <w:tc>
          <w:tcPr>
            <w:tcW w:w="1618" w:type="dxa"/>
            <w:shd w:val="clear" w:color="auto" w:fill="D9D9D9"/>
            <w:tcMar>
              <w:top w:w="80" w:type="dxa"/>
              <w:left w:w="100" w:type="dxa"/>
              <w:bottom w:w="80" w:type="dxa"/>
              <w:right w:w="100" w:type="dxa"/>
            </w:tcMar>
          </w:tcPr>
          <w:p>
            <w:pPr>
              <w:keepNext/>
              <w:jc w:val="center"/>
            </w:pPr>
            <w:r>
              <w:rPr>
                <w:b/>
                <w:bCs/>
                <w:sz w:val="22"/>
                <w:szCs w:val="22"/>
              </w:rPr>
              <w:t>Resultado oficial (PAM)</w:t>
            </w:r>
          </w:p>
        </w:tc>
      </w:tr>
      <w:tr>
        <w:trPr>
          <w:cantSplit/>
        </w:trPr>
        <w:tc>
          <w:tcPr>
            <w:tcW w:w="934" w:type="dxa"/>
            <w:tcMar>
              <w:top w:w="80" w:type="dxa"/>
              <w:left w:w="100" w:type="dxa"/>
              <w:bottom w:w="80" w:type="dxa"/>
              <w:right w:w="100" w:type="dxa"/>
            </w:tcMar>
          </w:tcPr>
          <w:p>
            <w:pPr>
              <w:keepNext/>
            </w:pPr>
            <w:r>
              <w:rPr>
                <w:sz w:val="22"/>
                <w:szCs w:val="22"/>
              </w:rPr>
              <w:t>2026</w:t>
            </w:r>
          </w:p>
        </w:tc>
        <w:tc>
          <w:tcPr>
            <w:tcW w:w="1274" w:type="dxa"/>
            <w:tcMar>
              <w:top w:w="80" w:type="dxa"/>
              <w:left w:w="100" w:type="dxa"/>
              <w:bottom w:w="80" w:type="dxa"/>
              <w:right w:w="100" w:type="dxa"/>
            </w:tcMar>
          </w:tcPr>
          <w:p>
            <w:pPr>
              <w:keepNext/>
            </w:pPr>
            <w:r>
              <w:rPr>
                <w:sz w:val="22"/>
                <w:szCs w:val="22"/>
              </w:rPr>
              <w:t>out–dez/2025</w:t>
            </w:r>
          </w:p>
        </w:tc>
        <w:tc>
          <w:tcPr>
            <w:tcW w:w="1700" w:type="dxa"/>
            <w:tcMar>
              <w:top w:w="80" w:type="dxa"/>
              <w:left w:w="100" w:type="dxa"/>
              <w:bottom w:w="80" w:type="dxa"/>
              <w:right w:w="100" w:type="dxa"/>
            </w:tcMar>
          </w:tcPr>
          <w:p>
            <w:pPr>
              <w:keepNext/>
            </w:pPr>
            <w:r>
              <w:rPr>
                <w:sz w:val="22"/>
                <w:szCs w:val="22"/>
              </w:rPr>
              <w:t>31/03/2026</w:t>
            </w:r>
          </w:p>
        </w:tc>
        <w:tc>
          <w:tcPr>
            <w:tcW w:w="1274" w:type="dxa"/>
            <w:tcMar>
              <w:top w:w="80" w:type="dxa"/>
              <w:left w:w="100" w:type="dxa"/>
              <w:bottom w:w="80" w:type="dxa"/>
              <w:right w:w="100" w:type="dxa"/>
            </w:tcMar>
          </w:tcPr>
          <w:p>
            <w:pPr>
              <w:keepNext/>
            </w:pPr>
            <w:r>
              <w:rPr>
                <w:sz w:val="22"/>
                <w:szCs w:val="22"/>
              </w:rPr>
              <w:t>2020–2024</w:t>
            </w:r>
          </w:p>
        </w:tc>
        <w:tc>
          <w:tcPr>
            <w:tcW w:w="1700" w:type="dxa"/>
            <w:tcMar>
              <w:top w:w="80" w:type="dxa"/>
              <w:left w:w="100" w:type="dxa"/>
              <w:bottom w:w="80" w:type="dxa"/>
              <w:right w:w="100" w:type="dxa"/>
            </w:tcMar>
          </w:tcPr>
          <w:p>
            <w:pPr>
              <w:keepNext/>
            </w:pPr>
            <w:r>
              <w:rPr>
                <w:sz w:val="22"/>
                <w:szCs w:val="22"/>
              </w:rPr>
              <w:t>set/2026: 2.734 kg/ha</w:t>
            </w:r>
          </w:p>
        </w:tc>
        <w:tc>
          <w:tcPr>
            <w:tcW w:w="1618" w:type="dxa"/>
            <w:tcMar>
              <w:top w:w="80" w:type="dxa"/>
              <w:left w:w="100" w:type="dxa"/>
              <w:bottom w:w="80" w:type="dxa"/>
              <w:right w:w="100" w:type="dxa"/>
            </w:tcMar>
          </w:tcPr>
          <w:p>
            <w:pPr>
              <w:keepNext/>
            </w:pPr>
            <w:r>
              <w:rPr>
                <w:sz w:val="22"/>
                <w:szCs w:val="22"/>
              </w:rPr>
              <w:t>set/2027</w:t>
            </w:r>
          </w:p>
        </w:tc>
      </w:tr>
      <w:tr>
        <w:trPr>
          <w:cantSplit/>
        </w:trPr>
        <w:tc>
          <w:tcPr>
            <w:tcW w:w="934" w:type="dxa"/>
            <w:tcMar>
              <w:top w:w="80" w:type="dxa"/>
              <w:left w:w="100" w:type="dxa"/>
              <w:bottom w:w="80" w:type="dxa"/>
              <w:right w:w="100" w:type="dxa"/>
            </w:tcMar>
          </w:tcPr>
          <w:p>
            <w:pPr>
              <w:keepNext/>
            </w:pPr>
            <w:r>
              <w:rPr>
                <w:sz w:val="22"/>
                <w:szCs w:val="22"/>
              </w:rPr>
              <w:t>2027</w:t>
            </w:r>
          </w:p>
        </w:tc>
        <w:tc>
          <w:tcPr>
            <w:tcW w:w="1274" w:type="dxa"/>
            <w:tcMar>
              <w:top w:w="80" w:type="dxa"/>
              <w:left w:w="100" w:type="dxa"/>
              <w:bottom w:w="80" w:type="dxa"/>
              <w:right w:w="100" w:type="dxa"/>
            </w:tcMar>
          </w:tcPr>
          <w:p>
            <w:pPr>
              <w:keepNext/>
            </w:pPr>
            <w:r>
              <w:rPr>
                <w:sz w:val="22"/>
                <w:szCs w:val="22"/>
              </w:rPr>
              <w:t>out–dez/2026</w:t>
            </w:r>
          </w:p>
        </w:tc>
        <w:tc>
          <w:tcPr>
            <w:tcW w:w="1700" w:type="dxa"/>
            <w:tcMar>
              <w:top w:w="80" w:type="dxa"/>
              <w:left w:w="100" w:type="dxa"/>
              <w:bottom w:w="80" w:type="dxa"/>
              <w:right w:w="100" w:type="dxa"/>
            </w:tcMar>
          </w:tcPr>
          <w:p>
            <w:pPr>
              <w:keepNext/>
            </w:pPr>
            <w:r>
              <w:rPr>
                <w:sz w:val="22"/>
                <w:szCs w:val="22"/>
              </w:rPr>
              <w:t>perspectiva: out/2026; previsão: 31/03/2027</w:t>
            </w:r>
          </w:p>
        </w:tc>
        <w:tc>
          <w:tcPr>
            <w:tcW w:w="1274" w:type="dxa"/>
            <w:tcMar>
              <w:top w:w="80" w:type="dxa"/>
              <w:left w:w="100" w:type="dxa"/>
              <w:bottom w:w="80" w:type="dxa"/>
              <w:right w:w="100" w:type="dxa"/>
            </w:tcMar>
          </w:tcPr>
          <w:p>
            <w:pPr>
              <w:keepNext/>
            </w:pPr>
            <w:r>
              <w:rPr>
                <w:sz w:val="22"/>
                <w:szCs w:val="22"/>
              </w:rPr>
              <w:t>2021–2025</w:t>
            </w:r>
          </w:p>
        </w:tc>
        <w:tc>
          <w:tcPr>
            <w:tcW w:w="1700" w:type="dxa"/>
            <w:tcMar>
              <w:top w:w="80" w:type="dxa"/>
              <w:left w:w="100" w:type="dxa"/>
              <w:bottom w:w="80" w:type="dxa"/>
              <w:right w:w="100" w:type="dxa"/>
            </w:tcMar>
          </w:tcPr>
          <w:p>
            <w:pPr>
              <w:keepNext/>
            </w:pPr>
            <w:r>
              <w:rPr>
                <w:sz w:val="22"/>
                <w:szCs w:val="22"/>
              </w:rPr>
              <w:t>set/2027</w:t>
            </w:r>
          </w:p>
        </w:tc>
        <w:tc>
          <w:tcPr>
            <w:tcW w:w="1618" w:type="dxa"/>
            <w:tcMar>
              <w:top w:w="80" w:type="dxa"/>
              <w:left w:w="100" w:type="dxa"/>
              <w:bottom w:w="80" w:type="dxa"/>
              <w:right w:w="100" w:type="dxa"/>
            </w:tcMar>
          </w:tcPr>
          <w:p>
            <w:pPr>
              <w:keepNext/>
            </w:pPr>
            <w:r>
              <w:rPr>
                <w:sz w:val="22"/>
                <w:szCs w:val="22"/>
              </w:rPr>
              <w:t>set/2028</w:t>
            </w:r>
          </w:p>
        </w:tc>
      </w:tr>
    </w:tbl>
    <w:p>
      <w:pPr>
        <w:keepNext/>
      </w:pPr>
      <w:bookmarkStart w:id="1" w:name="_Toc244263379"/>
      <w:r>
        <w:rPr>
          <w:b/>
          <w:bCs/>
          <w:sz w:val="28"/>
          <w:szCs w:val="28"/>
        </w:rPr>
        <w:t>1. Introdução</w:t>
      </w:r>
      <w:bookmarkEnd w:id="1"/>
    </w:p>
    <w:p>
      <w:pPr>
        <w:keepNext/>
        <w:spacing w:before="280" w:after="160"/>
      </w:pPr>
      <w:bookmarkStart w:id="2" w:name="_Toc244263380"/>
      <w:r>
        <w:rPr>
          <w:b/>
          <w:bCs/>
          <w:sz w:val="24"/>
          <w:szCs w:val="24"/>
        </w:rPr>
        <w:t>1.1 Contexto</w:t>
      </w:r>
      <w:bookmarkEnd w:id="2"/>
    </w:p>
    <w:p>
      <w:pPr>
        <w:spacing w:after="200" w:line="276" w:lineRule="auto"/>
        <w:ind w:firstLine="720"/>
        <w:jc w:val="both"/>
      </w:pPr>
      <w:r>
        <w:rPr>
          <w:sz w:val="24"/>
          <w:szCs w:val="24"/>
        </w:rPr>
        <w:t>A soja é uma das principais culturas do agronegócio brasileiro, e o Rio Grande do Sul está entre os maiores produtores do país. No estado, o rendimento varia muito de uma safra para outra, sobretudo por secas de verão: o rendimento médio estadual foi de 3.343 kg/ha em 2021 e de 1.508 kg/ha em 2022, e a média dos municípios chegou a 662 kg/ha na seca de 2005. Essa variação depende da chuva, da temperatura, de veranicos e de fenômenos de grande escala como El Niño e La Niña.</w:t>
      </w:r>
    </w:p>
    <w:p>
      <w:pPr>
        <w:spacing w:after="200" w:line="276" w:lineRule="auto"/>
        <w:ind w:firstLine="720"/>
        <w:jc w:val="both"/>
      </w:pPr>
      <w:r>
        <w:rPr>
          <w:sz w:val="24"/>
          <w:szCs w:val="24"/>
        </w:rPr>
        <w:t>O resultado oficial por município, a Pesquisa Agrícola Municipal (PAM) do IBGE, só é divulgado em setembro do ano seguinte à colheita. Uma estimativa antecipada e municipal do rendimento pode apoiar o planejamento de cooperativas, produtores e órgãos públicos, sinalizando os municípios sob risco de quebra. O objetivo é um indicador regional, transparente e reprodutível, construído com dados públicos, e não a previsão de uma propriedade específica.</w:t>
      </w:r>
    </w:p>
    <w:p>
      <w:pPr>
        <w:spacing w:after="200" w:line="276" w:lineRule="auto"/>
        <w:ind w:firstLine="720"/>
        <w:jc w:val="both"/>
      </w:pPr>
      <w:r>
        <w:rPr>
          <w:sz w:val="24"/>
          <w:szCs w:val="24"/>
        </w:rPr>
        <w:t>Estudos com bases maiores indicam vantagem de modelos de árvores, como o Random Forest, sobre a regressão linear na previsão de safras [Jeong et al. 2016, van Klompenburg et al. 2020, von Bloh et al. 2023], e a literatura regional documenta o efeito negativo da La Niña sobre a soja gaúcha [Pilau et al. 2022, Nóia Júnior et al. 2020]. Este trabalho testa essa vantagem num cenário de dados limitados (5 a 8 mil pares município–safra) e com a restrição de usar apenas dados publicados na data da previsão.</w:t>
      </w:r>
    </w:p>
    <w:p>
      <w:pPr>
        <w:keepNext/>
        <w:spacing w:before="280" w:after="160"/>
      </w:pPr>
      <w:bookmarkStart w:id="3" w:name="_Toc244263381"/>
      <w:r>
        <w:rPr>
          <w:b/>
          <w:bCs/>
          <w:sz w:val="24"/>
          <w:szCs w:val="24"/>
        </w:rPr>
        <w:t>1.2 Objetivo</w:t>
      </w:r>
      <w:bookmarkEnd w:id="3"/>
    </w:p>
    <w:p>
      <w:pPr>
        <w:spacing w:after="200" w:line="276" w:lineRule="auto"/>
        <w:ind w:firstLine="720"/>
        <w:jc w:val="both"/>
      </w:pPr>
      <w:r>
        <w:rPr>
          <w:sz w:val="24"/>
          <w:szCs w:val="24"/>
        </w:rPr>
        <w:t>Desenvolver e avaliar modelos de aprendizado de máquina supervisionado que prevejam o rendimento da soja (kg/ha) por município do Rio Grande do Sul, com a previsão emitida em 31 de março, e aplicá-los às safras 2026 e 2027. Os objetivos específicos são:</w:t>
      </w:r>
    </w:p>
    <w:p>
      <w:pPr>
        <w:pStyle w:val="PargrafodaLista"/>
        <w:numPr>
          <w:ilvl w:val="0"/>
          <w:numId w:val="2"/>
        </w:numPr>
        <w:spacing w:after="120" w:line="276" w:lineRule="auto"/>
        <w:jc w:val="both"/>
      </w:pPr>
      <w:r>
        <w:rPr>
          <w:sz w:val="24"/>
          <w:szCs w:val="24"/>
        </w:rPr>
        <w:t>integrar, por município e safra, o rendimento do IBGE (2000–2025), o clima diário do INMET e do NASA POWER e o índice ONI;</w:t>
      </w:r>
    </w:p>
    <w:p>
      <w:pPr>
        <w:pStyle w:val="PargrafodaLista"/>
        <w:numPr>
          <w:ilvl w:val="0"/>
          <w:numId w:val="2"/>
        </w:numPr>
        <w:spacing w:after="120" w:line="276" w:lineRule="auto"/>
        <w:jc w:val="both"/>
      </w:pPr>
      <w:r>
        <w:rPr>
          <w:sz w:val="24"/>
          <w:szCs w:val="24"/>
        </w:rPr>
        <w:t>construir variáveis climáticas por subperíodo do ciclo da soja e um balanço hídrico do solo;</w:t>
      </w:r>
    </w:p>
    <w:p>
      <w:pPr>
        <w:pStyle w:val="PargrafodaLista"/>
        <w:numPr>
          <w:ilvl w:val="0"/>
          <w:numId w:val="2"/>
        </w:numPr>
        <w:spacing w:after="120" w:line="276" w:lineRule="auto"/>
        <w:jc w:val="both"/>
      </w:pPr>
      <w:r>
        <w:rPr>
          <w:sz w:val="24"/>
          <w:szCs w:val="24"/>
        </w:rPr>
        <w:t>comparar regressão linear, Random Forest e Gradient Boosting com linhas de base históricas, em validação temporal e deixando uma safra de fora;</w:t>
      </w:r>
    </w:p>
    <w:p>
      <w:pPr>
        <w:pStyle w:val="PargrafodaLista"/>
        <w:numPr>
          <w:ilvl w:val="0"/>
          <w:numId w:val="2"/>
        </w:numPr>
        <w:spacing w:after="120" w:line="276" w:lineRule="auto"/>
        <w:jc w:val="both"/>
      </w:pPr>
      <w:r>
        <w:rPr>
          <w:sz w:val="24"/>
          <w:szCs w:val="24"/>
        </w:rPr>
        <w:t>identificar os fatores climáticos mais associados à variação do rendimento;</w:t>
      </w:r>
    </w:p>
    <w:p>
      <w:pPr>
        <w:pStyle w:val="PargrafodaLista"/>
        <w:numPr>
          <w:ilvl w:val="0"/>
          <w:numId w:val="2"/>
        </w:numPr>
        <w:spacing w:after="120" w:line="276" w:lineRule="auto"/>
        <w:jc w:val="both"/>
      </w:pPr>
      <w:r>
        <w:rPr>
          <w:sz w:val="24"/>
          <w:szCs w:val="24"/>
        </w:rPr>
        <w:t>prever a safra 2026 e compará-la com a estimativa do IBGE; e montar a perspectiva da safra 2027 por cenários climáticos.</w:t>
      </w:r>
    </w:p>
    <w:p>
      <w:pPr>
        <w:spacing w:after="200" w:line="276" w:lineRule="auto"/>
        <w:ind w:firstLine="720"/>
        <w:jc w:val="both"/>
      </w:pPr>
      <w:r>
        <w:rPr>
          <w:sz w:val="24"/>
          <w:szCs w:val="24"/>
        </w:rPr>
        <w:t>A solução foi implementada em Python, com pandas e NumPy no tratamento dos dados, scikit-learn [Pedregosa et al. 2011] nos modelos, SciPy nos testes dos coeficientes e Matplotlib nos gráficos. O problema é tratado como regressão supervisionada, e a unidade de análise é o par município–safra.</w:t>
      </w:r>
    </w:p>
    <w:p>
      <w:pPr>
        <w:keepNext/>
      </w:pPr>
      <w:bookmarkStart w:id="4" w:name="_Toc244263382"/>
      <w:r>
        <w:rPr>
          <w:b/>
          <w:bCs/>
          <w:sz w:val="28"/>
          <w:szCs w:val="28"/>
        </w:rPr>
        <w:t>2. Dados</w:t>
      </w:r>
      <w:bookmarkEnd w:id="4"/>
    </w:p>
    <w:p>
      <w:pPr>
        <w:keepNext/>
        <w:spacing w:before="280" w:after="160"/>
      </w:pPr>
      <w:bookmarkStart w:id="5" w:name="_Toc244263383"/>
      <w:r>
        <w:rPr>
          <w:b/>
          <w:bCs/>
          <w:sz w:val="24"/>
          <w:szCs w:val="24"/>
        </w:rPr>
        <w:t>2.1 Fontes</w:t>
      </w:r>
      <w:bookmarkEnd w:id="5"/>
    </w:p>
    <w:p>
      <w:pPr>
        <w:spacing w:after="200" w:line="276" w:lineRule="auto"/>
        <w:ind w:firstLine="720"/>
        <w:jc w:val="both"/>
      </w:pPr>
      <w:r>
        <w:rPr>
          <w:sz w:val="24"/>
          <w:szCs w:val="24"/>
        </w:rPr>
        <w:t>Todas as fontes são públicas e oficiais (Tabela 3). Área plantada, área colhida e produção da própria safra não são usadas como preditores, pois só são conhecidas depois da colheita.</w:t>
      </w:r>
    </w:p>
    <w:p>
      <w:pPr>
        <w:keepNext/>
        <w:spacing w:before="120" w:after="300"/>
        <w:jc w:val="center"/>
      </w:pPr>
      <w:r>
        <w:rPr>
          <w:i/>
          <w:iCs/>
          <w:sz w:val="22"/>
          <w:szCs w:val="22"/>
        </w:rPr>
        <w:t xml:space="preserve">Tabela 3 – Fontes de dados. Fonte: elaboração própria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040"/>
        <w:gridCol w:w="3740"/>
        <w:gridCol w:w="2720"/>
      </w:tblGrid>
      <w:tr>
        <w:trPr>
          <w:cantSplit/>
          <w:tblHeader/>
        </w:trPr>
        <w:tc>
          <w:tcPr>
            <w:tcW w:w="2040" w:type="dxa"/>
            <w:shd w:val="clear" w:color="auto" w:fill="D9D9D9"/>
            <w:tcMar>
              <w:top w:w="80" w:type="dxa"/>
              <w:left w:w="100" w:type="dxa"/>
              <w:bottom w:w="80" w:type="dxa"/>
              <w:right w:w="100" w:type="dxa"/>
            </w:tcMar>
          </w:tcPr>
          <w:p>
            <w:pPr>
              <w:keepNext/>
              <w:jc w:val="center"/>
            </w:pPr>
            <w:r>
              <w:rPr>
                <w:b/>
                <w:bCs/>
                <w:sz w:val="22"/>
                <w:szCs w:val="22"/>
              </w:rPr>
              <w:t>Fonte</w:t>
            </w:r>
          </w:p>
        </w:tc>
        <w:tc>
          <w:tcPr>
            <w:tcW w:w="3740" w:type="dxa"/>
            <w:shd w:val="clear" w:color="auto" w:fill="D9D9D9"/>
            <w:tcMar>
              <w:top w:w="80" w:type="dxa"/>
              <w:left w:w="100" w:type="dxa"/>
              <w:bottom w:w="80" w:type="dxa"/>
              <w:right w:w="100" w:type="dxa"/>
            </w:tcMar>
          </w:tcPr>
          <w:p>
            <w:pPr>
              <w:keepNext/>
              <w:jc w:val="center"/>
            </w:pPr>
            <w:r>
              <w:rPr>
                <w:b/>
                <w:bCs/>
                <w:sz w:val="22"/>
                <w:szCs w:val="22"/>
              </w:rPr>
              <w:t>Conteúdo</w:t>
            </w:r>
          </w:p>
        </w:tc>
        <w:tc>
          <w:tcPr>
            <w:tcW w:w="2720" w:type="dxa"/>
            <w:shd w:val="clear" w:color="auto" w:fill="D9D9D9"/>
            <w:tcMar>
              <w:top w:w="80" w:type="dxa"/>
              <w:left w:w="100" w:type="dxa"/>
              <w:bottom w:w="80" w:type="dxa"/>
              <w:right w:w="100" w:type="dxa"/>
            </w:tcMar>
          </w:tcPr>
          <w:p>
            <w:pPr>
              <w:keepNext/>
              <w:jc w:val="center"/>
            </w:pPr>
            <w:r>
              <w:rPr>
                <w:b/>
                <w:bCs/>
                <w:sz w:val="22"/>
                <w:szCs w:val="22"/>
              </w:rPr>
              <w:t>Uso</w:t>
            </w:r>
          </w:p>
        </w:tc>
      </w:tr>
      <w:tr>
        <w:trPr>
          <w:cantSplit/>
        </w:trPr>
        <w:tc>
          <w:tcPr>
            <w:tcW w:w="2040" w:type="dxa"/>
            <w:tcMar>
              <w:top w:w="80" w:type="dxa"/>
              <w:left w:w="100" w:type="dxa"/>
              <w:bottom w:w="80" w:type="dxa"/>
              <w:right w:w="100" w:type="dxa"/>
            </w:tcMar>
          </w:tcPr>
          <w:p>
            <w:pPr>
              <w:keepNext/>
            </w:pPr>
            <w:r>
              <w:rPr>
                <w:sz w:val="22"/>
                <w:szCs w:val="22"/>
              </w:rPr>
              <w:t>IBGE/SIDRA – PAM, Tabela 1612 [IBGE 2026a]</w:t>
            </w:r>
          </w:p>
        </w:tc>
        <w:tc>
          <w:tcPr>
            <w:tcW w:w="3740" w:type="dxa"/>
            <w:tcMar>
              <w:top w:w="80" w:type="dxa"/>
              <w:left w:w="100" w:type="dxa"/>
              <w:bottom w:w="80" w:type="dxa"/>
              <w:right w:w="100" w:type="dxa"/>
            </w:tcMar>
          </w:tcPr>
          <w:p>
            <w:pPr>
              <w:keepNext/>
            </w:pPr>
            <w:r>
              <w:rPr>
                <w:sz w:val="22"/>
                <w:szCs w:val="22"/>
              </w:rPr>
              <w:t>Rendimento (kg/ha), área e produção de soja por município do RS, 2000–2025</w:t>
            </w:r>
          </w:p>
        </w:tc>
        <w:tc>
          <w:tcPr>
            <w:tcW w:w="2720" w:type="dxa"/>
            <w:tcMar>
              <w:top w:w="80" w:type="dxa"/>
              <w:left w:w="100" w:type="dxa"/>
              <w:bottom w:w="80" w:type="dxa"/>
              <w:right w:w="100" w:type="dxa"/>
            </w:tcMar>
          </w:tcPr>
          <w:p>
            <w:pPr>
              <w:keepNext/>
            </w:pPr>
            <w:r>
              <w:rPr>
                <w:sz w:val="22"/>
                <w:szCs w:val="22"/>
              </w:rPr>
              <w:t>Variável-alvo e patamar do município</w:t>
            </w:r>
          </w:p>
        </w:tc>
      </w:tr>
      <w:tr>
        <w:trPr>
          <w:cantSplit/>
        </w:trPr>
        <w:tc>
          <w:tcPr>
            <w:tcW w:w="2040" w:type="dxa"/>
            <w:tcMar>
              <w:top w:w="80" w:type="dxa"/>
              <w:left w:w="100" w:type="dxa"/>
              <w:bottom w:w="80" w:type="dxa"/>
              <w:right w:w="100" w:type="dxa"/>
            </w:tcMar>
          </w:tcPr>
          <w:p>
            <w:pPr>
              <w:keepNext/>
            </w:pPr>
            <w:r>
              <w:rPr>
                <w:sz w:val="22"/>
                <w:szCs w:val="22"/>
              </w:rPr>
              <w:t>IBGE/SIDRA – LSPA, Tabela 6588 [IBGE 2026c]</w:t>
            </w:r>
          </w:p>
        </w:tc>
        <w:tc>
          <w:tcPr>
            <w:tcW w:w="3740" w:type="dxa"/>
            <w:tcMar>
              <w:top w:w="80" w:type="dxa"/>
              <w:left w:w="100" w:type="dxa"/>
              <w:bottom w:w="80" w:type="dxa"/>
              <w:right w:w="100" w:type="dxa"/>
            </w:tcMar>
          </w:tcPr>
          <w:p>
            <w:pPr>
              <w:keepNext/>
            </w:pPr>
            <w:r>
              <w:rPr>
                <w:sz w:val="22"/>
                <w:szCs w:val="22"/>
              </w:rPr>
              <w:t>Estimativa mensal do rendimento da safra corrente no RS</w:t>
            </w:r>
          </w:p>
        </w:tc>
        <w:tc>
          <w:tcPr>
            <w:tcW w:w="2720" w:type="dxa"/>
            <w:tcMar>
              <w:top w:w="80" w:type="dxa"/>
              <w:left w:w="100" w:type="dxa"/>
              <w:bottom w:w="80" w:type="dxa"/>
              <w:right w:w="100" w:type="dxa"/>
            </w:tcMar>
          </w:tcPr>
          <w:p>
            <w:pPr>
              <w:keepNext/>
            </w:pPr>
            <w:r>
              <w:rPr>
                <w:sz w:val="22"/>
                <w:szCs w:val="22"/>
              </w:rPr>
              <w:t>Referência para a safra 2026</w:t>
            </w:r>
          </w:p>
        </w:tc>
      </w:tr>
      <w:tr>
        <w:trPr>
          <w:cantSplit/>
        </w:trPr>
        <w:tc>
          <w:tcPr>
            <w:tcW w:w="2040" w:type="dxa"/>
            <w:tcMar>
              <w:top w:w="80" w:type="dxa"/>
              <w:left w:w="100" w:type="dxa"/>
              <w:bottom w:w="80" w:type="dxa"/>
              <w:right w:w="100" w:type="dxa"/>
            </w:tcMar>
          </w:tcPr>
          <w:p>
            <w:pPr>
              <w:keepNext/>
            </w:pPr>
            <w:r>
              <w:rPr>
                <w:sz w:val="22"/>
                <w:szCs w:val="22"/>
              </w:rPr>
              <w:t>NOAA/CPC – ONI [NOAA 2026]</w:t>
            </w:r>
          </w:p>
        </w:tc>
        <w:tc>
          <w:tcPr>
            <w:tcW w:w="3740" w:type="dxa"/>
            <w:tcMar>
              <w:top w:w="80" w:type="dxa"/>
              <w:left w:w="100" w:type="dxa"/>
              <w:bottom w:w="80" w:type="dxa"/>
              <w:right w:w="100" w:type="dxa"/>
            </w:tcMar>
          </w:tcPr>
          <w:p>
            <w:pPr>
              <w:keepNext/>
            </w:pPr>
            <w:r>
              <w:rPr>
                <w:sz w:val="22"/>
                <w:szCs w:val="22"/>
              </w:rPr>
              <w:t>Índice trimestral do ENOS (El Niño/La Niña)</w:t>
            </w:r>
          </w:p>
        </w:tc>
        <w:tc>
          <w:tcPr>
            <w:tcW w:w="2720" w:type="dxa"/>
            <w:tcMar>
              <w:top w:w="80" w:type="dxa"/>
              <w:left w:w="100" w:type="dxa"/>
              <w:bottom w:w="80" w:type="dxa"/>
              <w:right w:w="100" w:type="dxa"/>
            </w:tcMar>
          </w:tcPr>
          <w:p>
            <w:pPr>
              <w:keepNext/>
            </w:pPr>
            <w:r>
              <w:rPr>
                <w:sz w:val="22"/>
                <w:szCs w:val="22"/>
              </w:rPr>
              <w:t>Fase do ENOS por safra; cenários de 2027</w:t>
            </w:r>
          </w:p>
        </w:tc>
      </w:tr>
      <w:tr>
        <w:trPr>
          <w:cantSplit/>
        </w:trPr>
        <w:tc>
          <w:tcPr>
            <w:tcW w:w="2040" w:type="dxa"/>
            <w:tcMar>
              <w:top w:w="80" w:type="dxa"/>
              <w:left w:w="100" w:type="dxa"/>
              <w:bottom w:w="80" w:type="dxa"/>
              <w:right w:w="100" w:type="dxa"/>
            </w:tcMar>
          </w:tcPr>
          <w:p>
            <w:pPr>
              <w:keepNext/>
            </w:pPr>
            <w:r>
              <w:rPr>
                <w:sz w:val="22"/>
                <w:szCs w:val="22"/>
              </w:rPr>
              <w:t>INMET/BDMEP [INMET 2026]</w:t>
            </w:r>
          </w:p>
        </w:tc>
        <w:tc>
          <w:tcPr>
            <w:tcW w:w="3740" w:type="dxa"/>
            <w:tcMar>
              <w:top w:w="80" w:type="dxa"/>
              <w:left w:w="100" w:type="dxa"/>
              <w:bottom w:w="80" w:type="dxa"/>
              <w:right w:w="100" w:type="dxa"/>
            </w:tcMar>
          </w:tcPr>
          <w:p>
            <w:pPr>
              <w:keepNext/>
            </w:pPr>
            <w:r>
              <w:rPr>
                <w:sz w:val="22"/>
                <w:szCs w:val="22"/>
              </w:rPr>
              <w:t>Chuva, temperaturas e umidade diárias de 45 estações automáticas do RS</w:t>
            </w:r>
          </w:p>
        </w:tc>
        <w:tc>
          <w:tcPr>
            <w:tcW w:w="2720" w:type="dxa"/>
            <w:tcMar>
              <w:top w:w="80" w:type="dxa"/>
              <w:left w:w="100" w:type="dxa"/>
              <w:bottom w:w="80" w:type="dxa"/>
              <w:right w:w="100" w:type="dxa"/>
            </w:tcMar>
          </w:tcPr>
          <w:p>
            <w:pPr>
              <w:keepNext/>
            </w:pPr>
            <w:r>
              <w:rPr>
                <w:sz w:val="22"/>
                <w:szCs w:val="22"/>
              </w:rPr>
              <w:t>Clima das Etapas 1 a 4</w:t>
            </w:r>
          </w:p>
        </w:tc>
      </w:tr>
      <w:tr>
        <w:trPr>
          <w:cantSplit/>
        </w:trPr>
        <w:tc>
          <w:tcPr>
            <w:tcW w:w="2040" w:type="dxa"/>
            <w:tcMar>
              <w:top w:w="80" w:type="dxa"/>
              <w:left w:w="100" w:type="dxa"/>
              <w:bottom w:w="80" w:type="dxa"/>
              <w:right w:w="100" w:type="dxa"/>
            </w:tcMar>
          </w:tcPr>
          <w:p>
            <w:pPr>
              <w:keepNext/>
            </w:pPr>
            <w:r>
              <w:rPr>
                <w:sz w:val="22"/>
                <w:szCs w:val="22"/>
              </w:rPr>
              <w:t>NASA POWER [NASA 2026]</w:t>
            </w:r>
          </w:p>
        </w:tc>
        <w:tc>
          <w:tcPr>
            <w:tcW w:w="3740" w:type="dxa"/>
            <w:tcMar>
              <w:top w:w="80" w:type="dxa"/>
              <w:left w:w="100" w:type="dxa"/>
              <w:bottom w:w="80" w:type="dxa"/>
              <w:right w:w="100" w:type="dxa"/>
            </w:tcMar>
          </w:tcPr>
          <w:p>
            <w:pPr>
              <w:keepNext/>
            </w:pPr>
            <w:r>
              <w:rPr>
                <w:sz w:val="22"/>
                <w:szCs w:val="22"/>
              </w:rPr>
              <w:t>Chuva, temperaturas e ponto de orvalho diários em grade (0,5° × 0,625°; 87 células), 2000 a maio/2026, sem falhas</w:t>
            </w:r>
          </w:p>
        </w:tc>
        <w:tc>
          <w:tcPr>
            <w:tcW w:w="2720" w:type="dxa"/>
            <w:tcMar>
              <w:top w:w="80" w:type="dxa"/>
              <w:left w:w="100" w:type="dxa"/>
              <w:bottom w:w="80" w:type="dxa"/>
              <w:right w:w="100" w:type="dxa"/>
            </w:tcMar>
          </w:tcPr>
          <w:p>
            <w:pPr>
              <w:keepNext/>
            </w:pPr>
            <w:r>
              <w:rPr>
                <w:sz w:val="22"/>
                <w:szCs w:val="22"/>
              </w:rPr>
              <w:t>Clima das Etapas 5 e 6 e das previsões</w:t>
            </w:r>
          </w:p>
        </w:tc>
      </w:tr>
      <w:tr>
        <w:trPr>
          <w:cantSplit/>
        </w:trPr>
        <w:tc>
          <w:tcPr>
            <w:tcW w:w="2040" w:type="dxa"/>
            <w:tcMar>
              <w:top w:w="80" w:type="dxa"/>
              <w:left w:w="100" w:type="dxa"/>
              <w:bottom w:w="80" w:type="dxa"/>
              <w:right w:w="100" w:type="dxa"/>
            </w:tcMar>
          </w:tcPr>
          <w:p>
            <w:pPr>
              <w:keepNext/>
            </w:pPr>
            <w:r>
              <w:rPr>
                <w:sz w:val="22"/>
                <w:szCs w:val="22"/>
              </w:rPr>
              <w:t>IBGE – Localidades [IBGE 2026b]</w:t>
            </w:r>
          </w:p>
        </w:tc>
        <w:tc>
          <w:tcPr>
            <w:tcW w:w="3740" w:type="dxa"/>
            <w:tcMar>
              <w:top w:w="80" w:type="dxa"/>
              <w:left w:w="100" w:type="dxa"/>
              <w:bottom w:w="80" w:type="dxa"/>
              <w:right w:w="100" w:type="dxa"/>
            </w:tcMar>
          </w:tcPr>
          <w:p>
            <w:pPr>
              <w:keepNext/>
            </w:pPr>
            <w:r>
              <w:rPr>
                <w:sz w:val="22"/>
                <w:szCs w:val="22"/>
              </w:rPr>
              <w:t>Mesorregião de cada município</w:t>
            </w:r>
          </w:p>
        </w:tc>
        <w:tc>
          <w:tcPr>
            <w:tcW w:w="2720" w:type="dxa"/>
            <w:tcMar>
              <w:top w:w="80" w:type="dxa"/>
              <w:left w:w="100" w:type="dxa"/>
              <w:bottom w:w="80" w:type="dxa"/>
              <w:right w:w="100" w:type="dxa"/>
            </w:tcMar>
          </w:tcPr>
          <w:p>
            <w:pPr>
              <w:keepNext/>
            </w:pPr>
            <w:r>
              <w:rPr>
                <w:sz w:val="22"/>
                <w:szCs w:val="22"/>
              </w:rPr>
              <w:t>Erro e previsão por região</w:t>
            </w:r>
          </w:p>
        </w:tc>
      </w:tr>
    </w:tbl>
    <w:p>
      <w:pPr>
        <w:keepNext/>
        <w:spacing w:before="280" w:after="160"/>
      </w:pPr>
      <w:bookmarkStart w:id="6" w:name="_Toc244263384"/>
      <w:r>
        <w:rPr>
          <w:b/>
          <w:bCs/>
          <w:sz w:val="24"/>
          <w:szCs w:val="24"/>
        </w:rPr>
        <w:t>2.2 Base município–safra</w:t>
      </w:r>
      <w:bookmarkEnd w:id="6"/>
    </w:p>
    <w:p>
      <w:pPr>
        <w:spacing w:after="200" w:line="276" w:lineRule="auto"/>
        <w:ind w:firstLine="720"/>
        <w:jc w:val="both"/>
      </w:pPr>
      <w:r>
        <w:rPr>
          <w:sz w:val="24"/>
          <w:szCs w:val="24"/>
        </w:rPr>
        <w:t>O painel integrado tem 12.922 pares município–safra (497 municípios, 2000–2025). Pelos símbolos do SIDRA, 10.540 pares têm rendimento, 2.308 são de municípios que não plantaram soja naquele ano, 54 não têm dado disponível e 20 são perdas totais (área plantada sem área colhida, 10 delas em 2005), que ficam fora do modelo porque o rendimento não é definido. A parcela de municípios com soja passou de 70,4% em 2000 para 87,3% em 2025.</w:t>
      </w:r>
    </w:p>
    <w:p>
      <w:pPr>
        <w:spacing w:after="200" w:line="276" w:lineRule="auto"/>
        <w:ind w:firstLine="720"/>
        <w:jc w:val="both"/>
      </w:pPr>
      <w:r>
        <w:rPr>
          <w:sz w:val="24"/>
          <w:szCs w:val="24"/>
        </w:rPr>
        <w:t>A base de modelagem exige o patamar do município, disponível a partir da safra 2006, e o clima da safra. Com o INMET, associado a cada município pela estação mais próxima e com exigência de cobertura mínima de dados, ela tem 5.236 pares (448 municípios). Com a grade do NASA POWER, associada pela célula que contém a sede do município, passa a 8.261 pares (449 municípios): todas as linhas com rendimento desde 2006.</w:t>
      </w:r>
    </w:p>
    <w:p>
      <w:pPr>
        <w:keepNext/>
        <w:spacing w:before="280" w:after="160"/>
      </w:pPr>
      <w:bookmarkStart w:id="7" w:name="_Toc244263385"/>
      <w:r>
        <w:rPr>
          <w:b/>
          <w:bCs/>
          <w:sz w:val="24"/>
          <w:szCs w:val="24"/>
        </w:rPr>
        <w:t>2.3 Padrões observados</w:t>
      </w:r>
      <w:bookmarkEnd w:id="7"/>
    </w:p>
    <w:p>
      <w:pPr>
        <w:spacing w:after="200" w:line="276" w:lineRule="auto"/>
        <w:ind w:firstLine="720"/>
        <w:jc w:val="both"/>
      </w:pPr>
      <w:r>
        <w:rPr>
          <w:sz w:val="24"/>
          <w:szCs w:val="24"/>
        </w:rPr>
        <w:t>A análise exploratória mostrou rendimento médio menor sob La Niña (≈2.230 kg/ha) do que em safras neutras (≈2.351 kg/ha) e sob El Niño (≈2.462 kg/ha) (Figura 1), o que justifica o uso do ONI e a separação dos cenários de 2027 pela fase do ENOS. No nível município–safra, porém, a correlação do rendimento com o ONI é fraca (≈0,16) e com a chuva total da safra é moderada (≈0,38): variáveis agregadas simples não bastam, o que orientou as etapas seguintes.</w:t>
      </w:r>
    </w:p>
    <w:p>
      <w:pPr>
        <w:keepNext/>
        <w:spacing w:before="200" w:after="60"/>
        <w:jc w:val="center"/>
      </w:pPr>
      <w:r>
        <w:rPr>
          <w:noProof/>
        </w:rPr>
        <w:drawing>
          <wp:inline distT="0" distB="0" distL="0" distR="0" wp14:anchorId="36E030EF" wp14:editId="51C21651">
            <wp:extent cx="4029075" cy="281940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29075" cy="2819400"/>
                    </a:xfrm>
                    <a:prstGeom prst="rect">
                      <a:avLst/>
                    </a:prstGeom>
                  </pic:spPr>
                </pic:pic>
              </a:graphicData>
            </a:graphic>
          </wp:inline>
        </w:drawing>
      </w:r>
    </w:p>
    <w:p>
      <w:pPr>
        <w:spacing w:before="120" w:after="300"/>
        <w:jc w:val="center"/>
      </w:pPr>
      <w:r>
        <w:rPr>
          <w:i/>
          <w:iCs/>
          <w:sz w:val="22"/>
          <w:szCs w:val="22"/>
        </w:rPr>
        <w:t xml:space="preserve">Figura 1 – Rendimento médio da soja por fase do ENOS, classificada pelo ONI médio da safra (RS, 2000–2025). Fonte: elaboração própria a partir de IBGE/SIDRA e NOAA/CPC (2026).</w:t>
      </w:r>
    </w:p>
    <w:p>
      <w:pPr>
        <w:keepNext/>
      </w:pPr>
      <w:bookmarkStart w:id="8" w:name="_Toc244263386"/>
      <w:r>
        <w:rPr>
          <w:b/>
          <w:bCs/>
          <w:sz w:val="28"/>
          <w:szCs w:val="28"/>
        </w:rPr>
        <w:t>3. Metodologia</w:t>
      </w:r>
      <w:bookmarkEnd w:id="8"/>
    </w:p>
    <w:p>
      <w:pPr>
        <w:keepNext/>
        <w:spacing w:before="280" w:after="160"/>
      </w:pPr>
      <w:bookmarkStart w:id="9" w:name="_Toc244263387"/>
      <w:r>
        <w:rPr>
          <w:b/>
          <w:bCs/>
          <w:sz w:val="24"/>
          <w:szCs w:val="24"/>
        </w:rPr>
        <w:t>3.1 O que se sabe em 31 de março</w:t>
      </w:r>
      <w:bookmarkEnd w:id="9"/>
    </w:p>
    <w:p>
      <w:pPr>
        <w:spacing w:after="200" w:line="276" w:lineRule="auto"/>
        <w:ind w:firstLine="720"/>
        <w:jc w:val="both"/>
      </w:pPr>
      <w:r>
        <w:rPr>
          <w:sz w:val="24"/>
          <w:szCs w:val="24"/>
        </w:rPr>
        <w:t>A previsão da safra Y é emitida em 31 de março de Y, e só entram informações disponíveis nessa data: o clima de outubro a março (a chuva de março é a última variável) e o ONI. O histórico de rendimento exige um cuidado adicional: a PAM é divulgada em setembro do ano seguinte à colheita – a PAM 2024 saiu em 11 de setembro de 2025 [IBGE 2025] –, de modo que em março de Y a última safra publicada é Y−2 (Tabela 4). Usar a safra Y−1 daria ao modelo um dado que só existirá seis meses depois da previsão. Na valida</w:t>
      </w:r>
      <w:r>
        <w:rPr>
          <w:sz w:val="24"/>
          <w:szCs w:val="24"/>
        </w:rPr>
        <w:t>ção histórica vale a mesma regra: a safra 2022, por exemplo, é prevista com o patamar 2016–2020.</w:t>
      </w:r>
    </w:p>
    <w:p>
      <w:pPr>
        <w:keepNext/>
        <w:spacing w:before="120" w:after="300"/>
        <w:jc w:val="center"/>
      </w:pPr>
      <w:r>
        <w:rPr>
          <w:i/>
          <w:iCs/>
          <w:sz w:val="22"/>
          <w:szCs w:val="22"/>
        </w:rPr>
        <w:t xml:space="preserve">Tabela 4 – Dados de rendimento disponíveis na data de cada previsão. Fonte: elaboração própria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869"/>
        <w:gridCol w:w="2210"/>
        <w:gridCol w:w="2550"/>
        <w:gridCol w:w="1871"/>
      </w:tblGrid>
      <w:tr>
        <w:trPr>
          <w:cantSplit/>
          <w:tblHeader/>
        </w:trPr>
        <w:tc>
          <w:tcPr>
            <w:tcW w:w="1869" w:type="dxa"/>
            <w:shd w:val="clear" w:color="auto" w:fill="D9D9D9"/>
            <w:tcMar>
              <w:top w:w="80" w:type="dxa"/>
              <w:left w:w="100" w:type="dxa"/>
              <w:bottom w:w="80" w:type="dxa"/>
              <w:right w:w="100" w:type="dxa"/>
            </w:tcMar>
          </w:tcPr>
          <w:p>
            <w:pPr>
              <w:keepNext/>
              <w:jc w:val="center"/>
            </w:pPr>
            <w:r>
              <w:rPr>
                <w:b/>
                <w:bCs/>
                <w:sz w:val="22"/>
                <w:szCs w:val="22"/>
              </w:rPr>
              <w:t>Safra prevista</w:t>
            </w:r>
          </w:p>
        </w:tc>
        <w:tc>
          <w:tcPr>
            <w:tcW w:w="2210" w:type="dxa"/>
            <w:shd w:val="clear" w:color="auto" w:fill="D9D9D9"/>
            <w:tcMar>
              <w:top w:w="80" w:type="dxa"/>
              <w:left w:w="100" w:type="dxa"/>
              <w:bottom w:w="80" w:type="dxa"/>
              <w:right w:w="100" w:type="dxa"/>
            </w:tcMar>
          </w:tcPr>
          <w:p>
            <w:pPr>
              <w:keepNext/>
              <w:jc w:val="center"/>
            </w:pPr>
            <w:r>
              <w:rPr>
                <w:b/>
                <w:bCs/>
                <w:sz w:val="22"/>
                <w:szCs w:val="22"/>
              </w:rPr>
              <w:t>Emissão da previsão</w:t>
            </w:r>
          </w:p>
        </w:tc>
        <w:tc>
          <w:tcPr>
            <w:tcW w:w="2550" w:type="dxa"/>
            <w:shd w:val="clear" w:color="auto" w:fill="D9D9D9"/>
            <w:tcMar>
              <w:top w:w="80" w:type="dxa"/>
              <w:left w:w="100" w:type="dxa"/>
              <w:bottom w:w="80" w:type="dxa"/>
              <w:right w:w="100" w:type="dxa"/>
            </w:tcMar>
          </w:tcPr>
          <w:p>
            <w:pPr>
              <w:keepNext/>
              <w:jc w:val="center"/>
            </w:pPr>
            <w:r>
              <w:rPr>
                <w:b/>
                <w:bCs/>
                <w:sz w:val="22"/>
                <w:szCs w:val="22"/>
              </w:rPr>
              <w:t>Última PAM publicada</w:t>
            </w:r>
          </w:p>
        </w:tc>
        <w:tc>
          <w:tcPr>
            <w:tcW w:w="1871" w:type="dxa"/>
            <w:shd w:val="clear" w:color="auto" w:fill="D9D9D9"/>
            <w:tcMar>
              <w:top w:w="80" w:type="dxa"/>
              <w:left w:w="100" w:type="dxa"/>
              <w:bottom w:w="80" w:type="dxa"/>
              <w:right w:w="100" w:type="dxa"/>
            </w:tcMar>
          </w:tcPr>
          <w:p>
            <w:pPr>
              <w:keepNext/>
              <w:jc w:val="center"/>
            </w:pPr>
            <w:r>
              <w:rPr>
                <w:b/>
                <w:bCs/>
                <w:sz w:val="22"/>
                <w:szCs w:val="22"/>
              </w:rPr>
              <w:t>Patamar (5 safras)</w:t>
            </w:r>
          </w:p>
        </w:tc>
      </w:tr>
      <w:tr>
        <w:trPr>
          <w:cantSplit/>
        </w:trPr>
        <w:tc>
          <w:tcPr>
            <w:tcW w:w="1869" w:type="dxa"/>
            <w:tcMar>
              <w:top w:w="80" w:type="dxa"/>
              <w:left w:w="100" w:type="dxa"/>
              <w:bottom w:w="80" w:type="dxa"/>
              <w:right w:w="100" w:type="dxa"/>
            </w:tcMar>
          </w:tcPr>
          <w:p>
            <w:pPr>
              <w:keepNext/>
            </w:pPr>
            <w:r>
              <w:rPr>
                <w:sz w:val="22"/>
                <w:szCs w:val="22"/>
              </w:rPr>
              <w:t>2026</w:t>
            </w:r>
          </w:p>
        </w:tc>
        <w:tc>
          <w:tcPr>
            <w:tcW w:w="2210" w:type="dxa"/>
            <w:tcMar>
              <w:top w:w="80" w:type="dxa"/>
              <w:left w:w="100" w:type="dxa"/>
              <w:bottom w:w="80" w:type="dxa"/>
              <w:right w:w="100" w:type="dxa"/>
            </w:tcMar>
          </w:tcPr>
          <w:p>
            <w:pPr>
              <w:keepNext/>
            </w:pPr>
            <w:r>
              <w:rPr>
                <w:sz w:val="22"/>
                <w:szCs w:val="22"/>
              </w:rPr>
              <w:t>31/03/2026</w:t>
            </w:r>
          </w:p>
        </w:tc>
        <w:tc>
          <w:tcPr>
            <w:tcW w:w="2550" w:type="dxa"/>
            <w:tcMar>
              <w:top w:w="80" w:type="dxa"/>
              <w:left w:w="100" w:type="dxa"/>
              <w:bottom w:w="80" w:type="dxa"/>
              <w:right w:w="100" w:type="dxa"/>
            </w:tcMar>
          </w:tcPr>
          <w:p>
            <w:pPr>
              <w:keepNext/>
              <w:jc w:val="center"/>
            </w:pPr>
            <w:r>
              <w:rPr>
                <w:sz w:val="22"/>
                <w:szCs w:val="22"/>
              </w:rPr>
              <w:t>2024 (set/2025)</w:t>
            </w:r>
          </w:p>
        </w:tc>
        <w:tc>
          <w:tcPr>
            <w:tcW w:w="1871" w:type="dxa"/>
            <w:tcMar>
              <w:top w:w="80" w:type="dxa"/>
              <w:left w:w="100" w:type="dxa"/>
              <w:bottom w:w="80" w:type="dxa"/>
              <w:right w:w="100" w:type="dxa"/>
            </w:tcMar>
          </w:tcPr>
          <w:p>
            <w:pPr>
              <w:keepNext/>
            </w:pPr>
            <w:r>
              <w:rPr>
                <w:sz w:val="22"/>
                <w:szCs w:val="22"/>
              </w:rPr>
              <w:t>2020–2024</w:t>
            </w:r>
          </w:p>
        </w:tc>
      </w:tr>
      <w:tr>
        <w:trPr>
          <w:cantSplit/>
        </w:trPr>
        <w:tc>
          <w:tcPr>
            <w:tcW w:w="1869" w:type="dxa"/>
            <w:tcMar>
              <w:top w:w="80" w:type="dxa"/>
              <w:left w:w="100" w:type="dxa"/>
              <w:bottom w:w="80" w:type="dxa"/>
              <w:right w:w="100" w:type="dxa"/>
            </w:tcMar>
          </w:tcPr>
          <w:p>
            <w:pPr>
              <w:keepNext/>
            </w:pPr>
            <w:r>
              <w:rPr>
                <w:sz w:val="22"/>
                <w:szCs w:val="22"/>
              </w:rPr>
              <w:t>2027</w:t>
            </w:r>
          </w:p>
        </w:tc>
        <w:tc>
          <w:tcPr>
            <w:tcW w:w="2210" w:type="dxa"/>
            <w:tcMar>
              <w:top w:w="80" w:type="dxa"/>
              <w:left w:w="100" w:type="dxa"/>
              <w:bottom w:w="80" w:type="dxa"/>
              <w:right w:w="100" w:type="dxa"/>
            </w:tcMar>
          </w:tcPr>
          <w:p>
            <w:pPr>
              <w:keepNext/>
            </w:pPr>
            <w:r>
              <w:rPr>
                <w:sz w:val="22"/>
                <w:szCs w:val="22"/>
              </w:rPr>
              <w:t>31/03/2027</w:t>
            </w:r>
          </w:p>
        </w:tc>
        <w:tc>
          <w:tcPr>
            <w:tcW w:w="2550" w:type="dxa"/>
            <w:tcMar>
              <w:top w:w="80" w:type="dxa"/>
              <w:left w:w="100" w:type="dxa"/>
              <w:bottom w:w="80" w:type="dxa"/>
              <w:right w:w="100" w:type="dxa"/>
            </w:tcMar>
          </w:tcPr>
          <w:p>
            <w:pPr>
              <w:keepNext/>
              <w:jc w:val="center"/>
            </w:pPr>
            <w:r>
              <w:rPr>
                <w:sz w:val="22"/>
                <w:szCs w:val="22"/>
              </w:rPr>
              <w:t>2025 (set/2026)</w:t>
            </w:r>
          </w:p>
        </w:tc>
        <w:tc>
          <w:tcPr>
            <w:tcW w:w="1871" w:type="dxa"/>
            <w:tcMar>
              <w:top w:w="80" w:type="dxa"/>
              <w:left w:w="100" w:type="dxa"/>
              <w:bottom w:w="80" w:type="dxa"/>
              <w:right w:w="100" w:type="dxa"/>
            </w:tcMar>
          </w:tcPr>
          <w:p>
            <w:pPr>
              <w:keepNext/>
            </w:pPr>
            <w:r>
              <w:rPr>
                <w:sz w:val="22"/>
                <w:szCs w:val="22"/>
              </w:rPr>
              <w:t>2021–2025</w:t>
            </w:r>
          </w:p>
        </w:tc>
      </w:tr>
    </w:tbl>
    <w:p>
      <w:pPr>
        <w:keepNext/>
        <w:spacing w:before="280" w:after="160"/>
      </w:pPr>
      <w:bookmarkStart w:id="10" w:name="_Toc244263388"/>
      <w:r>
        <w:rPr>
          <w:b/>
          <w:bCs/>
          <w:sz w:val="24"/>
          <w:szCs w:val="24"/>
        </w:rPr>
        <w:t>3.2 Estrutura da previsão: patamar e desvio climático</w:t>
      </w:r>
      <w:bookmarkEnd w:id="10"/>
    </w:p>
    <w:p>
      <w:pPr>
        <w:spacing w:after="200" w:line="276" w:lineRule="auto"/>
        <w:ind w:firstLine="720"/>
        <w:jc w:val="both"/>
      </w:pPr>
      <w:r>
        <w:rPr>
          <w:sz w:val="24"/>
          <w:szCs w:val="24"/>
        </w:rPr>
        <w:t xml:space="preserve">Cada previsão é a soma de um </w:t>
      </w:r>
      <w:r>
        <w:rPr>
          <w:b/>
          <w:bCs/>
          <w:sz w:val="24"/>
          <w:szCs w:val="24"/>
        </w:rPr>
        <w:t>patamar</w:t>
      </w:r>
      <w:r>
        <w:rPr>
          <w:sz w:val="24"/>
          <w:szCs w:val="24"/>
        </w:rPr>
        <w:t xml:space="preserve"> – o rendimento esperado do município numa safra normal – e de um </w:t>
      </w:r>
      <w:r>
        <w:rPr>
          <w:b/>
          <w:bCs/>
          <w:sz w:val="24"/>
          <w:szCs w:val="24"/>
        </w:rPr>
        <w:t>desvio</w:t>
      </w:r>
      <w:r>
        <w:rPr>
          <w:sz w:val="24"/>
          <w:szCs w:val="24"/>
        </w:rPr>
        <w:t xml:space="preserve"> explicado pelo clima da safra. Quatro formas de patamar foram comparadas, todas com as safras publicadas até Y−2: reta de tendência estadual, média móvel das cinco últimas safras do município, média olímpica dessas cinco safras e reta das dez últimas safras. A média móvel de cinco safras teve o melhor desempenho e foi adotada. O problema foi tratado como regressão em painel, e não como série temporal por município, porque cada município tem cerca de 26 safras, pouco para ajustar um ARIMA ou uma rede recorr</w:t>
      </w:r>
      <w:r>
        <w:rPr>
          <w:sz w:val="24"/>
          <w:szCs w:val="24"/>
        </w:rPr>
        <w:t>ente de forma confiável.</w:t>
      </w:r>
    </w:p>
    <w:p>
      <w:pPr>
        <w:keepNext/>
        <w:spacing w:before="280" w:after="160"/>
      </w:pPr>
      <w:bookmarkStart w:id="11" w:name="_Toc244263389"/>
      <w:r>
        <w:rPr>
          <w:b/>
          <w:bCs/>
          <w:sz w:val="24"/>
          <w:szCs w:val="24"/>
        </w:rPr>
        <w:t>3.3 Variáveis climáticas e balanço hídrico</w:t>
      </w:r>
      <w:bookmarkEnd w:id="11"/>
    </w:p>
    <w:p>
      <w:pPr>
        <w:spacing w:after="200" w:line="276" w:lineRule="auto"/>
        <w:ind w:firstLine="720"/>
        <w:jc w:val="both"/>
      </w:pPr>
      <w:r>
        <w:rPr>
          <w:sz w:val="24"/>
          <w:szCs w:val="24"/>
        </w:rPr>
        <w:t>O clima diário foi agregado em três subperíodos do ciclo da soja no RS: outubro–novembro (semeadura), dezembro–fevereiro (floração e enchimento de grãos, o período crítico) e março (maturação). Para dezembro–fevereiro foram calculados também a maior sequência de dias secos, os dias com temperatura máxima ≥ 32 °C e a umidade relativa mínima média. No NASA POWER, a umidade mínima foi estimada pelo ponto de orvalho e pela temperatura máxima (FAO-56 [Allen et al. 1998]).</w:t>
      </w:r>
    </w:p>
    <w:p>
      <w:pPr>
        <w:spacing w:after="200" w:line="276" w:lineRule="auto"/>
        <w:ind w:firstLine="720"/>
        <w:jc w:val="both"/>
      </w:pPr>
      <w:r>
        <w:rPr>
          <w:sz w:val="24"/>
          <w:szCs w:val="24"/>
        </w:rPr>
        <w:t>Como chuva e umidade não medem diretamente a falta de água no solo, foi calculado um balanço hídrico diário. A evapotranspiração de referência foi estimada pelo método de Hargreaves–Samani [Hargreaves e Samani 1985]:</w:t>
      </w:r>
    </w:p>
    <w:p>
      <w:pPr>
        <w:spacing w:before="120" w:after="200"/>
        <w:jc w:val="center"/>
      </w:pPr>
      <w:r>
        <w:rPr>
          <w:i/>
          <w:iCs/>
          <w:sz w:val="24"/>
          <w:szCs w:val="24"/>
        </w:rPr>
        <w:t>ETo = 0,0023 · 0,408 Ra · (Tmed + 17,8) · √(Tmax − Tmin)</w:t>
      </w:r>
    </w:p>
    <w:p>
      <w:pPr>
        <w:spacing w:after="200" w:line="276" w:lineRule="auto"/>
        <w:jc w:val="both"/>
      </w:pPr>
      <w:r>
        <w:rPr>
          <w:sz w:val="24"/>
          <w:szCs w:val="24"/>
        </w:rPr>
        <w:t>em que Ra é a radiação no topo da atmosfera, calculada pela latitude e pelo dia do ano. O solo foi representado como um reservatório com capacidade de água disponível (CAD) de 75 mm, cheio em 1º de outubro; a demanda não atendida quando o reservatório se esgota é o déficit hídrico do dia, acumulado de dezembro a fevereiro. A sensibilidade à CAD (50 e 100 mm) não alterou o resultado.</w:t>
      </w:r>
    </w:p>
    <w:p>
      <w:pPr>
        <w:keepNext/>
        <w:spacing w:before="280" w:after="160"/>
      </w:pPr>
      <w:bookmarkStart w:id="12" w:name="_Toc244263390"/>
      <w:r>
        <w:rPr>
          <w:b/>
          <w:bCs/>
          <w:sz w:val="24"/>
          <w:szCs w:val="24"/>
        </w:rPr>
        <w:t>3.4 Modelos comparados</w:t>
      </w:r>
      <w:bookmarkEnd w:id="12"/>
    </w:p>
    <w:p>
      <w:pPr>
        <w:spacing w:after="200" w:line="276" w:lineRule="auto"/>
        <w:ind w:firstLine="720"/>
        <w:jc w:val="both"/>
      </w:pPr>
      <w:r>
        <w:rPr>
          <w:sz w:val="24"/>
          <w:szCs w:val="24"/>
        </w:rPr>
        <w:t xml:space="preserve">A Tabela 5 lista os modelos. Nos termos de seca extrema, U é a umidade mínima e D o déficit hídrico de dezembro a fevereiro; U20 e D80 são os níveis que delimitam as 20% safras mais secas do treino. Esses termos valem zero em safras normais e permitem que a perda cresça mais rápido na seca forte. Médias, limiares e penalizações são calculados apenas com o treino de cada rodada, e os hiperparâmetros das árvores foram fixados a priori (Gradient Boosting: taxa de aprendizado 0,05, até 500 iterações com parada </w:t>
      </w:r>
      <w:r>
        <w:rPr>
          <w:sz w:val="24"/>
          <w:szCs w:val="24"/>
        </w:rPr>
        <w:t>antecipada; Random Forest: 500 árvores), para que as safras de teste não influenciem a escolha.</w:t>
      </w:r>
    </w:p>
    <w:p>
      <w:pPr>
        <w:keepNext/>
        <w:spacing w:before="120" w:after="300"/>
        <w:jc w:val="center"/>
      </w:pPr>
      <w:r>
        <w:rPr>
          <w:i/>
          <w:iCs/>
          <w:sz w:val="22"/>
          <w:szCs w:val="22"/>
        </w:rPr>
        <w:t xml:space="preserve">Tabela 5 – Modelos e linhas de base. Fonte: elaboração própria (2026). Na Etapa 5 também foram testadas a média de F e H2, uma regressão Ridge com as variáveis de H2 e F acrescida só do limiar de umidade; na Etapa 4, a média de H2 e GB.</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040"/>
        <w:gridCol w:w="1869"/>
        <w:gridCol w:w="4591"/>
      </w:tblGrid>
      <w:tr>
        <w:trPr>
          <w:cantSplit/>
          <w:tblHeader/>
        </w:trPr>
        <w:tc>
          <w:tcPr>
            <w:tcW w:w="2040" w:type="dxa"/>
            <w:shd w:val="clear" w:color="auto" w:fill="D9D9D9"/>
            <w:tcMar>
              <w:top w:w="80" w:type="dxa"/>
              <w:left w:w="100" w:type="dxa"/>
              <w:bottom w:w="80" w:type="dxa"/>
              <w:right w:w="100" w:type="dxa"/>
            </w:tcMar>
          </w:tcPr>
          <w:p>
            <w:pPr>
              <w:keepNext/>
              <w:jc w:val="center"/>
            </w:pPr>
            <w:r>
              <w:rPr>
                <w:b/>
                <w:bCs/>
                <w:sz w:val="22"/>
                <w:szCs w:val="22"/>
              </w:rPr>
              <w:t>Modelo</w:t>
            </w:r>
          </w:p>
        </w:tc>
        <w:tc>
          <w:tcPr>
            <w:tcW w:w="1869" w:type="dxa"/>
            <w:shd w:val="clear" w:color="auto" w:fill="D9D9D9"/>
            <w:tcMar>
              <w:top w:w="80" w:type="dxa"/>
              <w:left w:w="100" w:type="dxa"/>
              <w:bottom w:w="80" w:type="dxa"/>
              <w:right w:w="100" w:type="dxa"/>
            </w:tcMar>
          </w:tcPr>
          <w:p>
            <w:pPr>
              <w:keepNext/>
              <w:jc w:val="center"/>
            </w:pPr>
            <w:r>
              <w:rPr>
                <w:b/>
                <w:bCs/>
                <w:sz w:val="22"/>
                <w:szCs w:val="22"/>
              </w:rPr>
              <w:t>Tipo</w:t>
            </w:r>
          </w:p>
        </w:tc>
        <w:tc>
          <w:tcPr>
            <w:tcW w:w="4591" w:type="dxa"/>
            <w:shd w:val="clear" w:color="auto" w:fill="D9D9D9"/>
            <w:tcMar>
              <w:top w:w="80" w:type="dxa"/>
              <w:left w:w="100" w:type="dxa"/>
              <w:bottom w:w="80" w:type="dxa"/>
              <w:right w:w="100" w:type="dxa"/>
            </w:tcMar>
          </w:tcPr>
          <w:p>
            <w:pPr>
              <w:keepNext/>
              <w:jc w:val="center"/>
            </w:pPr>
            <w:r>
              <w:rPr>
                <w:b/>
                <w:bCs/>
                <w:sz w:val="22"/>
                <w:szCs w:val="22"/>
              </w:rPr>
              <w:t>Variáveis do desvio</w:t>
            </w:r>
          </w:p>
        </w:tc>
      </w:tr>
      <w:tr>
        <w:trPr>
          <w:cantSplit/>
        </w:trPr>
        <w:tc>
          <w:tcPr>
            <w:tcW w:w="2040" w:type="dxa"/>
            <w:tcMar>
              <w:top w:w="80" w:type="dxa"/>
              <w:left w:w="100" w:type="dxa"/>
              <w:bottom w:w="80" w:type="dxa"/>
              <w:right w:w="100" w:type="dxa"/>
            </w:tcMar>
          </w:tcPr>
          <w:p>
            <w:pPr>
              <w:keepNext/>
            </w:pPr>
            <w:r>
              <w:rPr>
                <w:sz w:val="22"/>
                <w:szCs w:val="22"/>
              </w:rPr>
              <w:t>Média histórica</w:t>
            </w:r>
          </w:p>
        </w:tc>
        <w:tc>
          <w:tcPr>
            <w:tcW w:w="1869" w:type="dxa"/>
            <w:tcMar>
              <w:top w:w="80" w:type="dxa"/>
              <w:left w:w="100" w:type="dxa"/>
              <w:bottom w:w="80" w:type="dxa"/>
              <w:right w:w="100" w:type="dxa"/>
            </w:tcMar>
          </w:tcPr>
          <w:p>
            <w:pPr>
              <w:keepNext/>
            </w:pPr>
            <w:r>
              <w:rPr>
                <w:sz w:val="22"/>
                <w:szCs w:val="22"/>
              </w:rPr>
              <w:t>Linha de base</w:t>
            </w:r>
          </w:p>
        </w:tc>
        <w:tc>
          <w:tcPr>
            <w:tcW w:w="4591" w:type="dxa"/>
            <w:tcMar>
              <w:top w:w="80" w:type="dxa"/>
              <w:left w:w="100" w:type="dxa"/>
              <w:bottom w:w="80" w:type="dxa"/>
              <w:right w:w="100" w:type="dxa"/>
            </w:tcMar>
          </w:tcPr>
          <w:p>
            <w:pPr>
              <w:keepNext/>
            </w:pPr>
            <w:r>
              <w:rPr>
                <w:sz w:val="22"/>
                <w:szCs w:val="22"/>
              </w:rPr>
              <w:t>Média de todas as safras publicadas do município, sem clima</w:t>
            </w:r>
          </w:p>
        </w:tc>
      </w:tr>
      <w:tr>
        <w:trPr>
          <w:cantSplit/>
        </w:trPr>
        <w:tc>
          <w:tcPr>
            <w:tcW w:w="2040" w:type="dxa"/>
            <w:tcMar>
              <w:top w:w="80" w:type="dxa"/>
              <w:left w:w="100" w:type="dxa"/>
              <w:bottom w:w="80" w:type="dxa"/>
              <w:right w:w="100" w:type="dxa"/>
            </w:tcMar>
          </w:tcPr>
          <w:p>
            <w:pPr>
              <w:keepNext/>
            </w:pPr>
            <w:r>
              <w:rPr>
                <w:sz w:val="22"/>
                <w:szCs w:val="22"/>
              </w:rPr>
              <w:t>Última safra publicada</w:t>
            </w:r>
          </w:p>
        </w:tc>
        <w:tc>
          <w:tcPr>
            <w:tcW w:w="1869" w:type="dxa"/>
            <w:tcMar>
              <w:top w:w="80" w:type="dxa"/>
              <w:left w:w="100" w:type="dxa"/>
              <w:bottom w:w="80" w:type="dxa"/>
              <w:right w:w="100" w:type="dxa"/>
            </w:tcMar>
          </w:tcPr>
          <w:p>
            <w:pPr>
              <w:keepNext/>
            </w:pPr>
            <w:r>
              <w:rPr>
                <w:sz w:val="22"/>
                <w:szCs w:val="22"/>
              </w:rPr>
              <w:t>Linha de base</w:t>
            </w:r>
          </w:p>
        </w:tc>
        <w:tc>
          <w:tcPr>
            <w:tcW w:w="4591" w:type="dxa"/>
            <w:tcMar>
              <w:top w:w="80" w:type="dxa"/>
              <w:left w:w="100" w:type="dxa"/>
              <w:bottom w:w="80" w:type="dxa"/>
              <w:right w:w="100" w:type="dxa"/>
            </w:tcMar>
          </w:tcPr>
          <w:p>
            <w:pPr>
              <w:keepNext/>
            </w:pPr>
            <w:r>
              <w:rPr>
                <w:sz w:val="22"/>
                <w:szCs w:val="22"/>
              </w:rPr>
              <w:t>Rendimento da safra Y−2, sem clima</w:t>
            </w:r>
          </w:p>
        </w:tc>
      </w:tr>
      <w:tr>
        <w:trPr>
          <w:cantSplit/>
        </w:trPr>
        <w:tc>
          <w:tcPr>
            <w:tcW w:w="2040" w:type="dxa"/>
            <w:tcMar>
              <w:top w:w="80" w:type="dxa"/>
              <w:left w:w="100" w:type="dxa"/>
              <w:bottom w:w="80" w:type="dxa"/>
              <w:right w:w="100" w:type="dxa"/>
            </w:tcMar>
          </w:tcPr>
          <w:p>
            <w:pPr>
              <w:keepNext/>
            </w:pPr>
            <w:r>
              <w:rPr>
                <w:sz w:val="22"/>
                <w:szCs w:val="22"/>
              </w:rPr>
              <w:t>F</w:t>
            </w:r>
          </w:p>
        </w:tc>
        <w:tc>
          <w:tcPr>
            <w:tcW w:w="1869" w:type="dxa"/>
            <w:tcMar>
              <w:top w:w="80" w:type="dxa"/>
              <w:left w:w="100" w:type="dxa"/>
              <w:bottom w:w="80" w:type="dxa"/>
              <w:right w:w="100" w:type="dxa"/>
            </w:tcMar>
          </w:tcPr>
          <w:p>
            <w:pPr>
              <w:keepNext/>
            </w:pPr>
            <w:r>
              <w:rPr>
                <w:sz w:val="22"/>
                <w:szCs w:val="22"/>
              </w:rPr>
              <w:t>Regressão linear</w:t>
            </w:r>
          </w:p>
        </w:tc>
        <w:tc>
          <w:tcPr>
            <w:tcW w:w="4591" w:type="dxa"/>
            <w:tcMar>
              <w:top w:w="80" w:type="dxa"/>
              <w:left w:w="100" w:type="dxa"/>
              <w:bottom w:w="80" w:type="dxa"/>
              <w:right w:w="100" w:type="dxa"/>
            </w:tcMar>
          </w:tcPr>
          <w:p>
            <w:pPr>
              <w:keepNext/>
            </w:pPr>
            <w:r>
              <w:rPr>
                <w:sz w:val="22"/>
                <w:szCs w:val="22"/>
              </w:rPr>
              <w:t>Chuva de out–nov, chuva de dez–fev e seu quadrado, chuva de março, dias de calor e umidade mínima de dez–fev</w:t>
            </w:r>
          </w:p>
        </w:tc>
      </w:tr>
      <w:tr>
        <w:trPr>
          <w:cantSplit/>
        </w:trPr>
        <w:tc>
          <w:tcPr>
            <w:tcW w:w="2040" w:type="dxa"/>
            <w:tcMar>
              <w:top w:w="80" w:type="dxa"/>
              <w:left w:w="100" w:type="dxa"/>
              <w:bottom w:w="80" w:type="dxa"/>
              <w:right w:w="100" w:type="dxa"/>
            </w:tcMar>
          </w:tcPr>
          <w:p>
            <w:pPr>
              <w:keepNext/>
            </w:pPr>
            <w:r>
              <w:rPr>
                <w:sz w:val="22"/>
                <w:szCs w:val="22"/>
              </w:rPr>
              <w:t>H1</w:t>
            </w:r>
          </w:p>
        </w:tc>
        <w:tc>
          <w:tcPr>
            <w:tcW w:w="1869" w:type="dxa"/>
            <w:tcMar>
              <w:top w:w="80" w:type="dxa"/>
              <w:left w:w="100" w:type="dxa"/>
              <w:bottom w:w="80" w:type="dxa"/>
              <w:right w:w="100" w:type="dxa"/>
            </w:tcMar>
          </w:tcPr>
          <w:p>
            <w:pPr>
              <w:keepNext/>
            </w:pPr>
            <w:r>
              <w:rPr>
                <w:sz w:val="22"/>
                <w:szCs w:val="22"/>
              </w:rPr>
              <w:t>Regressão linear</w:t>
            </w:r>
          </w:p>
        </w:tc>
        <w:tc>
          <w:tcPr>
            <w:tcW w:w="4591" w:type="dxa"/>
            <w:tcMar>
              <w:top w:w="80" w:type="dxa"/>
              <w:left w:w="100" w:type="dxa"/>
              <w:bottom w:w="80" w:type="dxa"/>
              <w:right w:w="100" w:type="dxa"/>
            </w:tcMar>
          </w:tcPr>
          <w:p>
            <w:pPr>
              <w:keepNext/>
            </w:pPr>
            <w:r>
              <w:rPr>
                <w:sz w:val="22"/>
                <w:szCs w:val="22"/>
              </w:rPr>
              <w:t>F + déficit hídrico de dez–fev</w:t>
            </w:r>
          </w:p>
        </w:tc>
      </w:tr>
      <w:tr>
        <w:trPr>
          <w:cantSplit/>
        </w:trPr>
        <w:tc>
          <w:tcPr>
            <w:tcW w:w="2040" w:type="dxa"/>
            <w:tcMar>
              <w:top w:w="80" w:type="dxa"/>
              <w:left w:w="100" w:type="dxa"/>
              <w:bottom w:w="80" w:type="dxa"/>
              <w:right w:w="100" w:type="dxa"/>
            </w:tcMar>
          </w:tcPr>
          <w:p>
            <w:pPr>
              <w:keepNext/>
            </w:pPr>
            <w:r>
              <w:rPr>
                <w:sz w:val="22"/>
                <w:szCs w:val="22"/>
              </w:rPr>
              <w:t>H2</w:t>
            </w:r>
          </w:p>
        </w:tc>
        <w:tc>
          <w:tcPr>
            <w:tcW w:w="1869" w:type="dxa"/>
            <w:tcMar>
              <w:top w:w="80" w:type="dxa"/>
              <w:left w:w="100" w:type="dxa"/>
              <w:bottom w:w="80" w:type="dxa"/>
              <w:right w:w="100" w:type="dxa"/>
            </w:tcMar>
          </w:tcPr>
          <w:p>
            <w:pPr>
              <w:keepNext/>
            </w:pPr>
            <w:r>
              <w:rPr>
                <w:sz w:val="22"/>
                <w:szCs w:val="22"/>
              </w:rPr>
              <w:t>Regressão linear</w:t>
            </w:r>
          </w:p>
        </w:tc>
        <w:tc>
          <w:tcPr>
            <w:tcW w:w="4591" w:type="dxa"/>
            <w:tcMar>
              <w:top w:w="80" w:type="dxa"/>
              <w:left w:w="100" w:type="dxa"/>
              <w:bottom w:w="80" w:type="dxa"/>
              <w:right w:w="100" w:type="dxa"/>
            </w:tcMar>
          </w:tcPr>
          <w:p>
            <w:pPr>
              <w:keepNext/>
            </w:pPr>
            <w:r>
              <w:rPr>
                <w:sz w:val="22"/>
                <w:szCs w:val="22"/>
              </w:rPr>
              <w:t>H1 + max(0, U20 − U) + max(0, D − D80)</w:t>
            </w:r>
          </w:p>
        </w:tc>
      </w:tr>
      <w:tr>
        <w:trPr>
          <w:cantSplit/>
        </w:trPr>
        <w:tc>
          <w:tcPr>
            <w:tcW w:w="2040" w:type="dxa"/>
            <w:tcMar>
              <w:top w:w="80" w:type="dxa"/>
              <w:left w:w="100" w:type="dxa"/>
              <w:bottom w:w="80" w:type="dxa"/>
              <w:right w:w="100" w:type="dxa"/>
            </w:tcMar>
          </w:tcPr>
          <w:p>
            <w:pPr>
              <w:keepNext/>
            </w:pPr>
            <w:r>
              <w:rPr>
                <w:b/>
                <w:bCs/>
                <w:sz w:val="22"/>
                <w:szCs w:val="22"/>
              </w:rPr>
              <w:t>FL (final)</w:t>
            </w:r>
          </w:p>
        </w:tc>
        <w:tc>
          <w:tcPr>
            <w:tcW w:w="1869" w:type="dxa"/>
            <w:tcMar>
              <w:top w:w="80" w:type="dxa"/>
              <w:left w:w="100" w:type="dxa"/>
              <w:bottom w:w="80" w:type="dxa"/>
              <w:right w:w="100" w:type="dxa"/>
            </w:tcMar>
          </w:tcPr>
          <w:p>
            <w:pPr>
              <w:keepNext/>
            </w:pPr>
            <w:r>
              <w:rPr>
                <w:b/>
                <w:bCs/>
                <w:sz w:val="22"/>
                <w:szCs w:val="22"/>
              </w:rPr>
              <w:t>Regressão linear</w:t>
            </w:r>
          </w:p>
        </w:tc>
        <w:tc>
          <w:tcPr>
            <w:tcW w:w="4591" w:type="dxa"/>
            <w:tcMar>
              <w:top w:w="80" w:type="dxa"/>
              <w:left w:w="100" w:type="dxa"/>
              <w:bottom w:w="80" w:type="dxa"/>
              <w:right w:w="100" w:type="dxa"/>
            </w:tcMar>
          </w:tcPr>
          <w:p>
            <w:pPr>
              <w:keepNext/>
            </w:pPr>
            <w:r>
              <w:rPr>
                <w:b/>
                <w:bCs/>
                <w:sz w:val="22"/>
                <w:szCs w:val="22"/>
              </w:rPr>
              <w:t>F + max(0, D − D80)</w:t>
            </w:r>
          </w:p>
        </w:tc>
      </w:tr>
      <w:tr>
        <w:trPr>
          <w:cantSplit/>
        </w:trPr>
        <w:tc>
          <w:tcPr>
            <w:tcW w:w="2040" w:type="dxa"/>
            <w:tcMar>
              <w:top w:w="80" w:type="dxa"/>
              <w:left w:w="100" w:type="dxa"/>
              <w:bottom w:w="80" w:type="dxa"/>
              <w:right w:w="100" w:type="dxa"/>
            </w:tcMar>
          </w:tcPr>
          <w:p>
            <w:pPr>
              <w:keepNext/>
            </w:pPr>
            <w:r>
              <w:rPr>
                <w:sz w:val="22"/>
                <w:szCs w:val="22"/>
              </w:rPr>
              <w:t>Random Forest [Breiman 2001]</w:t>
            </w:r>
          </w:p>
        </w:tc>
        <w:tc>
          <w:tcPr>
            <w:tcW w:w="1869" w:type="dxa"/>
            <w:tcMar>
              <w:top w:w="80" w:type="dxa"/>
              <w:left w:w="100" w:type="dxa"/>
              <w:bottom w:w="80" w:type="dxa"/>
              <w:right w:w="100" w:type="dxa"/>
            </w:tcMar>
          </w:tcPr>
          <w:p>
            <w:pPr>
              <w:keepNext/>
            </w:pPr>
            <w:r>
              <w:rPr>
                <w:sz w:val="22"/>
                <w:szCs w:val="22"/>
              </w:rPr>
              <w:t>Árvores (bagging)</w:t>
            </w:r>
          </w:p>
        </w:tc>
        <w:tc>
          <w:tcPr>
            <w:tcW w:w="4591" w:type="dxa"/>
            <w:tcMar>
              <w:top w:w="80" w:type="dxa"/>
              <w:left w:w="100" w:type="dxa"/>
              <w:bottom w:w="80" w:type="dxa"/>
              <w:right w:w="100" w:type="dxa"/>
            </w:tcMar>
          </w:tcPr>
          <w:p>
            <w:pPr>
              <w:keepNext/>
            </w:pPr>
            <w:r>
              <w:rPr>
                <w:sz w:val="22"/>
                <w:szCs w:val="22"/>
              </w:rPr>
              <w:t>Clima, ONI e efeito do município (Etapas 1 e 2)</w:t>
            </w:r>
          </w:p>
        </w:tc>
      </w:tr>
      <w:tr>
        <w:trPr>
          <w:cantSplit/>
        </w:trPr>
        <w:tc>
          <w:tcPr>
            <w:tcW w:w="2040" w:type="dxa"/>
            <w:tcMar>
              <w:top w:w="80" w:type="dxa"/>
              <w:left w:w="100" w:type="dxa"/>
              <w:bottom w:w="80" w:type="dxa"/>
              <w:right w:w="100" w:type="dxa"/>
            </w:tcMar>
          </w:tcPr>
          <w:p>
            <w:pPr>
              <w:keepNext/>
            </w:pPr>
            <w:r>
              <w:rPr>
                <w:sz w:val="22"/>
                <w:szCs w:val="22"/>
              </w:rPr>
              <w:t>GB [Friedman 2001]</w:t>
            </w:r>
          </w:p>
        </w:tc>
        <w:tc>
          <w:tcPr>
            <w:tcW w:w="1869" w:type="dxa"/>
            <w:tcMar>
              <w:top w:w="80" w:type="dxa"/>
              <w:left w:w="100" w:type="dxa"/>
              <w:bottom w:w="80" w:type="dxa"/>
              <w:right w:w="100" w:type="dxa"/>
            </w:tcMar>
          </w:tcPr>
          <w:p>
            <w:pPr>
              <w:keepNext/>
            </w:pPr>
            <w:r>
              <w:rPr>
                <w:sz w:val="22"/>
                <w:szCs w:val="22"/>
              </w:rPr>
              <w:t>Árvores (boosting)</w:t>
            </w:r>
          </w:p>
        </w:tc>
        <w:tc>
          <w:tcPr>
            <w:tcW w:w="4591" w:type="dxa"/>
            <w:tcMar>
              <w:top w:w="80" w:type="dxa"/>
              <w:left w:w="100" w:type="dxa"/>
              <w:bottom w:w="80" w:type="dxa"/>
              <w:right w:w="100" w:type="dxa"/>
            </w:tcMar>
          </w:tcPr>
          <w:p>
            <w:pPr>
              <w:keepNext/>
            </w:pPr>
            <w:r>
              <w:rPr>
                <w:sz w:val="22"/>
                <w:szCs w:val="22"/>
              </w:rPr>
              <w:t>Todas as variáveis climáticas, o ONI e o balanço hídrico</w:t>
            </w:r>
          </w:p>
        </w:tc>
      </w:tr>
    </w:tbl>
    <w:p>
      <w:pPr>
        <w:keepNext/>
        <w:spacing w:before="280" w:after="160"/>
      </w:pPr>
      <w:bookmarkStart w:id="13" w:name="_Toc244263391"/>
      <w:r>
        <w:rPr>
          <w:b/>
          <w:bCs/>
          <w:sz w:val="24"/>
          <w:szCs w:val="24"/>
        </w:rPr>
        <w:t>3.5 Validação e métricas</w:t>
      </w:r>
      <w:bookmarkEnd w:id="13"/>
    </w:p>
    <w:p>
      <w:pPr>
        <w:spacing w:after="200" w:line="276" w:lineRule="auto"/>
        <w:ind w:firstLine="720"/>
        <w:jc w:val="both"/>
      </w:pPr>
      <w:r>
        <w:rPr>
          <w:sz w:val="24"/>
          <w:szCs w:val="24"/>
        </w:rPr>
        <w:t xml:space="preserve">Os dados nunca são divididos de forma aleatória. Foram usadas duas validações: (i) </w:t>
      </w:r>
      <w:r>
        <w:rPr>
          <w:b/>
          <w:bCs/>
          <w:sz w:val="24"/>
          <w:szCs w:val="24"/>
        </w:rPr>
        <w:t>corte temporal</w:t>
      </w:r>
      <w:r>
        <w:rPr>
          <w:sz w:val="24"/>
          <w:szCs w:val="24"/>
        </w:rPr>
        <w:t xml:space="preserve">, com treino até 2020 e teste em 2021–2025, que simula a previsão real nas safras mais recentes; e (ii) </w:t>
      </w:r>
      <w:r>
        <w:rPr>
          <w:b/>
          <w:bCs/>
          <w:sz w:val="24"/>
          <w:szCs w:val="24"/>
        </w:rPr>
        <w:t>deixando uma safra de fora</w:t>
      </w:r>
      <w:r>
        <w:rPr>
          <w:sz w:val="24"/>
          <w:szCs w:val="24"/>
        </w:rPr>
        <w:t>, em que cada safra de 2008 a 2025 é prevista por um modelo treinado com todas as demais, medindo a estabilidade da relação entre clima e rendimento. Nas duas, o patamar usa só safras publicadas. As métricas são RMSE, MAE, R² e viés médio (previsto − observado), e o modelo final é o de menor RMSE médio nas duas validações. O intervalo de 80% das previsões vem dos percentis 10 e 90 do erro na validação deixando uma safra de fora, e a média estadual é ponderada pela área plantada, como na PAM.</w:t>
      </w:r>
    </w:p>
    <w:p>
      <w:pPr>
        <w:keepNext/>
      </w:pPr>
      <w:bookmarkStart w:id="14" w:name="_Toc244263392"/>
      <w:r>
        <w:rPr>
          <w:b/>
          <w:bCs/>
          <w:sz w:val="28"/>
          <w:szCs w:val="28"/>
        </w:rPr>
        <w:t>4. Etapas da modelagem</w:t>
      </w:r>
      <w:bookmarkEnd w:id="14"/>
    </w:p>
    <w:p>
      <w:pPr>
        <w:spacing w:after="200" w:line="276" w:lineRule="auto"/>
        <w:ind w:firstLine="720"/>
        <w:jc w:val="both"/>
      </w:pPr>
      <w:r>
        <w:rPr>
          <w:sz w:val="24"/>
          <w:szCs w:val="24"/>
        </w:rPr>
        <w:t>A modelagem foi conduzida em seis etapas, cada uma motivada pelo diagnóstico dos erros da anterior (Tabela 6).</w:t>
      </w:r>
    </w:p>
    <w:p>
      <w:pPr>
        <w:keepNext/>
        <w:spacing w:before="120" w:after="300"/>
        <w:jc w:val="center"/>
      </w:pPr>
      <w:r>
        <w:rPr>
          <w:i/>
          <w:iCs/>
          <w:sz w:val="22"/>
          <w:szCs w:val="22"/>
        </w:rPr>
        <w:t xml:space="preserve">Tabela 6 – Evolução da modelagem. RMSE em kg/ha (corte 2021–2025 / uma safra de fora). Fonte: elaboração própria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679"/>
        <w:gridCol w:w="2890"/>
        <w:gridCol w:w="4931"/>
      </w:tblGrid>
      <w:tr>
        <w:trPr>
          <w:cantSplit/>
          <w:tblHeader/>
        </w:trPr>
        <w:tc>
          <w:tcPr>
            <w:tcW w:w="679" w:type="dxa"/>
            <w:shd w:val="clear" w:color="auto" w:fill="D9D9D9"/>
            <w:tcMar>
              <w:top w:w="80" w:type="dxa"/>
              <w:left w:w="100" w:type="dxa"/>
              <w:bottom w:w="80" w:type="dxa"/>
              <w:right w:w="100" w:type="dxa"/>
            </w:tcMar>
          </w:tcPr>
          <w:p>
            <w:pPr>
              <w:keepNext/>
              <w:jc w:val="center"/>
            </w:pPr>
            <w:r>
              <w:rPr>
                <w:b/>
                <w:bCs/>
                <w:sz w:val="22"/>
                <w:szCs w:val="22"/>
              </w:rPr>
              <w:t>Etapa</w:t>
            </w:r>
          </w:p>
        </w:tc>
        <w:tc>
          <w:tcPr>
            <w:tcW w:w="2890" w:type="dxa"/>
            <w:shd w:val="clear" w:color="auto" w:fill="D9D9D9"/>
            <w:tcMar>
              <w:top w:w="80" w:type="dxa"/>
              <w:left w:w="100" w:type="dxa"/>
              <w:bottom w:w="80" w:type="dxa"/>
              <w:right w:w="100" w:type="dxa"/>
            </w:tcMar>
          </w:tcPr>
          <w:p>
            <w:pPr>
              <w:keepNext/>
              <w:jc w:val="center"/>
            </w:pPr>
            <w:r>
              <w:rPr>
                <w:b/>
                <w:bCs/>
                <w:sz w:val="22"/>
                <w:szCs w:val="22"/>
              </w:rPr>
              <w:t>Mudança</w:t>
            </w:r>
          </w:p>
        </w:tc>
        <w:tc>
          <w:tcPr>
            <w:tcW w:w="4931" w:type="dxa"/>
            <w:shd w:val="clear" w:color="auto" w:fill="D9D9D9"/>
            <w:tcMar>
              <w:top w:w="80" w:type="dxa"/>
              <w:left w:w="100" w:type="dxa"/>
              <w:bottom w:w="80" w:type="dxa"/>
              <w:right w:w="100" w:type="dxa"/>
            </w:tcMar>
          </w:tcPr>
          <w:p>
            <w:pPr>
              <w:keepNext/>
              <w:jc w:val="center"/>
            </w:pPr>
            <w:r>
              <w:rPr>
                <w:b/>
                <w:bCs/>
                <w:sz w:val="22"/>
                <w:szCs w:val="22"/>
              </w:rPr>
              <w:t>Resultado principal</w:t>
            </w:r>
          </w:p>
        </w:tc>
      </w:tr>
      <w:tr>
        <w:trPr>
          <w:cantSplit/>
        </w:trPr>
        <w:tc>
          <w:tcPr>
            <w:tcW w:w="679" w:type="dxa"/>
            <w:tcMar>
              <w:top w:w="80" w:type="dxa"/>
              <w:left w:w="100" w:type="dxa"/>
              <w:bottom w:w="80" w:type="dxa"/>
              <w:right w:w="100" w:type="dxa"/>
            </w:tcMar>
          </w:tcPr>
          <w:p>
            <w:pPr>
              <w:keepNext/>
              <w:jc w:val="center"/>
            </w:pPr>
            <w:r>
              <w:rPr>
                <w:sz w:val="22"/>
                <w:szCs w:val="22"/>
              </w:rPr>
              <w:t>1</w:t>
            </w:r>
          </w:p>
        </w:tc>
        <w:tc>
          <w:tcPr>
            <w:tcW w:w="2890" w:type="dxa"/>
            <w:tcMar>
              <w:top w:w="80" w:type="dxa"/>
              <w:left w:w="100" w:type="dxa"/>
              <w:bottom w:w="80" w:type="dxa"/>
              <w:right w:w="100" w:type="dxa"/>
            </w:tcMar>
          </w:tcPr>
          <w:p>
            <w:pPr>
              <w:keepNext/>
            </w:pPr>
            <w:r>
              <w:rPr>
                <w:sz w:val="22"/>
                <w:szCs w:val="22"/>
              </w:rPr>
              <w:t>Clima agregado de outubro a março (INMET)</w:t>
            </w:r>
          </w:p>
        </w:tc>
        <w:tc>
          <w:tcPr>
            <w:tcW w:w="4931" w:type="dxa"/>
            <w:tcMar>
              <w:top w:w="80" w:type="dxa"/>
              <w:left w:w="100" w:type="dxa"/>
              <w:bottom w:w="80" w:type="dxa"/>
              <w:right w:w="100" w:type="dxa"/>
            </w:tcMar>
          </w:tcPr>
          <w:p>
            <w:pPr>
              <w:keepNext/>
            </w:pPr>
            <w:r>
              <w:rPr>
                <w:sz w:val="22"/>
                <w:szCs w:val="22"/>
              </w:rPr>
              <w:t>R² negativo no teste 2021–2025 para todos os modelos</w:t>
            </w:r>
          </w:p>
        </w:tc>
      </w:tr>
      <w:tr>
        <w:trPr>
          <w:cantSplit/>
        </w:trPr>
        <w:tc>
          <w:tcPr>
            <w:tcW w:w="679" w:type="dxa"/>
            <w:tcMar>
              <w:top w:w="80" w:type="dxa"/>
              <w:left w:w="100" w:type="dxa"/>
              <w:bottom w:w="80" w:type="dxa"/>
              <w:right w:w="100" w:type="dxa"/>
            </w:tcMar>
          </w:tcPr>
          <w:p>
            <w:pPr>
              <w:keepNext/>
              <w:jc w:val="center"/>
            </w:pPr>
            <w:r>
              <w:rPr>
                <w:sz w:val="22"/>
                <w:szCs w:val="22"/>
              </w:rPr>
              <w:t>2</w:t>
            </w:r>
          </w:p>
        </w:tc>
        <w:tc>
          <w:tcPr>
            <w:tcW w:w="2890" w:type="dxa"/>
            <w:tcMar>
              <w:top w:w="80" w:type="dxa"/>
              <w:left w:w="100" w:type="dxa"/>
              <w:bottom w:w="80" w:type="dxa"/>
              <w:right w:w="100" w:type="dxa"/>
            </w:tcMar>
          </w:tcPr>
          <w:p>
            <w:pPr>
              <w:keepNext/>
            </w:pPr>
            <w:r>
              <w:rPr>
                <w:sz w:val="22"/>
                <w:szCs w:val="22"/>
              </w:rPr>
              <w:t>Clima por subperíodo do ciclo</w:t>
            </w:r>
          </w:p>
        </w:tc>
        <w:tc>
          <w:tcPr>
            <w:tcW w:w="4931" w:type="dxa"/>
            <w:tcMar>
              <w:top w:w="80" w:type="dxa"/>
              <w:left w:w="100" w:type="dxa"/>
              <w:bottom w:w="80" w:type="dxa"/>
              <w:right w:w="100" w:type="dxa"/>
            </w:tcMar>
          </w:tcPr>
          <w:p>
            <w:pPr>
              <w:keepNext/>
            </w:pPr>
            <w:r>
              <w:rPr>
                <w:sz w:val="22"/>
                <w:szCs w:val="22"/>
              </w:rPr>
              <w:t>O clima explica as safras, mas a tendência extrapolada gera viés de +490 a +740 kg/ha em 2021–2025</w:t>
            </w:r>
          </w:p>
        </w:tc>
      </w:tr>
      <w:tr>
        <w:trPr>
          <w:cantSplit/>
        </w:trPr>
        <w:tc>
          <w:tcPr>
            <w:tcW w:w="679" w:type="dxa"/>
            <w:tcMar>
              <w:top w:w="80" w:type="dxa"/>
              <w:left w:w="100" w:type="dxa"/>
              <w:bottom w:w="80" w:type="dxa"/>
              <w:right w:w="100" w:type="dxa"/>
            </w:tcMar>
          </w:tcPr>
          <w:p>
            <w:pPr>
              <w:keepNext/>
              <w:jc w:val="center"/>
            </w:pPr>
            <w:r>
              <w:rPr>
                <w:sz w:val="22"/>
                <w:szCs w:val="22"/>
              </w:rPr>
              <w:t>3</w:t>
            </w:r>
          </w:p>
        </w:tc>
        <w:tc>
          <w:tcPr>
            <w:tcW w:w="2890" w:type="dxa"/>
            <w:tcMar>
              <w:top w:w="80" w:type="dxa"/>
              <w:left w:w="100" w:type="dxa"/>
              <w:bottom w:w="80" w:type="dxa"/>
              <w:right w:w="100" w:type="dxa"/>
            </w:tcMar>
          </w:tcPr>
          <w:p>
            <w:pPr>
              <w:keepNext/>
            </w:pPr>
            <w:r>
              <w:rPr>
                <w:sz w:val="22"/>
                <w:szCs w:val="22"/>
              </w:rPr>
              <w:t>Patamar com as safras publicadas (média de 5 safras até Y−2)</w:t>
            </w:r>
          </w:p>
        </w:tc>
        <w:tc>
          <w:tcPr>
            <w:tcW w:w="4931" w:type="dxa"/>
            <w:tcMar>
              <w:top w:w="80" w:type="dxa"/>
              <w:left w:w="100" w:type="dxa"/>
              <w:bottom w:w="80" w:type="dxa"/>
              <w:right w:w="100" w:type="dxa"/>
            </w:tcMar>
          </w:tcPr>
          <w:p>
            <w:pPr>
              <w:keepNext/>
            </w:pPr>
            <w:r>
              <w:rPr>
                <w:sz w:val="22"/>
                <w:szCs w:val="22"/>
              </w:rPr>
              <w:t>F: RMSE 873 / 714; supera as linhas de base deixando uma safra de fora</w:t>
            </w:r>
          </w:p>
        </w:tc>
      </w:tr>
      <w:tr>
        <w:trPr>
          <w:cantSplit/>
        </w:trPr>
        <w:tc>
          <w:tcPr>
            <w:tcW w:w="679" w:type="dxa"/>
            <w:tcMar>
              <w:top w:w="80" w:type="dxa"/>
              <w:left w:w="100" w:type="dxa"/>
              <w:bottom w:w="80" w:type="dxa"/>
              <w:right w:w="100" w:type="dxa"/>
            </w:tcMar>
          </w:tcPr>
          <w:p>
            <w:pPr>
              <w:keepNext/>
              <w:jc w:val="center"/>
            </w:pPr>
            <w:r>
              <w:rPr>
                <w:sz w:val="22"/>
                <w:szCs w:val="22"/>
              </w:rPr>
              <w:t>4</w:t>
            </w:r>
          </w:p>
        </w:tc>
        <w:tc>
          <w:tcPr>
            <w:tcW w:w="2890" w:type="dxa"/>
            <w:tcMar>
              <w:top w:w="80" w:type="dxa"/>
              <w:left w:w="100" w:type="dxa"/>
              <w:bottom w:w="80" w:type="dxa"/>
              <w:right w:w="100" w:type="dxa"/>
            </w:tcMar>
          </w:tcPr>
          <w:p>
            <w:pPr>
              <w:keepNext/>
            </w:pPr>
            <w:r>
              <w:rPr>
                <w:sz w:val="22"/>
                <w:szCs w:val="22"/>
              </w:rPr>
              <w:t>Balanço hídrico e limiares de seca extrema</w:t>
            </w:r>
          </w:p>
        </w:tc>
        <w:tc>
          <w:tcPr>
            <w:tcW w:w="4931" w:type="dxa"/>
            <w:tcMar>
              <w:top w:w="80" w:type="dxa"/>
              <w:left w:w="100" w:type="dxa"/>
              <w:bottom w:w="80" w:type="dxa"/>
              <w:right w:w="100" w:type="dxa"/>
            </w:tcMar>
          </w:tcPr>
          <w:p>
            <w:pPr>
              <w:keepNext/>
            </w:pPr>
            <w:r>
              <w:rPr>
                <w:sz w:val="22"/>
                <w:szCs w:val="22"/>
              </w:rPr>
              <w:t>H2: RMSE 870 / 706</w:t>
            </w:r>
          </w:p>
        </w:tc>
      </w:tr>
      <w:tr>
        <w:trPr>
          <w:cantSplit/>
        </w:trPr>
        <w:tc>
          <w:tcPr>
            <w:tcW w:w="679" w:type="dxa"/>
            <w:tcMar>
              <w:top w:w="80" w:type="dxa"/>
              <w:left w:w="100" w:type="dxa"/>
              <w:bottom w:w="80" w:type="dxa"/>
              <w:right w:w="100" w:type="dxa"/>
            </w:tcMar>
          </w:tcPr>
          <w:p>
            <w:pPr>
              <w:keepNext/>
              <w:jc w:val="center"/>
            </w:pPr>
            <w:r>
              <w:rPr>
                <w:sz w:val="22"/>
                <w:szCs w:val="22"/>
              </w:rPr>
              <w:t>5</w:t>
            </w:r>
          </w:p>
        </w:tc>
        <w:tc>
          <w:tcPr>
            <w:tcW w:w="2890" w:type="dxa"/>
            <w:tcMar>
              <w:top w:w="80" w:type="dxa"/>
              <w:left w:w="100" w:type="dxa"/>
              <w:bottom w:w="80" w:type="dxa"/>
              <w:right w:w="100" w:type="dxa"/>
            </w:tcMar>
          </w:tcPr>
          <w:p>
            <w:pPr>
              <w:keepNext/>
            </w:pPr>
            <w:r>
              <w:rPr>
                <w:sz w:val="22"/>
                <w:szCs w:val="22"/>
              </w:rPr>
              <w:t>Clima em grade do NASA POWER</w:t>
            </w:r>
          </w:p>
        </w:tc>
        <w:tc>
          <w:tcPr>
            <w:tcW w:w="4931" w:type="dxa"/>
            <w:tcMar>
              <w:top w:w="80" w:type="dxa"/>
              <w:left w:w="100" w:type="dxa"/>
              <w:bottom w:w="80" w:type="dxa"/>
              <w:right w:w="100" w:type="dxa"/>
            </w:tcMar>
          </w:tcPr>
          <w:p>
            <w:pPr>
              <w:keepNext/>
            </w:pPr>
            <w:r>
              <w:rPr>
                <w:sz w:val="22"/>
                <w:szCs w:val="22"/>
              </w:rPr>
              <w:t>Base de 5.236 para 8.261 linhas; FL: RMSE 772 / 626, R² 0,28 / 0,40</w:t>
            </w:r>
          </w:p>
        </w:tc>
      </w:tr>
      <w:tr>
        <w:trPr>
          <w:cantSplit/>
        </w:trPr>
        <w:tc>
          <w:tcPr>
            <w:tcW w:w="679" w:type="dxa"/>
            <w:tcMar>
              <w:top w:w="80" w:type="dxa"/>
              <w:left w:w="100" w:type="dxa"/>
              <w:bottom w:w="80" w:type="dxa"/>
              <w:right w:w="100" w:type="dxa"/>
            </w:tcMar>
          </w:tcPr>
          <w:p>
            <w:pPr>
              <w:keepNext/>
              <w:jc w:val="center"/>
            </w:pPr>
            <w:r>
              <w:rPr>
                <w:sz w:val="22"/>
                <w:szCs w:val="22"/>
              </w:rPr>
              <w:t>6</w:t>
            </w:r>
          </w:p>
        </w:tc>
        <w:tc>
          <w:tcPr>
            <w:tcW w:w="2890" w:type="dxa"/>
            <w:tcMar>
              <w:top w:w="80" w:type="dxa"/>
              <w:left w:w="100" w:type="dxa"/>
              <w:bottom w:w="80" w:type="dxa"/>
              <w:right w:w="100" w:type="dxa"/>
            </w:tcMar>
          </w:tcPr>
          <w:p>
            <w:pPr>
              <w:keepNext/>
            </w:pPr>
            <w:r>
              <w:rPr>
                <w:sz w:val="22"/>
                <w:szCs w:val="22"/>
              </w:rPr>
              <w:t>Revalidação e aplicação às safras 2026 e 2027</w:t>
            </w:r>
          </w:p>
        </w:tc>
        <w:tc>
          <w:tcPr>
            <w:tcW w:w="4931" w:type="dxa"/>
            <w:tcMar>
              <w:top w:w="80" w:type="dxa"/>
              <w:left w:w="100" w:type="dxa"/>
              <w:bottom w:w="80" w:type="dxa"/>
              <w:right w:w="100" w:type="dxa"/>
            </w:tcMar>
          </w:tcPr>
          <w:p>
            <w:pPr>
              <w:keepNext/>
            </w:pPr>
            <w:r>
              <w:rPr>
                <w:sz w:val="22"/>
                <w:szCs w:val="22"/>
              </w:rPr>
              <w:t>FL reconfirmado; 2026 prevista em 2.097 kg/ha; 2027 com mediana de 2.831 kg/ha sob El Niño</w:t>
            </w:r>
          </w:p>
        </w:tc>
      </w:tr>
    </w:tbl>
    <w:p>
      <w:pPr>
        <w:keepNext/>
        <w:spacing w:before="280" w:after="160"/>
      </w:pPr>
      <w:bookmarkStart w:id="15" w:name="_Toc244263393"/>
      <w:r>
        <w:rPr>
          <w:b/>
          <w:bCs/>
          <w:sz w:val="24"/>
          <w:szCs w:val="24"/>
        </w:rPr>
        <w:t>4.1 Etapa 1 – Clima agregado</w:t>
      </w:r>
      <w:bookmarkEnd w:id="15"/>
    </w:p>
    <w:p>
      <w:pPr>
        <w:spacing w:after="200" w:line="276" w:lineRule="auto"/>
        <w:ind w:firstLine="720"/>
        <w:jc w:val="both"/>
      </w:pPr>
      <w:r>
        <w:rPr>
          <w:sz w:val="24"/>
          <w:szCs w:val="24"/>
        </w:rPr>
        <w:t xml:space="preserve">A primeira versão comparou regressão linear, Random Forest e Gradient Boosting com a chuva total e a temperatura média de outubro a março do INMET, o ONI e o efeito do município (5.869 linhas; treino 2001–2020, teste 2021–2025). Nenhum modelo superou a média do período de teste (R² negativo). As safras 2021 e 2022 tiveram chuva total semelhante (≈700 e ≈660 mm), mas rendimento recorde e quebra, respectivamente: a diferença estava na chuva de dezembro a fevereiro (≈360 × 200 mm). O total da safra não indica </w:t>
      </w:r>
      <w:r>
        <w:rPr>
          <w:sz w:val="24"/>
          <w:szCs w:val="24"/>
        </w:rPr>
        <w:t>quando a chuva ocorreu.</w:t>
      </w:r>
    </w:p>
    <w:p>
      <w:pPr>
        <w:keepNext/>
        <w:spacing w:before="280" w:after="160"/>
      </w:pPr>
      <w:bookmarkStart w:id="16" w:name="_Toc244263394"/>
      <w:r>
        <w:rPr>
          <w:b/>
          <w:bCs/>
          <w:sz w:val="24"/>
          <w:szCs w:val="24"/>
        </w:rPr>
        <w:t>4.2 Etapa 2 – Clima por subperíodo</w:t>
      </w:r>
      <w:bookmarkEnd w:id="16"/>
    </w:p>
    <w:p>
      <w:pPr>
        <w:spacing w:after="200" w:line="276" w:lineRule="auto"/>
        <w:ind w:firstLine="720"/>
        <w:jc w:val="both"/>
      </w:pPr>
      <w:r>
        <w:rPr>
          <w:sz w:val="24"/>
          <w:szCs w:val="24"/>
        </w:rPr>
        <w:t>Com o clima reagregado por subperíodo, o modelo passou a distinguir as safras, mas as previsões de 2021–2025 ficaram enviesadas para cima: a tendência ajustada até 2020 projetava mais de 3.000 kg/ha, e a média observada em 2020–2025 foi de ≈2.370 kg/ha. A validação deixando uma safra de fora indicava R² de 0,44, valor otimista porque a tendência usava safras posteriores à prevista; com o patamar só das safras publicadas (Etapa 3), o valor realista é ≈0,20. Nas duas primeiras etapas, o Random Forest teve o m</w:t>
      </w:r>
      <w:r>
        <w:rPr>
          <w:sz w:val="24"/>
          <w:szCs w:val="24"/>
        </w:rPr>
        <w:t>aior erro dos três algoritmos (Tabela 7) e não foi levado adiante.</w:t>
      </w:r>
    </w:p>
    <w:p>
      <w:pPr>
        <w:keepNext/>
        <w:spacing w:before="120" w:after="300"/>
        <w:jc w:val="center"/>
      </w:pPr>
      <w:r>
        <w:rPr>
          <w:i/>
          <w:iCs/>
          <w:sz w:val="22"/>
          <w:szCs w:val="22"/>
        </w:rPr>
        <w:t xml:space="preserve">Tabela 7 – Regressão linear, Random Forest e Gradient Boosting nas Etapas 1 e 2 (corte 2021–2025). Fonte: elaboração própria (2026). RMSE em kg/ha; as bases diferem entre as etapas, por isso só se comparam valores da mesma etapa.</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890"/>
        <w:gridCol w:w="1360"/>
        <w:gridCol w:w="1445"/>
        <w:gridCol w:w="1360"/>
        <w:gridCol w:w="1445"/>
      </w:tblGrid>
      <w:tr>
        <w:trPr>
          <w:cantSplit/>
          <w:tblHeader/>
        </w:trPr>
        <w:tc>
          <w:tcPr>
            <w:tcW w:w="2890" w:type="dxa"/>
            <w:shd w:val="clear" w:color="auto" w:fill="D9D9D9"/>
            <w:tcMar>
              <w:top w:w="80" w:type="dxa"/>
              <w:left w:w="100" w:type="dxa"/>
              <w:bottom w:w="80" w:type="dxa"/>
              <w:right w:w="100" w:type="dxa"/>
            </w:tcMar>
          </w:tcPr>
          <w:p>
            <w:pPr>
              <w:keepNext/>
              <w:jc w:val="center"/>
            </w:pPr>
            <w:r>
              <w:rPr>
                <w:b/>
                <w:bCs/>
                <w:sz w:val="22"/>
                <w:szCs w:val="22"/>
              </w:rPr>
              <w:t>Modelo</w:t>
            </w:r>
          </w:p>
        </w:tc>
        <w:tc>
          <w:tcPr>
            <w:tcW w:w="2805" w:type="dxa"/>
            <w:gridSpan w:val="2"/>
            <w:shd w:val="clear" w:color="auto" w:fill="D9D9D9"/>
            <w:tcMar>
              <w:top w:w="80" w:type="dxa"/>
              <w:left w:w="100" w:type="dxa"/>
              <w:bottom w:w="80" w:type="dxa"/>
              <w:right w:w="100" w:type="dxa"/>
            </w:tcMar>
          </w:tcPr>
          <w:p>
            <w:pPr>
              <w:keepNext/>
              <w:jc w:val="center"/>
            </w:pPr>
            <w:r>
              <w:rPr>
                <w:b/>
                <w:bCs/>
                <w:sz w:val="22"/>
                <w:szCs w:val="22"/>
              </w:rPr>
              <w:t>Etapa 1 (5.869 linhas)</w:t>
            </w:r>
          </w:p>
        </w:tc>
        <w:tc>
          <w:tcPr>
            <w:tcW w:w="2805" w:type="dxa"/>
            <w:gridSpan w:val="2"/>
            <w:shd w:val="clear" w:color="auto" w:fill="D9D9D9"/>
            <w:tcMar>
              <w:top w:w="80" w:type="dxa"/>
              <w:left w:w="100" w:type="dxa"/>
              <w:bottom w:w="80" w:type="dxa"/>
              <w:right w:w="100" w:type="dxa"/>
            </w:tcMar>
          </w:tcPr>
          <w:p>
            <w:pPr>
              <w:keepNext/>
              <w:jc w:val="center"/>
            </w:pPr>
            <w:r>
              <w:rPr>
                <w:b/>
                <w:bCs/>
                <w:sz w:val="22"/>
                <w:szCs w:val="22"/>
              </w:rPr>
              <w:t>Etapa 2 (4.859 linhas)</w:t>
            </w:r>
          </w:p>
        </w:tc>
      </w:tr>
      <w:tr>
        <w:trPr>
          <w:cantSplit/>
          <w:tblHeader/>
        </w:trPr>
        <w:tc>
          <w:tcPr>
            <w:tcW w:w="2890" w:type="dxa"/>
            <w:shd w:val="clear" w:color="auto" w:fill="D9D9D9"/>
            <w:tcMar>
              <w:top w:w="80" w:type="dxa"/>
              <w:left w:w="100" w:type="dxa"/>
              <w:bottom w:w="80" w:type="dxa"/>
              <w:right w:w="100" w:type="dxa"/>
            </w:tcMar>
          </w:tcPr>
          <w:p>
            <w:pPr>
              <w:keepNext/>
              <w:jc w:val="center"/>
            </w:pPr>
          </w:p>
        </w:tc>
        <w:tc>
          <w:tcPr>
            <w:tcW w:w="1360" w:type="dxa"/>
            <w:shd w:val="clear" w:color="auto" w:fill="D9D9D9"/>
            <w:tcMar>
              <w:top w:w="80" w:type="dxa"/>
              <w:left w:w="100" w:type="dxa"/>
              <w:bottom w:w="80" w:type="dxa"/>
              <w:right w:w="100" w:type="dxa"/>
            </w:tcMar>
          </w:tcPr>
          <w:p>
            <w:pPr>
              <w:keepNext/>
              <w:jc w:val="center"/>
            </w:pPr>
            <w:r>
              <w:rPr>
                <w:b/>
                <w:bCs/>
                <w:sz w:val="22"/>
                <w:szCs w:val="22"/>
              </w:rPr>
              <w:t>RMSE</w:t>
            </w:r>
          </w:p>
        </w:tc>
        <w:tc>
          <w:tcPr>
            <w:tcW w:w="1445" w:type="dxa"/>
            <w:shd w:val="clear" w:color="auto" w:fill="D9D9D9"/>
            <w:tcMar>
              <w:top w:w="80" w:type="dxa"/>
              <w:left w:w="100" w:type="dxa"/>
              <w:bottom w:w="80" w:type="dxa"/>
              <w:right w:w="100" w:type="dxa"/>
            </w:tcMar>
          </w:tcPr>
          <w:p>
            <w:pPr>
              <w:keepNext/>
              <w:jc w:val="center"/>
            </w:pPr>
            <w:r>
              <w:rPr>
                <w:b/>
                <w:bCs/>
                <w:sz w:val="22"/>
                <w:szCs w:val="22"/>
              </w:rPr>
              <w:t>R²</w:t>
            </w:r>
          </w:p>
        </w:tc>
        <w:tc>
          <w:tcPr>
            <w:tcW w:w="1360" w:type="dxa"/>
            <w:shd w:val="clear" w:color="auto" w:fill="D9D9D9"/>
            <w:tcMar>
              <w:top w:w="80" w:type="dxa"/>
              <w:left w:w="100" w:type="dxa"/>
              <w:bottom w:w="80" w:type="dxa"/>
              <w:right w:w="100" w:type="dxa"/>
            </w:tcMar>
          </w:tcPr>
          <w:p>
            <w:pPr>
              <w:keepNext/>
              <w:jc w:val="center"/>
            </w:pPr>
            <w:r>
              <w:rPr>
                <w:b/>
                <w:bCs/>
                <w:sz w:val="22"/>
                <w:szCs w:val="22"/>
              </w:rPr>
              <w:t>RMSE</w:t>
            </w:r>
          </w:p>
        </w:tc>
        <w:tc>
          <w:tcPr>
            <w:tcW w:w="1445" w:type="dxa"/>
            <w:shd w:val="clear" w:color="auto" w:fill="D9D9D9"/>
            <w:tcMar>
              <w:top w:w="80" w:type="dxa"/>
              <w:left w:w="100" w:type="dxa"/>
              <w:bottom w:w="80" w:type="dxa"/>
              <w:right w:w="100" w:type="dxa"/>
            </w:tcMar>
          </w:tcPr>
          <w:p>
            <w:pPr>
              <w:keepNext/>
              <w:jc w:val="center"/>
            </w:pPr>
            <w:r>
              <w:rPr>
                <w:b/>
                <w:bCs/>
                <w:sz w:val="22"/>
                <w:szCs w:val="22"/>
              </w:rPr>
              <w:t>R²</w:t>
            </w:r>
          </w:p>
        </w:tc>
      </w:tr>
      <w:tr>
        <w:trPr>
          <w:cantSplit/>
        </w:trPr>
        <w:tc>
          <w:tcPr>
            <w:tcW w:w="2890" w:type="dxa"/>
            <w:tcMar>
              <w:top w:w="80" w:type="dxa"/>
              <w:left w:w="100" w:type="dxa"/>
              <w:bottom w:w="80" w:type="dxa"/>
              <w:right w:w="100" w:type="dxa"/>
            </w:tcMar>
          </w:tcPr>
          <w:p>
            <w:pPr>
              <w:keepNext/>
            </w:pPr>
            <w:r>
              <w:rPr>
                <w:sz w:val="22"/>
                <w:szCs w:val="22"/>
              </w:rPr>
              <w:t>Regressão linear</w:t>
            </w:r>
          </w:p>
        </w:tc>
        <w:tc>
          <w:tcPr>
            <w:tcW w:w="1360" w:type="dxa"/>
            <w:tcMar>
              <w:top w:w="80" w:type="dxa"/>
              <w:left w:w="100" w:type="dxa"/>
              <w:bottom w:w="80" w:type="dxa"/>
              <w:right w:w="100" w:type="dxa"/>
            </w:tcMar>
          </w:tcPr>
          <w:p>
            <w:pPr>
              <w:keepNext/>
              <w:jc w:val="center"/>
            </w:pPr>
            <w:r>
              <w:rPr>
                <w:sz w:val="22"/>
                <w:szCs w:val="22"/>
              </w:rPr>
              <w:t>935</w:t>
            </w:r>
          </w:p>
        </w:tc>
        <w:tc>
          <w:tcPr>
            <w:tcW w:w="1445" w:type="dxa"/>
            <w:tcMar>
              <w:top w:w="80" w:type="dxa"/>
              <w:left w:w="100" w:type="dxa"/>
              <w:bottom w:w="80" w:type="dxa"/>
              <w:right w:w="100" w:type="dxa"/>
            </w:tcMar>
          </w:tcPr>
          <w:p>
            <w:pPr>
              <w:keepNext/>
              <w:jc w:val="center"/>
            </w:pPr>
            <w:r>
              <w:rPr>
                <w:sz w:val="22"/>
                <w:szCs w:val="22"/>
              </w:rPr>
              <w:t>−0,12</w:t>
            </w:r>
          </w:p>
        </w:tc>
        <w:tc>
          <w:tcPr>
            <w:tcW w:w="1360" w:type="dxa"/>
            <w:tcMar>
              <w:top w:w="80" w:type="dxa"/>
              <w:left w:w="100" w:type="dxa"/>
              <w:bottom w:w="80" w:type="dxa"/>
              <w:right w:w="100" w:type="dxa"/>
            </w:tcMar>
          </w:tcPr>
          <w:p>
            <w:pPr>
              <w:keepNext/>
              <w:jc w:val="center"/>
            </w:pPr>
            <w:r>
              <w:rPr>
                <w:sz w:val="22"/>
                <w:szCs w:val="22"/>
              </w:rPr>
              <w:t>831</w:t>
            </w:r>
          </w:p>
        </w:tc>
        <w:tc>
          <w:tcPr>
            <w:tcW w:w="1445" w:type="dxa"/>
            <w:tcMar>
              <w:top w:w="80" w:type="dxa"/>
              <w:left w:w="100" w:type="dxa"/>
              <w:bottom w:w="80" w:type="dxa"/>
              <w:right w:w="100" w:type="dxa"/>
            </w:tcMar>
          </w:tcPr>
          <w:p>
            <w:pPr>
              <w:keepNext/>
              <w:jc w:val="center"/>
            </w:pPr>
            <w:r>
              <w:rPr>
                <w:sz w:val="22"/>
                <w:szCs w:val="22"/>
              </w:rPr>
              <w:t>0,12</w:t>
            </w:r>
          </w:p>
        </w:tc>
      </w:tr>
      <w:tr>
        <w:trPr>
          <w:cantSplit/>
        </w:trPr>
        <w:tc>
          <w:tcPr>
            <w:tcW w:w="2890" w:type="dxa"/>
            <w:tcMar>
              <w:top w:w="80" w:type="dxa"/>
              <w:left w:w="100" w:type="dxa"/>
              <w:bottom w:w="80" w:type="dxa"/>
              <w:right w:w="100" w:type="dxa"/>
            </w:tcMar>
          </w:tcPr>
          <w:p>
            <w:pPr>
              <w:keepNext/>
            </w:pPr>
            <w:r>
              <w:rPr>
                <w:sz w:val="22"/>
                <w:szCs w:val="22"/>
              </w:rPr>
              <w:t>Random Forest</w:t>
            </w:r>
          </w:p>
        </w:tc>
        <w:tc>
          <w:tcPr>
            <w:tcW w:w="1360" w:type="dxa"/>
            <w:tcMar>
              <w:top w:w="80" w:type="dxa"/>
              <w:left w:w="100" w:type="dxa"/>
              <w:bottom w:w="80" w:type="dxa"/>
              <w:right w:w="100" w:type="dxa"/>
            </w:tcMar>
          </w:tcPr>
          <w:p>
            <w:pPr>
              <w:keepNext/>
              <w:jc w:val="center"/>
            </w:pPr>
            <w:r>
              <w:rPr>
                <w:sz w:val="22"/>
                <w:szCs w:val="22"/>
              </w:rPr>
              <w:t>1.031</w:t>
            </w:r>
          </w:p>
        </w:tc>
        <w:tc>
          <w:tcPr>
            <w:tcW w:w="1445" w:type="dxa"/>
            <w:tcMar>
              <w:top w:w="80" w:type="dxa"/>
              <w:left w:w="100" w:type="dxa"/>
              <w:bottom w:w="80" w:type="dxa"/>
              <w:right w:w="100" w:type="dxa"/>
            </w:tcMar>
          </w:tcPr>
          <w:p>
            <w:pPr>
              <w:keepNext/>
              <w:jc w:val="center"/>
            </w:pPr>
            <w:r>
              <w:rPr>
                <w:sz w:val="22"/>
                <w:szCs w:val="22"/>
              </w:rPr>
              <w:t>−0,36</w:t>
            </w:r>
          </w:p>
        </w:tc>
        <w:tc>
          <w:tcPr>
            <w:tcW w:w="1360" w:type="dxa"/>
            <w:tcMar>
              <w:top w:w="80" w:type="dxa"/>
              <w:left w:w="100" w:type="dxa"/>
              <w:bottom w:w="80" w:type="dxa"/>
              <w:right w:w="100" w:type="dxa"/>
            </w:tcMar>
          </w:tcPr>
          <w:p>
            <w:pPr>
              <w:keepNext/>
              <w:jc w:val="center"/>
            </w:pPr>
            <w:r>
              <w:rPr>
                <w:sz w:val="22"/>
                <w:szCs w:val="22"/>
              </w:rPr>
              <w:t>1.037</w:t>
            </w:r>
          </w:p>
        </w:tc>
        <w:tc>
          <w:tcPr>
            <w:tcW w:w="1445" w:type="dxa"/>
            <w:tcMar>
              <w:top w:w="80" w:type="dxa"/>
              <w:left w:w="100" w:type="dxa"/>
              <w:bottom w:w="80" w:type="dxa"/>
              <w:right w:w="100" w:type="dxa"/>
            </w:tcMar>
          </w:tcPr>
          <w:p>
            <w:pPr>
              <w:keepNext/>
              <w:jc w:val="center"/>
            </w:pPr>
            <w:r>
              <w:rPr>
                <w:sz w:val="22"/>
                <w:szCs w:val="22"/>
              </w:rPr>
              <w:t>−0,38</w:t>
            </w:r>
          </w:p>
        </w:tc>
      </w:tr>
      <w:tr>
        <w:trPr>
          <w:cantSplit/>
        </w:trPr>
        <w:tc>
          <w:tcPr>
            <w:tcW w:w="2890" w:type="dxa"/>
            <w:tcMar>
              <w:top w:w="80" w:type="dxa"/>
              <w:left w:w="100" w:type="dxa"/>
              <w:bottom w:w="80" w:type="dxa"/>
              <w:right w:w="100" w:type="dxa"/>
            </w:tcMar>
          </w:tcPr>
          <w:p>
            <w:pPr>
              <w:keepNext/>
            </w:pPr>
            <w:r>
              <w:rPr>
                <w:sz w:val="22"/>
                <w:szCs w:val="22"/>
              </w:rPr>
              <w:t>Gradient Boosting</w:t>
            </w:r>
          </w:p>
        </w:tc>
        <w:tc>
          <w:tcPr>
            <w:tcW w:w="1360" w:type="dxa"/>
            <w:tcMar>
              <w:top w:w="80" w:type="dxa"/>
              <w:left w:w="100" w:type="dxa"/>
              <w:bottom w:w="80" w:type="dxa"/>
              <w:right w:w="100" w:type="dxa"/>
            </w:tcMar>
          </w:tcPr>
          <w:p>
            <w:pPr>
              <w:keepNext/>
              <w:jc w:val="center"/>
            </w:pPr>
            <w:r>
              <w:rPr>
                <w:sz w:val="22"/>
                <w:szCs w:val="22"/>
              </w:rPr>
              <w:t>1.013</w:t>
            </w:r>
          </w:p>
        </w:tc>
        <w:tc>
          <w:tcPr>
            <w:tcW w:w="1445" w:type="dxa"/>
            <w:tcMar>
              <w:top w:w="80" w:type="dxa"/>
              <w:left w:w="100" w:type="dxa"/>
              <w:bottom w:w="80" w:type="dxa"/>
              <w:right w:w="100" w:type="dxa"/>
            </w:tcMar>
          </w:tcPr>
          <w:p>
            <w:pPr>
              <w:keepNext/>
              <w:jc w:val="center"/>
            </w:pPr>
            <w:r>
              <w:rPr>
                <w:sz w:val="22"/>
                <w:szCs w:val="22"/>
              </w:rPr>
              <w:t>−0,31</w:t>
            </w:r>
          </w:p>
        </w:tc>
        <w:tc>
          <w:tcPr>
            <w:tcW w:w="1360" w:type="dxa"/>
            <w:tcMar>
              <w:top w:w="80" w:type="dxa"/>
              <w:left w:w="100" w:type="dxa"/>
              <w:bottom w:w="80" w:type="dxa"/>
              <w:right w:w="100" w:type="dxa"/>
            </w:tcMar>
          </w:tcPr>
          <w:p>
            <w:pPr>
              <w:keepNext/>
              <w:jc w:val="center"/>
            </w:pPr>
            <w:r>
              <w:rPr>
                <w:sz w:val="22"/>
                <w:szCs w:val="22"/>
              </w:rPr>
              <w:t>1.018</w:t>
            </w:r>
          </w:p>
        </w:tc>
        <w:tc>
          <w:tcPr>
            <w:tcW w:w="1445" w:type="dxa"/>
            <w:tcMar>
              <w:top w:w="80" w:type="dxa"/>
              <w:left w:w="100" w:type="dxa"/>
              <w:bottom w:w="80" w:type="dxa"/>
              <w:right w:w="100" w:type="dxa"/>
            </w:tcMar>
          </w:tcPr>
          <w:p>
            <w:pPr>
              <w:keepNext/>
              <w:jc w:val="center"/>
            </w:pPr>
            <w:r>
              <w:rPr>
                <w:sz w:val="22"/>
                <w:szCs w:val="22"/>
              </w:rPr>
              <w:t>−0,33</w:t>
            </w:r>
          </w:p>
        </w:tc>
      </w:tr>
    </w:tbl>
    <w:p>
      <w:pPr>
        <w:keepNext/>
        <w:spacing w:before="280" w:after="160"/>
      </w:pPr>
      <w:bookmarkStart w:id="17" w:name="_Toc244263395"/>
      <w:r>
        <w:rPr>
          <w:b/>
          <w:bCs/>
          <w:sz w:val="24"/>
          <w:szCs w:val="24"/>
        </w:rPr>
        <w:t>4.3 Etapa 3 – Patamar com as safras publicadas</w:t>
      </w:r>
      <w:bookmarkEnd w:id="17"/>
    </w:p>
    <w:p>
      <w:pPr>
        <w:spacing w:after="200" w:line="276" w:lineRule="auto"/>
        <w:ind w:firstLine="720"/>
        <w:jc w:val="both"/>
      </w:pPr>
      <w:r>
        <w:rPr>
          <w:sz w:val="24"/>
          <w:szCs w:val="24"/>
        </w:rPr>
        <w:t>A tendência foi substituída pelo patamar do município calculado apenas com as safras publicadas na data da previsão (média móvel de cinco safras até Y−2), e o desvio passou a ser modelado pela regressão linear reduzida F, com uma variável por fenômeno. O F teve RMSE de 873 kg/ha no corte temporal e 714 kg/ha deixando uma safra de fora, superando as linhas de base nessa validação. Repetir o rendimento da última safra publicada foi a pior estratégia, pois propaga secas e recordes para as previsões seguintes.</w:t>
      </w:r>
    </w:p>
    <w:p>
      <w:pPr>
        <w:keepNext/>
        <w:spacing w:before="280" w:after="160"/>
      </w:pPr>
      <w:bookmarkStart w:id="18" w:name="_Toc244263396"/>
      <w:r>
        <w:rPr>
          <w:b/>
          <w:bCs/>
          <w:sz w:val="24"/>
          <w:szCs w:val="24"/>
        </w:rPr>
        <w:t>4.4 Etapa 4 – Balanço hídrico e seca extrema</w:t>
      </w:r>
      <w:bookmarkEnd w:id="18"/>
    </w:p>
    <w:p>
      <w:pPr>
        <w:spacing w:after="200" w:line="276" w:lineRule="auto"/>
        <w:ind w:firstLine="720"/>
        <w:jc w:val="both"/>
      </w:pPr>
      <w:r>
        <w:rPr>
          <w:sz w:val="24"/>
          <w:szCs w:val="24"/>
        </w:rPr>
        <w:t xml:space="preserve">O déficit hídrico sozinho (H1) não melhorou o modelo, por medir a mesma seca que a chuva e a umidade de dezembro a fevereiro (correlação ≈0,8 entre elas); o ganho veio dos limiares de seca extrema (H2). Deixando uma safra de fora, o H2 reduziu o RMSE em 22% em relação à média histórica (706 × 901 kg/ha). No corte 2021–2025, nenhum modelo com o clima do INMET superou a média histórica: o H2 ficou 1,5% acima dela, com viés de +501 kg/ha (Tabela 8). Os modelos de árvores ficaram atrás da regressão linear, e a </w:t>
      </w:r>
      <w:r>
        <w:rPr>
          <w:sz w:val="24"/>
          <w:szCs w:val="24"/>
        </w:rPr>
        <w:t>média de H2 com o Gradient Boosting não superou o H2.</w:t>
      </w:r>
    </w:p>
    <w:p>
      <w:pPr>
        <w:keepNext/>
        <w:spacing w:before="120" w:after="300"/>
        <w:jc w:val="center"/>
      </w:pPr>
      <w:r>
        <w:rPr>
          <w:i/>
          <w:iCs/>
          <w:sz w:val="22"/>
          <w:szCs w:val="22"/>
        </w:rPr>
        <w:t xml:space="preserve">Tabela 8 – Desempenho dos modelos com o clima do INMET (Etapa 4; 5.236 linhas). Fonte: elaboração própria (2026). RMSE em kg/ha.</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3400"/>
        <w:gridCol w:w="1274"/>
        <w:gridCol w:w="1274"/>
        <w:gridCol w:w="1274"/>
        <w:gridCol w:w="1278"/>
      </w:tblGrid>
      <w:tr>
        <w:trPr>
          <w:cantSplit/>
          <w:tblHeader/>
        </w:trPr>
        <w:tc>
          <w:tcPr>
            <w:tcW w:w="3400" w:type="dxa"/>
            <w:shd w:val="clear" w:color="auto" w:fill="D9D9D9"/>
            <w:tcMar>
              <w:top w:w="80" w:type="dxa"/>
              <w:left w:w="100" w:type="dxa"/>
              <w:bottom w:w="80" w:type="dxa"/>
              <w:right w:w="100" w:type="dxa"/>
            </w:tcMar>
          </w:tcPr>
          <w:p>
            <w:pPr>
              <w:keepNext/>
              <w:jc w:val="center"/>
            </w:pPr>
            <w:r>
              <w:rPr>
                <w:b/>
                <w:bCs/>
                <w:sz w:val="22"/>
                <w:szCs w:val="22"/>
              </w:rPr>
              <w:t>Modelo</w:t>
            </w:r>
          </w:p>
        </w:tc>
        <w:tc>
          <w:tcPr>
            <w:tcW w:w="2548" w:type="dxa"/>
            <w:gridSpan w:val="2"/>
            <w:shd w:val="clear" w:color="auto" w:fill="D9D9D9"/>
            <w:tcMar>
              <w:top w:w="80" w:type="dxa"/>
              <w:left w:w="100" w:type="dxa"/>
              <w:bottom w:w="80" w:type="dxa"/>
              <w:right w:w="100" w:type="dxa"/>
            </w:tcMar>
          </w:tcPr>
          <w:p>
            <w:pPr>
              <w:keepNext/>
              <w:jc w:val="center"/>
            </w:pPr>
            <w:r>
              <w:rPr>
                <w:b/>
                <w:bCs/>
                <w:sz w:val="22"/>
                <w:szCs w:val="22"/>
              </w:rPr>
              <w:t>Corte 2021–2025</w:t>
            </w:r>
          </w:p>
        </w:tc>
        <w:tc>
          <w:tcPr>
            <w:tcW w:w="2552" w:type="dxa"/>
            <w:gridSpan w:val="2"/>
            <w:shd w:val="clear" w:color="auto" w:fill="D9D9D9"/>
            <w:tcMar>
              <w:top w:w="80" w:type="dxa"/>
              <w:left w:w="100" w:type="dxa"/>
              <w:bottom w:w="80" w:type="dxa"/>
              <w:right w:w="100" w:type="dxa"/>
            </w:tcMar>
          </w:tcPr>
          <w:p>
            <w:pPr>
              <w:keepNext/>
              <w:jc w:val="center"/>
            </w:pPr>
            <w:r>
              <w:rPr>
                <w:b/>
                <w:bCs/>
                <w:sz w:val="22"/>
                <w:szCs w:val="22"/>
              </w:rPr>
              <w:t>Uma safra de fora</w:t>
            </w:r>
          </w:p>
        </w:tc>
      </w:tr>
      <w:tr>
        <w:trPr>
          <w:cantSplit/>
          <w:tblHeader/>
        </w:trPr>
        <w:tc>
          <w:tcPr>
            <w:tcW w:w="3400" w:type="dxa"/>
            <w:shd w:val="clear" w:color="auto" w:fill="D9D9D9"/>
            <w:tcMar>
              <w:top w:w="80" w:type="dxa"/>
              <w:left w:w="100" w:type="dxa"/>
              <w:bottom w:w="80" w:type="dxa"/>
              <w:right w:w="100" w:type="dxa"/>
            </w:tcMar>
          </w:tcPr>
          <w:p>
            <w:pPr>
              <w:keepNext/>
              <w:jc w:val="center"/>
            </w:pPr>
          </w:p>
        </w:tc>
        <w:tc>
          <w:tcPr>
            <w:tcW w:w="1274" w:type="dxa"/>
            <w:shd w:val="clear" w:color="auto" w:fill="D9D9D9"/>
            <w:tcMar>
              <w:top w:w="80" w:type="dxa"/>
              <w:left w:w="100" w:type="dxa"/>
              <w:bottom w:w="80" w:type="dxa"/>
              <w:right w:w="100" w:type="dxa"/>
            </w:tcMar>
          </w:tcPr>
          <w:p>
            <w:pPr>
              <w:keepNext/>
              <w:jc w:val="center"/>
            </w:pPr>
            <w:r>
              <w:rPr>
                <w:b/>
                <w:bCs/>
                <w:sz w:val="22"/>
                <w:szCs w:val="22"/>
              </w:rPr>
              <w:t>RMSE</w:t>
            </w:r>
          </w:p>
        </w:tc>
        <w:tc>
          <w:tcPr>
            <w:tcW w:w="1274" w:type="dxa"/>
            <w:shd w:val="clear" w:color="auto" w:fill="D9D9D9"/>
            <w:tcMar>
              <w:top w:w="80" w:type="dxa"/>
              <w:left w:w="100" w:type="dxa"/>
              <w:bottom w:w="80" w:type="dxa"/>
              <w:right w:w="100" w:type="dxa"/>
            </w:tcMar>
          </w:tcPr>
          <w:p>
            <w:pPr>
              <w:keepNext/>
              <w:jc w:val="center"/>
            </w:pPr>
            <w:r>
              <w:rPr>
                <w:b/>
                <w:bCs/>
                <w:sz w:val="22"/>
                <w:szCs w:val="22"/>
              </w:rPr>
              <w:t>R²</w:t>
            </w:r>
          </w:p>
        </w:tc>
        <w:tc>
          <w:tcPr>
            <w:tcW w:w="1274" w:type="dxa"/>
            <w:shd w:val="clear" w:color="auto" w:fill="D9D9D9"/>
            <w:tcMar>
              <w:top w:w="80" w:type="dxa"/>
              <w:left w:w="100" w:type="dxa"/>
              <w:bottom w:w="80" w:type="dxa"/>
              <w:right w:w="100" w:type="dxa"/>
            </w:tcMar>
          </w:tcPr>
          <w:p>
            <w:pPr>
              <w:keepNext/>
              <w:jc w:val="center"/>
            </w:pPr>
            <w:r>
              <w:rPr>
                <w:b/>
                <w:bCs/>
                <w:sz w:val="22"/>
                <w:szCs w:val="22"/>
              </w:rPr>
              <w:t>RMSE</w:t>
            </w:r>
          </w:p>
        </w:tc>
        <w:tc>
          <w:tcPr>
            <w:tcW w:w="1278" w:type="dxa"/>
            <w:shd w:val="clear" w:color="auto" w:fill="D9D9D9"/>
            <w:tcMar>
              <w:top w:w="80" w:type="dxa"/>
              <w:left w:w="100" w:type="dxa"/>
              <w:bottom w:w="80" w:type="dxa"/>
              <w:right w:w="100" w:type="dxa"/>
            </w:tcMar>
          </w:tcPr>
          <w:p>
            <w:pPr>
              <w:keepNext/>
              <w:jc w:val="center"/>
            </w:pPr>
            <w:r>
              <w:rPr>
                <w:b/>
                <w:bCs/>
                <w:sz w:val="22"/>
                <w:szCs w:val="22"/>
              </w:rPr>
              <w:t>R²</w:t>
            </w:r>
          </w:p>
        </w:tc>
      </w:tr>
      <w:tr>
        <w:trPr>
          <w:cantSplit/>
        </w:trPr>
        <w:tc>
          <w:tcPr>
            <w:tcW w:w="3400" w:type="dxa"/>
            <w:tcMar>
              <w:top w:w="80" w:type="dxa"/>
              <w:left w:w="100" w:type="dxa"/>
              <w:bottom w:w="80" w:type="dxa"/>
              <w:right w:w="100" w:type="dxa"/>
            </w:tcMar>
          </w:tcPr>
          <w:p>
            <w:pPr>
              <w:keepNext/>
            </w:pPr>
            <w:r>
              <w:rPr>
                <w:sz w:val="22"/>
                <w:szCs w:val="22"/>
              </w:rPr>
              <w:t>Linha de base: última safra publicada</w:t>
            </w:r>
          </w:p>
        </w:tc>
        <w:tc>
          <w:tcPr>
            <w:tcW w:w="1274" w:type="dxa"/>
            <w:tcMar>
              <w:top w:w="80" w:type="dxa"/>
              <w:left w:w="100" w:type="dxa"/>
              <w:bottom w:w="80" w:type="dxa"/>
              <w:right w:w="100" w:type="dxa"/>
            </w:tcMar>
          </w:tcPr>
          <w:p>
            <w:pPr>
              <w:keepNext/>
              <w:jc w:val="center"/>
            </w:pPr>
            <w:r>
              <w:rPr>
                <w:sz w:val="22"/>
                <w:szCs w:val="22"/>
              </w:rPr>
              <w:t>1.200</w:t>
            </w:r>
          </w:p>
        </w:tc>
        <w:tc>
          <w:tcPr>
            <w:tcW w:w="1274" w:type="dxa"/>
            <w:tcMar>
              <w:top w:w="80" w:type="dxa"/>
              <w:left w:w="100" w:type="dxa"/>
              <w:bottom w:w="80" w:type="dxa"/>
              <w:right w:w="100" w:type="dxa"/>
            </w:tcMar>
          </w:tcPr>
          <w:p>
            <w:pPr>
              <w:keepNext/>
              <w:jc w:val="center"/>
            </w:pPr>
            <w:r>
              <w:rPr>
                <w:sz w:val="22"/>
                <w:szCs w:val="22"/>
              </w:rPr>
              <w:t>−0,81</w:t>
            </w:r>
          </w:p>
        </w:tc>
        <w:tc>
          <w:tcPr>
            <w:tcW w:w="1274" w:type="dxa"/>
            <w:tcMar>
              <w:top w:w="80" w:type="dxa"/>
              <w:left w:w="100" w:type="dxa"/>
              <w:bottom w:w="80" w:type="dxa"/>
              <w:right w:w="100" w:type="dxa"/>
            </w:tcMar>
          </w:tcPr>
          <w:p>
            <w:pPr>
              <w:keepNext/>
              <w:jc w:val="center"/>
            </w:pPr>
            <w:r>
              <w:rPr>
                <w:sz w:val="22"/>
                <w:szCs w:val="22"/>
              </w:rPr>
              <w:t>957</w:t>
            </w:r>
          </w:p>
        </w:tc>
        <w:tc>
          <w:tcPr>
            <w:tcW w:w="1278" w:type="dxa"/>
            <w:tcMar>
              <w:top w:w="80" w:type="dxa"/>
              <w:left w:w="100" w:type="dxa"/>
              <w:bottom w:w="80" w:type="dxa"/>
              <w:right w:w="100" w:type="dxa"/>
            </w:tcMar>
          </w:tcPr>
          <w:p>
            <w:pPr>
              <w:keepNext/>
              <w:jc w:val="center"/>
            </w:pPr>
            <w:r>
              <w:rPr>
                <w:sz w:val="22"/>
                <w:szCs w:val="22"/>
              </w:rPr>
              <w:t>−0,45</w:t>
            </w:r>
          </w:p>
        </w:tc>
      </w:tr>
      <w:tr>
        <w:trPr>
          <w:cantSplit/>
        </w:trPr>
        <w:tc>
          <w:tcPr>
            <w:tcW w:w="3400" w:type="dxa"/>
            <w:tcMar>
              <w:top w:w="80" w:type="dxa"/>
              <w:left w:w="100" w:type="dxa"/>
              <w:bottom w:w="80" w:type="dxa"/>
              <w:right w:w="100" w:type="dxa"/>
            </w:tcMar>
          </w:tcPr>
          <w:p>
            <w:pPr>
              <w:keepNext/>
            </w:pPr>
            <w:r>
              <w:rPr>
                <w:sz w:val="22"/>
                <w:szCs w:val="22"/>
              </w:rPr>
              <w:t>Linha de base: média histórica</w:t>
            </w:r>
          </w:p>
        </w:tc>
        <w:tc>
          <w:tcPr>
            <w:tcW w:w="1274" w:type="dxa"/>
            <w:tcMar>
              <w:top w:w="80" w:type="dxa"/>
              <w:left w:w="100" w:type="dxa"/>
              <w:bottom w:w="80" w:type="dxa"/>
              <w:right w:w="100" w:type="dxa"/>
            </w:tcMar>
          </w:tcPr>
          <w:p>
            <w:pPr>
              <w:keepNext/>
              <w:jc w:val="center"/>
            </w:pPr>
            <w:r>
              <w:rPr>
                <w:sz w:val="22"/>
                <w:szCs w:val="22"/>
              </w:rPr>
              <w:t>857</w:t>
            </w:r>
          </w:p>
        </w:tc>
        <w:tc>
          <w:tcPr>
            <w:tcW w:w="1274" w:type="dxa"/>
            <w:tcMar>
              <w:top w:w="80" w:type="dxa"/>
              <w:left w:w="100" w:type="dxa"/>
              <w:bottom w:w="80" w:type="dxa"/>
              <w:right w:w="100" w:type="dxa"/>
            </w:tcMar>
          </w:tcPr>
          <w:p>
            <w:pPr>
              <w:keepNext/>
              <w:jc w:val="center"/>
            </w:pPr>
            <w:r>
              <w:rPr>
                <w:sz w:val="22"/>
                <w:szCs w:val="22"/>
              </w:rPr>
              <w:t>0,08</w:t>
            </w:r>
          </w:p>
        </w:tc>
        <w:tc>
          <w:tcPr>
            <w:tcW w:w="1274" w:type="dxa"/>
            <w:tcMar>
              <w:top w:w="80" w:type="dxa"/>
              <w:left w:w="100" w:type="dxa"/>
              <w:bottom w:w="80" w:type="dxa"/>
              <w:right w:w="100" w:type="dxa"/>
            </w:tcMar>
          </w:tcPr>
          <w:p>
            <w:pPr>
              <w:keepNext/>
              <w:jc w:val="center"/>
            </w:pPr>
            <w:r>
              <w:rPr>
                <w:sz w:val="22"/>
                <w:szCs w:val="22"/>
              </w:rPr>
              <w:t>901</w:t>
            </w:r>
          </w:p>
        </w:tc>
        <w:tc>
          <w:tcPr>
            <w:tcW w:w="1278" w:type="dxa"/>
            <w:tcMar>
              <w:top w:w="80" w:type="dxa"/>
              <w:left w:w="100" w:type="dxa"/>
              <w:bottom w:w="80" w:type="dxa"/>
              <w:right w:w="100" w:type="dxa"/>
            </w:tcMar>
          </w:tcPr>
          <w:p>
            <w:pPr>
              <w:keepNext/>
              <w:jc w:val="center"/>
            </w:pPr>
            <w:r>
              <w:rPr>
                <w:sz w:val="22"/>
                <w:szCs w:val="22"/>
              </w:rPr>
              <w:t>−0,28</w:t>
            </w:r>
          </w:p>
        </w:tc>
      </w:tr>
      <w:tr>
        <w:trPr>
          <w:cantSplit/>
        </w:trPr>
        <w:tc>
          <w:tcPr>
            <w:tcW w:w="3400" w:type="dxa"/>
            <w:tcMar>
              <w:top w:w="80" w:type="dxa"/>
              <w:left w:w="100" w:type="dxa"/>
              <w:bottom w:w="80" w:type="dxa"/>
              <w:right w:w="100" w:type="dxa"/>
            </w:tcMar>
          </w:tcPr>
          <w:p>
            <w:pPr>
              <w:keepNext/>
            </w:pPr>
            <w:r>
              <w:rPr>
                <w:sz w:val="22"/>
                <w:szCs w:val="22"/>
              </w:rPr>
              <w:t>GB – Gradient Boosting</w:t>
            </w:r>
          </w:p>
        </w:tc>
        <w:tc>
          <w:tcPr>
            <w:tcW w:w="1274" w:type="dxa"/>
            <w:tcMar>
              <w:top w:w="80" w:type="dxa"/>
              <w:left w:w="100" w:type="dxa"/>
              <w:bottom w:w="80" w:type="dxa"/>
              <w:right w:w="100" w:type="dxa"/>
            </w:tcMar>
          </w:tcPr>
          <w:p>
            <w:pPr>
              <w:keepNext/>
              <w:jc w:val="center"/>
            </w:pPr>
            <w:r>
              <w:rPr>
                <w:sz w:val="22"/>
                <w:szCs w:val="22"/>
              </w:rPr>
              <w:t>942</w:t>
            </w:r>
          </w:p>
        </w:tc>
        <w:tc>
          <w:tcPr>
            <w:tcW w:w="1274" w:type="dxa"/>
            <w:tcMar>
              <w:top w:w="80" w:type="dxa"/>
              <w:left w:w="100" w:type="dxa"/>
              <w:bottom w:w="80" w:type="dxa"/>
              <w:right w:w="100" w:type="dxa"/>
            </w:tcMar>
          </w:tcPr>
          <w:p>
            <w:pPr>
              <w:keepNext/>
              <w:jc w:val="center"/>
            </w:pPr>
            <w:r>
              <w:rPr>
                <w:sz w:val="22"/>
                <w:szCs w:val="22"/>
              </w:rPr>
              <w:t>−0,12</w:t>
            </w:r>
          </w:p>
        </w:tc>
        <w:tc>
          <w:tcPr>
            <w:tcW w:w="1274" w:type="dxa"/>
            <w:tcMar>
              <w:top w:w="80" w:type="dxa"/>
              <w:left w:w="100" w:type="dxa"/>
              <w:bottom w:w="80" w:type="dxa"/>
              <w:right w:w="100" w:type="dxa"/>
            </w:tcMar>
          </w:tcPr>
          <w:p>
            <w:pPr>
              <w:keepNext/>
              <w:jc w:val="center"/>
            </w:pPr>
            <w:r>
              <w:rPr>
                <w:sz w:val="22"/>
                <w:szCs w:val="22"/>
              </w:rPr>
              <w:t>777</w:t>
            </w:r>
          </w:p>
        </w:tc>
        <w:tc>
          <w:tcPr>
            <w:tcW w:w="1278" w:type="dxa"/>
            <w:tcMar>
              <w:top w:w="80" w:type="dxa"/>
              <w:left w:w="100" w:type="dxa"/>
              <w:bottom w:w="80" w:type="dxa"/>
              <w:right w:w="100" w:type="dxa"/>
            </w:tcMar>
          </w:tcPr>
          <w:p>
            <w:pPr>
              <w:keepNext/>
              <w:jc w:val="center"/>
            </w:pPr>
            <w:r>
              <w:rPr>
                <w:sz w:val="22"/>
                <w:szCs w:val="22"/>
              </w:rPr>
              <w:t>0,05</w:t>
            </w:r>
          </w:p>
        </w:tc>
      </w:tr>
      <w:tr>
        <w:trPr>
          <w:cantSplit/>
        </w:trPr>
        <w:tc>
          <w:tcPr>
            <w:tcW w:w="3400" w:type="dxa"/>
            <w:tcMar>
              <w:top w:w="80" w:type="dxa"/>
              <w:left w:w="100" w:type="dxa"/>
              <w:bottom w:w="80" w:type="dxa"/>
              <w:right w:w="100" w:type="dxa"/>
            </w:tcMar>
          </w:tcPr>
          <w:p>
            <w:pPr>
              <w:keepNext/>
            </w:pPr>
            <w:r>
              <w:rPr>
                <w:sz w:val="22"/>
                <w:szCs w:val="22"/>
              </w:rPr>
              <w:t>H1 – F + déficit hídrico</w:t>
            </w:r>
          </w:p>
        </w:tc>
        <w:tc>
          <w:tcPr>
            <w:tcW w:w="1274" w:type="dxa"/>
            <w:tcMar>
              <w:top w:w="80" w:type="dxa"/>
              <w:left w:w="100" w:type="dxa"/>
              <w:bottom w:w="80" w:type="dxa"/>
              <w:right w:w="100" w:type="dxa"/>
            </w:tcMar>
          </w:tcPr>
          <w:p>
            <w:pPr>
              <w:keepNext/>
              <w:jc w:val="center"/>
            </w:pPr>
            <w:r>
              <w:rPr>
                <w:sz w:val="22"/>
                <w:szCs w:val="22"/>
              </w:rPr>
              <w:t>902</w:t>
            </w:r>
          </w:p>
        </w:tc>
        <w:tc>
          <w:tcPr>
            <w:tcW w:w="1274" w:type="dxa"/>
            <w:tcMar>
              <w:top w:w="80" w:type="dxa"/>
              <w:left w:w="100" w:type="dxa"/>
              <w:bottom w:w="80" w:type="dxa"/>
              <w:right w:w="100" w:type="dxa"/>
            </w:tcMar>
          </w:tcPr>
          <w:p>
            <w:pPr>
              <w:keepNext/>
              <w:jc w:val="center"/>
            </w:pPr>
            <w:r>
              <w:rPr>
                <w:sz w:val="22"/>
                <w:szCs w:val="22"/>
              </w:rPr>
              <w:t>−0,02</w:t>
            </w:r>
          </w:p>
        </w:tc>
        <w:tc>
          <w:tcPr>
            <w:tcW w:w="1274" w:type="dxa"/>
            <w:tcMar>
              <w:top w:w="80" w:type="dxa"/>
              <w:left w:w="100" w:type="dxa"/>
              <w:bottom w:w="80" w:type="dxa"/>
              <w:right w:w="100" w:type="dxa"/>
            </w:tcMar>
          </w:tcPr>
          <w:p>
            <w:pPr>
              <w:keepNext/>
              <w:jc w:val="center"/>
            </w:pPr>
            <w:r>
              <w:rPr>
                <w:sz w:val="22"/>
                <w:szCs w:val="22"/>
              </w:rPr>
              <w:t>712</w:t>
            </w:r>
          </w:p>
        </w:tc>
        <w:tc>
          <w:tcPr>
            <w:tcW w:w="1278" w:type="dxa"/>
            <w:tcMar>
              <w:top w:w="80" w:type="dxa"/>
              <w:left w:w="100" w:type="dxa"/>
              <w:bottom w:w="80" w:type="dxa"/>
              <w:right w:w="100" w:type="dxa"/>
            </w:tcMar>
          </w:tcPr>
          <w:p>
            <w:pPr>
              <w:keepNext/>
              <w:jc w:val="center"/>
            </w:pPr>
            <w:r>
              <w:rPr>
                <w:sz w:val="22"/>
                <w:szCs w:val="22"/>
              </w:rPr>
              <w:t>0,20</w:t>
            </w:r>
          </w:p>
        </w:tc>
      </w:tr>
      <w:tr>
        <w:trPr>
          <w:cantSplit/>
        </w:trPr>
        <w:tc>
          <w:tcPr>
            <w:tcW w:w="3400" w:type="dxa"/>
            <w:tcMar>
              <w:top w:w="80" w:type="dxa"/>
              <w:left w:w="100" w:type="dxa"/>
              <w:bottom w:w="80" w:type="dxa"/>
              <w:right w:w="100" w:type="dxa"/>
            </w:tcMar>
          </w:tcPr>
          <w:p>
            <w:pPr>
              <w:keepNext/>
            </w:pPr>
            <w:r>
              <w:rPr>
                <w:sz w:val="22"/>
                <w:szCs w:val="22"/>
              </w:rPr>
              <w:t>F – Regressão linear reduzida</w:t>
            </w:r>
          </w:p>
        </w:tc>
        <w:tc>
          <w:tcPr>
            <w:tcW w:w="1274" w:type="dxa"/>
            <w:tcMar>
              <w:top w:w="80" w:type="dxa"/>
              <w:left w:w="100" w:type="dxa"/>
              <w:bottom w:w="80" w:type="dxa"/>
              <w:right w:w="100" w:type="dxa"/>
            </w:tcMar>
          </w:tcPr>
          <w:p>
            <w:pPr>
              <w:keepNext/>
              <w:jc w:val="center"/>
            </w:pPr>
            <w:r>
              <w:rPr>
                <w:sz w:val="22"/>
                <w:szCs w:val="22"/>
              </w:rPr>
              <w:t>873</w:t>
            </w:r>
          </w:p>
        </w:tc>
        <w:tc>
          <w:tcPr>
            <w:tcW w:w="1274" w:type="dxa"/>
            <w:tcMar>
              <w:top w:w="80" w:type="dxa"/>
              <w:left w:w="100" w:type="dxa"/>
              <w:bottom w:w="80" w:type="dxa"/>
              <w:right w:w="100" w:type="dxa"/>
            </w:tcMar>
          </w:tcPr>
          <w:p>
            <w:pPr>
              <w:keepNext/>
              <w:jc w:val="center"/>
            </w:pPr>
            <w:r>
              <w:rPr>
                <w:sz w:val="22"/>
                <w:szCs w:val="22"/>
              </w:rPr>
              <w:t>0,04</w:t>
            </w:r>
          </w:p>
        </w:tc>
        <w:tc>
          <w:tcPr>
            <w:tcW w:w="1274" w:type="dxa"/>
            <w:tcMar>
              <w:top w:w="80" w:type="dxa"/>
              <w:left w:w="100" w:type="dxa"/>
              <w:bottom w:w="80" w:type="dxa"/>
              <w:right w:w="100" w:type="dxa"/>
            </w:tcMar>
          </w:tcPr>
          <w:p>
            <w:pPr>
              <w:keepNext/>
              <w:jc w:val="center"/>
            </w:pPr>
            <w:r>
              <w:rPr>
                <w:sz w:val="22"/>
                <w:szCs w:val="22"/>
              </w:rPr>
              <w:t>714</w:t>
            </w:r>
          </w:p>
        </w:tc>
        <w:tc>
          <w:tcPr>
            <w:tcW w:w="1278" w:type="dxa"/>
            <w:tcMar>
              <w:top w:w="80" w:type="dxa"/>
              <w:left w:w="100" w:type="dxa"/>
              <w:bottom w:w="80" w:type="dxa"/>
              <w:right w:w="100" w:type="dxa"/>
            </w:tcMar>
          </w:tcPr>
          <w:p>
            <w:pPr>
              <w:keepNext/>
              <w:jc w:val="center"/>
            </w:pPr>
            <w:r>
              <w:rPr>
                <w:sz w:val="22"/>
                <w:szCs w:val="22"/>
              </w:rPr>
              <w:t>0,20</w:t>
            </w:r>
          </w:p>
        </w:tc>
      </w:tr>
      <w:tr>
        <w:trPr>
          <w:cantSplit/>
        </w:trPr>
        <w:tc>
          <w:tcPr>
            <w:tcW w:w="3400" w:type="dxa"/>
            <w:tcMar>
              <w:top w:w="80" w:type="dxa"/>
              <w:left w:w="100" w:type="dxa"/>
              <w:bottom w:w="80" w:type="dxa"/>
              <w:right w:w="100" w:type="dxa"/>
            </w:tcMar>
          </w:tcPr>
          <w:p>
            <w:pPr>
              <w:keepNext/>
            </w:pPr>
            <w:r>
              <w:rPr>
                <w:sz w:val="22"/>
                <w:szCs w:val="22"/>
              </w:rPr>
              <w:t>Média de H2 e GB</w:t>
            </w:r>
          </w:p>
        </w:tc>
        <w:tc>
          <w:tcPr>
            <w:tcW w:w="1274" w:type="dxa"/>
            <w:tcMar>
              <w:top w:w="80" w:type="dxa"/>
              <w:left w:w="100" w:type="dxa"/>
              <w:bottom w:w="80" w:type="dxa"/>
              <w:right w:w="100" w:type="dxa"/>
            </w:tcMar>
          </w:tcPr>
          <w:p>
            <w:pPr>
              <w:keepNext/>
              <w:jc w:val="center"/>
            </w:pPr>
            <w:r>
              <w:rPr>
                <w:sz w:val="22"/>
                <w:szCs w:val="22"/>
              </w:rPr>
              <w:t>891</w:t>
            </w:r>
          </w:p>
        </w:tc>
        <w:tc>
          <w:tcPr>
            <w:tcW w:w="1274" w:type="dxa"/>
            <w:tcMar>
              <w:top w:w="80" w:type="dxa"/>
              <w:left w:w="100" w:type="dxa"/>
              <w:bottom w:w="80" w:type="dxa"/>
              <w:right w:w="100" w:type="dxa"/>
            </w:tcMar>
          </w:tcPr>
          <w:p>
            <w:pPr>
              <w:keepNext/>
              <w:jc w:val="center"/>
            </w:pPr>
            <w:r>
              <w:rPr>
                <w:sz w:val="22"/>
                <w:szCs w:val="22"/>
              </w:rPr>
              <w:t>0,00</w:t>
            </w:r>
          </w:p>
        </w:tc>
        <w:tc>
          <w:tcPr>
            <w:tcW w:w="1274" w:type="dxa"/>
            <w:tcMar>
              <w:top w:w="80" w:type="dxa"/>
              <w:left w:w="100" w:type="dxa"/>
              <w:bottom w:w="80" w:type="dxa"/>
              <w:right w:w="100" w:type="dxa"/>
            </w:tcMar>
          </w:tcPr>
          <w:p>
            <w:pPr>
              <w:keepNext/>
              <w:jc w:val="center"/>
            </w:pPr>
            <w:r>
              <w:rPr>
                <w:sz w:val="22"/>
                <w:szCs w:val="22"/>
              </w:rPr>
              <w:t>722</w:t>
            </w:r>
          </w:p>
        </w:tc>
        <w:tc>
          <w:tcPr>
            <w:tcW w:w="1278" w:type="dxa"/>
            <w:tcMar>
              <w:top w:w="80" w:type="dxa"/>
              <w:left w:w="100" w:type="dxa"/>
              <w:bottom w:w="80" w:type="dxa"/>
              <w:right w:w="100" w:type="dxa"/>
            </w:tcMar>
          </w:tcPr>
          <w:p>
            <w:pPr>
              <w:keepNext/>
              <w:jc w:val="center"/>
            </w:pPr>
            <w:r>
              <w:rPr>
                <w:sz w:val="22"/>
                <w:szCs w:val="22"/>
              </w:rPr>
              <w:t>0,18</w:t>
            </w:r>
          </w:p>
        </w:tc>
      </w:tr>
      <w:tr>
        <w:trPr>
          <w:cantSplit/>
        </w:trPr>
        <w:tc>
          <w:tcPr>
            <w:tcW w:w="3400" w:type="dxa"/>
            <w:tcMar>
              <w:top w:w="80" w:type="dxa"/>
              <w:left w:w="100" w:type="dxa"/>
              <w:bottom w:w="80" w:type="dxa"/>
              <w:right w:w="100" w:type="dxa"/>
            </w:tcMar>
          </w:tcPr>
          <w:p>
            <w:pPr>
              <w:keepNext/>
            </w:pPr>
            <w:r>
              <w:rPr>
                <w:b/>
                <w:bCs/>
                <w:sz w:val="22"/>
                <w:szCs w:val="22"/>
              </w:rPr>
              <w:t>H2 – H1 + limiares</w:t>
            </w:r>
          </w:p>
        </w:tc>
        <w:tc>
          <w:tcPr>
            <w:tcW w:w="1274" w:type="dxa"/>
            <w:tcMar>
              <w:top w:w="80" w:type="dxa"/>
              <w:left w:w="100" w:type="dxa"/>
              <w:bottom w:w="80" w:type="dxa"/>
              <w:right w:w="100" w:type="dxa"/>
            </w:tcMar>
          </w:tcPr>
          <w:p>
            <w:pPr>
              <w:keepNext/>
              <w:jc w:val="center"/>
            </w:pPr>
            <w:r>
              <w:rPr>
                <w:b/>
                <w:bCs/>
                <w:sz w:val="22"/>
                <w:szCs w:val="22"/>
              </w:rPr>
              <w:t>870</w:t>
            </w:r>
          </w:p>
        </w:tc>
        <w:tc>
          <w:tcPr>
            <w:tcW w:w="1274" w:type="dxa"/>
            <w:tcMar>
              <w:top w:w="80" w:type="dxa"/>
              <w:left w:w="100" w:type="dxa"/>
              <w:bottom w:w="80" w:type="dxa"/>
              <w:right w:w="100" w:type="dxa"/>
            </w:tcMar>
          </w:tcPr>
          <w:p>
            <w:pPr>
              <w:keepNext/>
              <w:jc w:val="center"/>
            </w:pPr>
            <w:r>
              <w:rPr>
                <w:b/>
                <w:bCs/>
                <w:sz w:val="22"/>
                <w:szCs w:val="22"/>
              </w:rPr>
              <w:t>0,05</w:t>
            </w:r>
          </w:p>
        </w:tc>
        <w:tc>
          <w:tcPr>
            <w:tcW w:w="1274" w:type="dxa"/>
            <w:tcMar>
              <w:top w:w="80" w:type="dxa"/>
              <w:left w:w="100" w:type="dxa"/>
              <w:bottom w:w="80" w:type="dxa"/>
              <w:right w:w="100" w:type="dxa"/>
            </w:tcMar>
          </w:tcPr>
          <w:p>
            <w:pPr>
              <w:keepNext/>
              <w:jc w:val="center"/>
            </w:pPr>
            <w:r>
              <w:rPr>
                <w:b/>
                <w:bCs/>
                <w:sz w:val="22"/>
                <w:szCs w:val="22"/>
              </w:rPr>
              <w:t>706</w:t>
            </w:r>
          </w:p>
        </w:tc>
        <w:tc>
          <w:tcPr>
            <w:tcW w:w="1278" w:type="dxa"/>
            <w:tcMar>
              <w:top w:w="80" w:type="dxa"/>
              <w:left w:w="100" w:type="dxa"/>
              <w:bottom w:w="80" w:type="dxa"/>
              <w:right w:w="100" w:type="dxa"/>
            </w:tcMar>
          </w:tcPr>
          <w:p>
            <w:pPr>
              <w:keepNext/>
              <w:jc w:val="center"/>
            </w:pPr>
            <w:r>
              <w:rPr>
                <w:b/>
                <w:bCs/>
                <w:sz w:val="22"/>
                <w:szCs w:val="22"/>
              </w:rPr>
              <w:t>0,21</w:t>
            </w:r>
          </w:p>
        </w:tc>
      </w:tr>
    </w:tbl>
    <w:p>
      <w:pPr>
        <w:spacing w:after="200" w:line="276" w:lineRule="auto"/>
        <w:ind w:firstLine="720"/>
        <w:jc w:val="both"/>
      </w:pPr>
      <w:r>
        <w:rPr>
          <w:sz w:val="24"/>
          <w:szCs w:val="24"/>
        </w:rPr>
        <w:t>Para medir o custo de respeitar a data de publicação, os modelos foram avaliados também com o patamar até Y−1, como se o rendimento da safra anterior já estivesse disponível em março (Tabela 9). A defasagem aumenta o RMSE do H2 em 17% no corte temporal e em 3% deixando uma safra de fora; a perda se concentra nas secas seguidas de 2022–2023, quando o patamar demora a acompanhar a queda. Uma estimativa antecipada do rendimento da safra anterior por município seria, portanto, a informação de maior valor para m</w:t>
      </w:r>
      <w:r>
        <w:rPr>
          <w:sz w:val="24"/>
          <w:szCs w:val="24"/>
        </w:rPr>
        <w:t>elhorar a previsão.</w:t>
      </w:r>
    </w:p>
    <w:p>
      <w:pPr>
        <w:keepNext/>
        <w:spacing w:before="120" w:after="300"/>
        <w:jc w:val="center"/>
      </w:pPr>
      <w:r>
        <w:rPr>
          <w:i/>
          <w:iCs/>
          <w:sz w:val="22"/>
          <w:szCs w:val="22"/>
        </w:rPr>
        <w:t xml:space="preserve">Tabela 9 – RMSE (kg/ha) e R² com o patamar até Y−2 (publicado) e até Y−1 (hipotético). Fonte: elaboração própria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869"/>
        <w:gridCol w:w="1657"/>
        <w:gridCol w:w="1657"/>
        <w:gridCol w:w="1657"/>
        <w:gridCol w:w="1660"/>
      </w:tblGrid>
      <w:tr>
        <w:trPr>
          <w:cantSplit/>
          <w:tblHeader/>
        </w:trPr>
        <w:tc>
          <w:tcPr>
            <w:tcW w:w="1869" w:type="dxa"/>
            <w:shd w:val="clear" w:color="auto" w:fill="D9D9D9"/>
            <w:tcMar>
              <w:top w:w="80" w:type="dxa"/>
              <w:left w:w="100" w:type="dxa"/>
              <w:bottom w:w="80" w:type="dxa"/>
              <w:right w:w="100" w:type="dxa"/>
            </w:tcMar>
          </w:tcPr>
          <w:p>
            <w:pPr>
              <w:keepNext/>
              <w:jc w:val="center"/>
            </w:pPr>
            <w:r>
              <w:rPr>
                <w:b/>
                <w:bCs/>
                <w:sz w:val="22"/>
                <w:szCs w:val="22"/>
              </w:rPr>
              <w:t>Modelo</w:t>
            </w:r>
          </w:p>
        </w:tc>
        <w:tc>
          <w:tcPr>
            <w:tcW w:w="3314" w:type="dxa"/>
            <w:gridSpan w:val="2"/>
            <w:shd w:val="clear" w:color="auto" w:fill="D9D9D9"/>
            <w:tcMar>
              <w:top w:w="80" w:type="dxa"/>
              <w:left w:w="100" w:type="dxa"/>
              <w:bottom w:w="80" w:type="dxa"/>
              <w:right w:w="100" w:type="dxa"/>
            </w:tcMar>
          </w:tcPr>
          <w:p>
            <w:pPr>
              <w:keepNext/>
              <w:jc w:val="center"/>
            </w:pPr>
            <w:r>
              <w:rPr>
                <w:b/>
                <w:bCs/>
                <w:sz w:val="22"/>
                <w:szCs w:val="22"/>
              </w:rPr>
              <w:t>Corte 2021–2025</w:t>
            </w:r>
          </w:p>
        </w:tc>
        <w:tc>
          <w:tcPr>
            <w:tcW w:w="3317" w:type="dxa"/>
            <w:gridSpan w:val="2"/>
            <w:shd w:val="clear" w:color="auto" w:fill="D9D9D9"/>
            <w:tcMar>
              <w:top w:w="80" w:type="dxa"/>
              <w:left w:w="100" w:type="dxa"/>
              <w:bottom w:w="80" w:type="dxa"/>
              <w:right w:w="100" w:type="dxa"/>
            </w:tcMar>
          </w:tcPr>
          <w:p>
            <w:pPr>
              <w:keepNext/>
              <w:jc w:val="center"/>
            </w:pPr>
            <w:r>
              <w:rPr>
                <w:b/>
                <w:bCs/>
                <w:sz w:val="22"/>
                <w:szCs w:val="22"/>
              </w:rPr>
              <w:t>Uma safra de fora</w:t>
            </w:r>
          </w:p>
        </w:tc>
      </w:tr>
      <w:tr>
        <w:trPr>
          <w:cantSplit/>
          <w:tblHeader/>
        </w:trPr>
        <w:tc>
          <w:tcPr>
            <w:tcW w:w="1869" w:type="dxa"/>
            <w:shd w:val="clear" w:color="auto" w:fill="D9D9D9"/>
            <w:tcMar>
              <w:top w:w="80" w:type="dxa"/>
              <w:left w:w="100" w:type="dxa"/>
              <w:bottom w:w="80" w:type="dxa"/>
              <w:right w:w="100" w:type="dxa"/>
            </w:tcMar>
          </w:tcPr>
          <w:p>
            <w:pPr>
              <w:keepNext/>
              <w:jc w:val="center"/>
            </w:pPr>
          </w:p>
        </w:tc>
        <w:tc>
          <w:tcPr>
            <w:tcW w:w="1657" w:type="dxa"/>
            <w:shd w:val="clear" w:color="auto" w:fill="D9D9D9"/>
            <w:tcMar>
              <w:top w:w="80" w:type="dxa"/>
              <w:left w:w="100" w:type="dxa"/>
              <w:bottom w:w="80" w:type="dxa"/>
              <w:right w:w="100" w:type="dxa"/>
            </w:tcMar>
          </w:tcPr>
          <w:p>
            <w:pPr>
              <w:keepNext/>
              <w:jc w:val="center"/>
            </w:pPr>
            <w:r>
              <w:rPr>
                <w:b/>
                <w:bCs/>
                <w:sz w:val="22"/>
                <w:szCs w:val="22"/>
              </w:rPr>
              <w:t>Y−2</w:t>
            </w:r>
          </w:p>
        </w:tc>
        <w:tc>
          <w:tcPr>
            <w:tcW w:w="1657" w:type="dxa"/>
            <w:shd w:val="clear" w:color="auto" w:fill="D9D9D9"/>
            <w:tcMar>
              <w:top w:w="80" w:type="dxa"/>
              <w:left w:w="100" w:type="dxa"/>
              <w:bottom w:w="80" w:type="dxa"/>
              <w:right w:w="100" w:type="dxa"/>
            </w:tcMar>
          </w:tcPr>
          <w:p>
            <w:pPr>
              <w:keepNext/>
              <w:jc w:val="center"/>
            </w:pPr>
            <w:r>
              <w:rPr>
                <w:b/>
                <w:bCs/>
                <w:sz w:val="22"/>
                <w:szCs w:val="22"/>
              </w:rPr>
              <w:t>Y−1</w:t>
            </w:r>
          </w:p>
        </w:tc>
        <w:tc>
          <w:tcPr>
            <w:tcW w:w="1657" w:type="dxa"/>
            <w:shd w:val="clear" w:color="auto" w:fill="D9D9D9"/>
            <w:tcMar>
              <w:top w:w="80" w:type="dxa"/>
              <w:left w:w="100" w:type="dxa"/>
              <w:bottom w:w="80" w:type="dxa"/>
              <w:right w:w="100" w:type="dxa"/>
            </w:tcMar>
          </w:tcPr>
          <w:p>
            <w:pPr>
              <w:keepNext/>
              <w:jc w:val="center"/>
            </w:pPr>
            <w:r>
              <w:rPr>
                <w:b/>
                <w:bCs/>
                <w:sz w:val="22"/>
                <w:szCs w:val="22"/>
              </w:rPr>
              <w:t>Y−2</w:t>
            </w:r>
          </w:p>
        </w:tc>
        <w:tc>
          <w:tcPr>
            <w:tcW w:w="1660" w:type="dxa"/>
            <w:shd w:val="clear" w:color="auto" w:fill="D9D9D9"/>
            <w:tcMar>
              <w:top w:w="80" w:type="dxa"/>
              <w:left w:w="100" w:type="dxa"/>
              <w:bottom w:w="80" w:type="dxa"/>
              <w:right w:w="100" w:type="dxa"/>
            </w:tcMar>
          </w:tcPr>
          <w:p>
            <w:pPr>
              <w:keepNext/>
              <w:jc w:val="center"/>
            </w:pPr>
            <w:r>
              <w:rPr>
                <w:b/>
                <w:bCs/>
                <w:sz w:val="22"/>
                <w:szCs w:val="22"/>
              </w:rPr>
              <w:t>Y−1</w:t>
            </w:r>
          </w:p>
        </w:tc>
      </w:tr>
      <w:tr>
        <w:trPr>
          <w:cantSplit/>
        </w:trPr>
        <w:tc>
          <w:tcPr>
            <w:tcW w:w="1869" w:type="dxa"/>
            <w:tcMar>
              <w:top w:w="80" w:type="dxa"/>
              <w:left w:w="100" w:type="dxa"/>
              <w:bottom w:w="80" w:type="dxa"/>
              <w:right w:w="100" w:type="dxa"/>
            </w:tcMar>
          </w:tcPr>
          <w:p>
            <w:pPr>
              <w:keepNext/>
            </w:pPr>
            <w:r>
              <w:rPr>
                <w:sz w:val="22"/>
                <w:szCs w:val="22"/>
              </w:rPr>
              <w:t>Média histórica</w:t>
            </w:r>
          </w:p>
        </w:tc>
        <w:tc>
          <w:tcPr>
            <w:tcW w:w="1657" w:type="dxa"/>
            <w:tcMar>
              <w:top w:w="80" w:type="dxa"/>
              <w:left w:w="100" w:type="dxa"/>
              <w:bottom w:w="80" w:type="dxa"/>
              <w:right w:w="100" w:type="dxa"/>
            </w:tcMar>
          </w:tcPr>
          <w:p>
            <w:pPr>
              <w:keepNext/>
              <w:jc w:val="center"/>
            </w:pPr>
            <w:r>
              <w:rPr>
                <w:sz w:val="22"/>
                <w:szCs w:val="22"/>
              </w:rPr>
              <w:t>857 (0,08)</w:t>
            </w:r>
          </w:p>
        </w:tc>
        <w:tc>
          <w:tcPr>
            <w:tcW w:w="1657" w:type="dxa"/>
            <w:tcMar>
              <w:top w:w="80" w:type="dxa"/>
              <w:left w:w="100" w:type="dxa"/>
              <w:bottom w:w="80" w:type="dxa"/>
              <w:right w:w="100" w:type="dxa"/>
            </w:tcMar>
          </w:tcPr>
          <w:p>
            <w:pPr>
              <w:keepNext/>
              <w:jc w:val="center"/>
            </w:pPr>
            <w:r>
              <w:rPr>
                <w:sz w:val="22"/>
                <w:szCs w:val="22"/>
              </w:rPr>
              <w:t>861 (0,07)</w:t>
            </w:r>
          </w:p>
        </w:tc>
        <w:tc>
          <w:tcPr>
            <w:tcW w:w="1657" w:type="dxa"/>
            <w:tcMar>
              <w:top w:w="80" w:type="dxa"/>
              <w:left w:w="100" w:type="dxa"/>
              <w:bottom w:w="80" w:type="dxa"/>
              <w:right w:w="100" w:type="dxa"/>
            </w:tcMar>
          </w:tcPr>
          <w:p>
            <w:pPr>
              <w:keepNext/>
              <w:jc w:val="center"/>
            </w:pPr>
            <w:r>
              <w:rPr>
                <w:sz w:val="22"/>
                <w:szCs w:val="22"/>
              </w:rPr>
              <w:t>901 (−0,28)</w:t>
            </w:r>
          </w:p>
        </w:tc>
        <w:tc>
          <w:tcPr>
            <w:tcW w:w="1660" w:type="dxa"/>
            <w:tcMar>
              <w:top w:w="80" w:type="dxa"/>
              <w:left w:w="100" w:type="dxa"/>
              <w:bottom w:w="80" w:type="dxa"/>
              <w:right w:w="100" w:type="dxa"/>
            </w:tcMar>
          </w:tcPr>
          <w:p>
            <w:pPr>
              <w:keepNext/>
              <w:jc w:val="center"/>
            </w:pPr>
            <w:r>
              <w:rPr>
                <w:sz w:val="22"/>
                <w:szCs w:val="22"/>
              </w:rPr>
              <w:t>877 (−0,21)</w:t>
            </w:r>
          </w:p>
        </w:tc>
      </w:tr>
      <w:tr>
        <w:trPr>
          <w:cantSplit/>
        </w:trPr>
        <w:tc>
          <w:tcPr>
            <w:tcW w:w="1869" w:type="dxa"/>
            <w:tcMar>
              <w:top w:w="80" w:type="dxa"/>
              <w:left w:w="100" w:type="dxa"/>
              <w:bottom w:w="80" w:type="dxa"/>
              <w:right w:w="100" w:type="dxa"/>
            </w:tcMar>
          </w:tcPr>
          <w:p>
            <w:pPr>
              <w:keepNext/>
            </w:pPr>
            <w:r>
              <w:rPr>
                <w:sz w:val="22"/>
                <w:szCs w:val="22"/>
              </w:rPr>
              <w:t>F</w:t>
            </w:r>
          </w:p>
        </w:tc>
        <w:tc>
          <w:tcPr>
            <w:tcW w:w="1657" w:type="dxa"/>
            <w:tcMar>
              <w:top w:w="80" w:type="dxa"/>
              <w:left w:w="100" w:type="dxa"/>
              <w:bottom w:w="80" w:type="dxa"/>
              <w:right w:w="100" w:type="dxa"/>
            </w:tcMar>
          </w:tcPr>
          <w:p>
            <w:pPr>
              <w:keepNext/>
              <w:jc w:val="center"/>
            </w:pPr>
            <w:r>
              <w:rPr>
                <w:sz w:val="22"/>
                <w:szCs w:val="22"/>
              </w:rPr>
              <w:t>873 (0,04)</w:t>
            </w:r>
          </w:p>
        </w:tc>
        <w:tc>
          <w:tcPr>
            <w:tcW w:w="1657" w:type="dxa"/>
            <w:tcMar>
              <w:top w:w="80" w:type="dxa"/>
              <w:left w:w="100" w:type="dxa"/>
              <w:bottom w:w="80" w:type="dxa"/>
              <w:right w:w="100" w:type="dxa"/>
            </w:tcMar>
          </w:tcPr>
          <w:p>
            <w:pPr>
              <w:keepNext/>
              <w:jc w:val="center"/>
            </w:pPr>
            <w:r>
              <w:rPr>
                <w:sz w:val="22"/>
                <w:szCs w:val="22"/>
              </w:rPr>
              <w:t>770 (0,25)</w:t>
            </w:r>
          </w:p>
        </w:tc>
        <w:tc>
          <w:tcPr>
            <w:tcW w:w="1657" w:type="dxa"/>
            <w:tcMar>
              <w:top w:w="80" w:type="dxa"/>
              <w:left w:w="100" w:type="dxa"/>
              <w:bottom w:w="80" w:type="dxa"/>
              <w:right w:w="100" w:type="dxa"/>
            </w:tcMar>
          </w:tcPr>
          <w:p>
            <w:pPr>
              <w:keepNext/>
              <w:jc w:val="center"/>
            </w:pPr>
            <w:r>
              <w:rPr>
                <w:sz w:val="22"/>
                <w:szCs w:val="22"/>
              </w:rPr>
              <w:t>714 (0,20)</w:t>
            </w:r>
          </w:p>
        </w:tc>
        <w:tc>
          <w:tcPr>
            <w:tcW w:w="1660" w:type="dxa"/>
            <w:tcMar>
              <w:top w:w="80" w:type="dxa"/>
              <w:left w:w="100" w:type="dxa"/>
              <w:bottom w:w="80" w:type="dxa"/>
              <w:right w:w="100" w:type="dxa"/>
            </w:tcMar>
          </w:tcPr>
          <w:p>
            <w:pPr>
              <w:keepNext/>
              <w:jc w:val="center"/>
            </w:pPr>
            <w:r>
              <w:rPr>
                <w:sz w:val="22"/>
                <w:szCs w:val="22"/>
              </w:rPr>
              <w:t>689 (0,25)</w:t>
            </w:r>
          </w:p>
        </w:tc>
      </w:tr>
      <w:tr>
        <w:trPr>
          <w:cantSplit/>
        </w:trPr>
        <w:tc>
          <w:tcPr>
            <w:tcW w:w="1869" w:type="dxa"/>
            <w:tcMar>
              <w:top w:w="80" w:type="dxa"/>
              <w:left w:w="100" w:type="dxa"/>
              <w:bottom w:w="80" w:type="dxa"/>
              <w:right w:w="100" w:type="dxa"/>
            </w:tcMar>
          </w:tcPr>
          <w:p>
            <w:pPr>
              <w:keepNext/>
            </w:pPr>
            <w:r>
              <w:rPr>
                <w:sz w:val="22"/>
                <w:szCs w:val="22"/>
              </w:rPr>
              <w:t>H2</w:t>
            </w:r>
          </w:p>
        </w:tc>
        <w:tc>
          <w:tcPr>
            <w:tcW w:w="1657" w:type="dxa"/>
            <w:tcMar>
              <w:top w:w="80" w:type="dxa"/>
              <w:left w:w="100" w:type="dxa"/>
              <w:bottom w:w="80" w:type="dxa"/>
              <w:right w:w="100" w:type="dxa"/>
            </w:tcMar>
          </w:tcPr>
          <w:p>
            <w:pPr>
              <w:keepNext/>
              <w:jc w:val="center"/>
            </w:pPr>
            <w:r>
              <w:rPr>
                <w:sz w:val="22"/>
                <w:szCs w:val="22"/>
              </w:rPr>
              <w:t>870 (0,05)</w:t>
            </w:r>
          </w:p>
        </w:tc>
        <w:tc>
          <w:tcPr>
            <w:tcW w:w="1657" w:type="dxa"/>
            <w:tcMar>
              <w:top w:w="80" w:type="dxa"/>
              <w:left w:w="100" w:type="dxa"/>
              <w:bottom w:w="80" w:type="dxa"/>
              <w:right w:w="100" w:type="dxa"/>
            </w:tcMar>
          </w:tcPr>
          <w:p>
            <w:pPr>
              <w:keepNext/>
              <w:jc w:val="center"/>
            </w:pPr>
            <w:r>
              <w:rPr>
                <w:sz w:val="22"/>
                <w:szCs w:val="22"/>
              </w:rPr>
              <w:t>743 (0,31)</w:t>
            </w:r>
          </w:p>
        </w:tc>
        <w:tc>
          <w:tcPr>
            <w:tcW w:w="1657" w:type="dxa"/>
            <w:tcMar>
              <w:top w:w="80" w:type="dxa"/>
              <w:left w:w="100" w:type="dxa"/>
              <w:bottom w:w="80" w:type="dxa"/>
              <w:right w:w="100" w:type="dxa"/>
            </w:tcMar>
          </w:tcPr>
          <w:p>
            <w:pPr>
              <w:keepNext/>
              <w:jc w:val="center"/>
            </w:pPr>
            <w:r>
              <w:rPr>
                <w:sz w:val="22"/>
                <w:szCs w:val="22"/>
              </w:rPr>
              <w:t>706 (0,21)</w:t>
            </w:r>
          </w:p>
        </w:tc>
        <w:tc>
          <w:tcPr>
            <w:tcW w:w="1660" w:type="dxa"/>
            <w:tcMar>
              <w:top w:w="80" w:type="dxa"/>
              <w:left w:w="100" w:type="dxa"/>
              <w:bottom w:w="80" w:type="dxa"/>
              <w:right w:w="100" w:type="dxa"/>
            </w:tcMar>
          </w:tcPr>
          <w:p>
            <w:pPr>
              <w:keepNext/>
              <w:jc w:val="center"/>
            </w:pPr>
            <w:r>
              <w:rPr>
                <w:sz w:val="22"/>
                <w:szCs w:val="22"/>
              </w:rPr>
              <w:t>684 (0,26)</w:t>
            </w:r>
          </w:p>
        </w:tc>
      </w:tr>
    </w:tbl>
    <w:p>
      <w:pPr>
        <w:keepNext/>
        <w:spacing w:before="280" w:after="160"/>
      </w:pPr>
      <w:bookmarkStart w:id="19" w:name="_Toc244263397"/>
      <w:r>
        <w:rPr>
          <w:b/>
          <w:bCs/>
          <w:sz w:val="24"/>
          <w:szCs w:val="24"/>
        </w:rPr>
        <w:t>4.5 Etapa 5 – Clima do NASA POWER e escolha do modelo final</w:t>
      </w:r>
      <w:bookmarkEnd w:id="19"/>
    </w:p>
    <w:p>
      <w:pPr>
        <w:spacing w:after="200" w:line="276" w:lineRule="auto"/>
        <w:ind w:firstLine="720"/>
        <w:jc w:val="both"/>
      </w:pPr>
      <w:r>
        <w:rPr>
          <w:sz w:val="24"/>
          <w:szCs w:val="24"/>
        </w:rPr>
        <w:t>Até a Etapa 4, cerca de metade dos pares com rendimento ficava fora do modelo por falha ou distância das estações do INMET. A grade do NASA POWER concorda com as estações: a correlação entre safras ficou entre 0,78 e 0,89 para quase todas as variáveis (0,84 no déficit hídrico), com exceção da maior sequência de dias secos (0,53). Com ela, a base passou de 5.236 para 8.261 pares (+58%), com ganho em todas as mesorregiões (+43% a +80%).</w:t>
      </w:r>
    </w:p>
    <w:p>
      <w:pPr>
        <w:spacing w:after="200" w:line="276" w:lineRule="auto"/>
        <w:ind w:firstLine="720"/>
        <w:jc w:val="both"/>
      </w:pPr>
      <w:r>
        <w:rPr>
          <w:sz w:val="24"/>
          <w:szCs w:val="24"/>
        </w:rPr>
        <w:t xml:space="preserve">Nas mesmas linhas, só trocar a fonte do clima reduziu o erro de todos os modelos lineares (Tabela 10): o H2 passou de 870 para 739 kg/ha no corte temporal. Uma explicação provável é que a célula da grade (≈50 km) representa a média da área do município melhor que uma estação pontual, às vezes a dezenas de quilômetros, e não tem falhas. Entre as seis variações lineares testadas, o </w:t>
      </w:r>
      <w:r>
        <w:rPr>
          <w:b/>
          <w:bCs/>
          <w:sz w:val="24"/>
          <w:szCs w:val="24"/>
        </w:rPr>
        <w:t>FL</w:t>
      </w:r>
      <w:r>
        <w:rPr>
          <w:sz w:val="24"/>
          <w:szCs w:val="24"/>
        </w:rPr>
        <w:t xml:space="preserve"> (F + limiar de déficit) teve o menor RMSE médio com o NASA POWER, nas mesmas linhas do INMET (675 kg/ha) e em todas as linhas (699 kg/ha), e foi adotado como modelo final. O termo de déficit “normal” do H2 repete a informação da chuva e da umidade; o que acrescenta é só o limiar.</w:t>
      </w:r>
    </w:p>
    <w:p>
      <w:pPr>
        <w:keepNext/>
        <w:spacing w:before="120" w:after="300"/>
        <w:jc w:val="center"/>
      </w:pPr>
      <w:r>
        <w:rPr>
          <w:i/>
          <w:iCs/>
          <w:sz w:val="22"/>
          <w:szCs w:val="22"/>
        </w:rPr>
        <w:t xml:space="preserve">Tabela 10 – RMSE (kg/ha) e R² com o clima do INMET e do NASA POWER. Fonte: elaboração própria a partir de INMET e NASA POWER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3909"/>
        <w:gridCol w:w="1147"/>
        <w:gridCol w:w="1147"/>
        <w:gridCol w:w="1147"/>
        <w:gridCol w:w="1150"/>
      </w:tblGrid>
      <w:tr>
        <w:trPr>
          <w:cantSplit/>
          <w:tblHeader/>
        </w:trPr>
        <w:tc>
          <w:tcPr>
            <w:tcW w:w="3909" w:type="dxa"/>
            <w:shd w:val="clear" w:color="auto" w:fill="D9D9D9"/>
            <w:tcMar>
              <w:top w:w="80" w:type="dxa"/>
              <w:left w:w="100" w:type="dxa"/>
              <w:bottom w:w="80" w:type="dxa"/>
              <w:right w:w="100" w:type="dxa"/>
            </w:tcMar>
          </w:tcPr>
          <w:p>
            <w:pPr>
              <w:keepNext/>
              <w:jc w:val="center"/>
            </w:pPr>
            <w:r>
              <w:rPr>
                <w:b/>
                <w:bCs/>
                <w:sz w:val="22"/>
                <w:szCs w:val="22"/>
              </w:rPr>
              <w:t>Cenário e modelo</w:t>
            </w:r>
          </w:p>
        </w:tc>
        <w:tc>
          <w:tcPr>
            <w:tcW w:w="2294" w:type="dxa"/>
            <w:gridSpan w:val="2"/>
            <w:shd w:val="clear" w:color="auto" w:fill="D9D9D9"/>
            <w:tcMar>
              <w:top w:w="80" w:type="dxa"/>
              <w:left w:w="100" w:type="dxa"/>
              <w:bottom w:w="80" w:type="dxa"/>
              <w:right w:w="100" w:type="dxa"/>
            </w:tcMar>
          </w:tcPr>
          <w:p>
            <w:pPr>
              <w:keepNext/>
              <w:jc w:val="center"/>
            </w:pPr>
            <w:r>
              <w:rPr>
                <w:b/>
                <w:bCs/>
                <w:sz w:val="22"/>
                <w:szCs w:val="22"/>
              </w:rPr>
              <w:t>Corte 2021–2025</w:t>
            </w:r>
          </w:p>
        </w:tc>
        <w:tc>
          <w:tcPr>
            <w:tcW w:w="2297" w:type="dxa"/>
            <w:gridSpan w:val="2"/>
            <w:shd w:val="clear" w:color="auto" w:fill="D9D9D9"/>
            <w:tcMar>
              <w:top w:w="80" w:type="dxa"/>
              <w:left w:w="100" w:type="dxa"/>
              <w:bottom w:w="80" w:type="dxa"/>
              <w:right w:w="100" w:type="dxa"/>
            </w:tcMar>
          </w:tcPr>
          <w:p>
            <w:pPr>
              <w:keepNext/>
              <w:jc w:val="center"/>
            </w:pPr>
            <w:r>
              <w:rPr>
                <w:b/>
                <w:bCs/>
                <w:sz w:val="22"/>
                <w:szCs w:val="22"/>
              </w:rPr>
              <w:t>Uma safra de fora</w:t>
            </w:r>
          </w:p>
        </w:tc>
      </w:tr>
      <w:tr>
        <w:trPr>
          <w:cantSplit/>
          <w:tblHeader/>
        </w:trPr>
        <w:tc>
          <w:tcPr>
            <w:tcW w:w="3909" w:type="dxa"/>
            <w:shd w:val="clear" w:color="auto" w:fill="D9D9D9"/>
            <w:tcMar>
              <w:top w:w="80" w:type="dxa"/>
              <w:left w:w="100" w:type="dxa"/>
              <w:bottom w:w="80" w:type="dxa"/>
              <w:right w:w="100" w:type="dxa"/>
            </w:tcMar>
          </w:tcPr>
          <w:p>
            <w:pPr>
              <w:keepNext/>
              <w:jc w:val="center"/>
            </w:pPr>
          </w:p>
        </w:tc>
        <w:tc>
          <w:tcPr>
            <w:tcW w:w="1147" w:type="dxa"/>
            <w:shd w:val="clear" w:color="auto" w:fill="D9D9D9"/>
            <w:tcMar>
              <w:top w:w="80" w:type="dxa"/>
              <w:left w:w="100" w:type="dxa"/>
              <w:bottom w:w="80" w:type="dxa"/>
              <w:right w:w="100" w:type="dxa"/>
            </w:tcMar>
          </w:tcPr>
          <w:p>
            <w:pPr>
              <w:keepNext/>
              <w:jc w:val="center"/>
            </w:pPr>
            <w:r>
              <w:rPr>
                <w:b/>
                <w:bCs/>
                <w:sz w:val="22"/>
                <w:szCs w:val="22"/>
              </w:rPr>
              <w:t>RMSE</w:t>
            </w:r>
          </w:p>
        </w:tc>
        <w:tc>
          <w:tcPr>
            <w:tcW w:w="1147" w:type="dxa"/>
            <w:shd w:val="clear" w:color="auto" w:fill="D9D9D9"/>
            <w:tcMar>
              <w:top w:w="80" w:type="dxa"/>
              <w:left w:w="100" w:type="dxa"/>
              <w:bottom w:w="80" w:type="dxa"/>
              <w:right w:w="100" w:type="dxa"/>
            </w:tcMar>
          </w:tcPr>
          <w:p>
            <w:pPr>
              <w:keepNext/>
              <w:jc w:val="center"/>
            </w:pPr>
            <w:r>
              <w:rPr>
                <w:b/>
                <w:bCs/>
                <w:sz w:val="22"/>
                <w:szCs w:val="22"/>
              </w:rPr>
              <w:t>R²</w:t>
            </w:r>
          </w:p>
        </w:tc>
        <w:tc>
          <w:tcPr>
            <w:tcW w:w="1147" w:type="dxa"/>
            <w:shd w:val="clear" w:color="auto" w:fill="D9D9D9"/>
            <w:tcMar>
              <w:top w:w="80" w:type="dxa"/>
              <w:left w:w="100" w:type="dxa"/>
              <w:bottom w:w="80" w:type="dxa"/>
              <w:right w:w="100" w:type="dxa"/>
            </w:tcMar>
          </w:tcPr>
          <w:p>
            <w:pPr>
              <w:keepNext/>
              <w:jc w:val="center"/>
            </w:pPr>
            <w:r>
              <w:rPr>
                <w:b/>
                <w:bCs/>
                <w:sz w:val="22"/>
                <w:szCs w:val="22"/>
              </w:rPr>
              <w:t>RMSE</w:t>
            </w:r>
          </w:p>
        </w:tc>
        <w:tc>
          <w:tcPr>
            <w:tcW w:w="1150" w:type="dxa"/>
            <w:shd w:val="clear" w:color="auto" w:fill="D9D9D9"/>
            <w:tcMar>
              <w:top w:w="80" w:type="dxa"/>
              <w:left w:w="100" w:type="dxa"/>
              <w:bottom w:w="80" w:type="dxa"/>
              <w:right w:w="100" w:type="dxa"/>
            </w:tcMar>
          </w:tcPr>
          <w:p>
            <w:pPr>
              <w:keepNext/>
              <w:jc w:val="center"/>
            </w:pPr>
            <w:r>
              <w:rPr>
                <w:b/>
                <w:bCs/>
                <w:sz w:val="22"/>
                <w:szCs w:val="22"/>
              </w:rPr>
              <w:t>R²</w:t>
            </w:r>
          </w:p>
        </w:tc>
      </w:tr>
      <w:tr>
        <w:trPr>
          <w:cantSplit/>
        </w:trPr>
        <w:tc>
          <w:tcPr>
            <w:tcW w:w="3909" w:type="dxa"/>
            <w:tcMar>
              <w:top w:w="80" w:type="dxa"/>
              <w:left w:w="100" w:type="dxa"/>
              <w:bottom w:w="80" w:type="dxa"/>
              <w:right w:w="100" w:type="dxa"/>
            </w:tcMar>
          </w:tcPr>
          <w:p>
            <w:pPr>
              <w:keepNext/>
            </w:pPr>
            <w:r>
              <w:rPr>
                <w:sz w:val="22"/>
                <w:szCs w:val="22"/>
              </w:rPr>
              <w:t>INMET (5.236 linhas) – H2</w:t>
            </w:r>
          </w:p>
        </w:tc>
        <w:tc>
          <w:tcPr>
            <w:tcW w:w="1147" w:type="dxa"/>
            <w:tcMar>
              <w:top w:w="80" w:type="dxa"/>
              <w:left w:w="100" w:type="dxa"/>
              <w:bottom w:w="80" w:type="dxa"/>
              <w:right w:w="100" w:type="dxa"/>
            </w:tcMar>
          </w:tcPr>
          <w:p>
            <w:pPr>
              <w:keepNext/>
              <w:jc w:val="center"/>
            </w:pPr>
            <w:r>
              <w:rPr>
                <w:sz w:val="22"/>
                <w:szCs w:val="22"/>
              </w:rPr>
              <w:t>870</w:t>
            </w:r>
          </w:p>
        </w:tc>
        <w:tc>
          <w:tcPr>
            <w:tcW w:w="1147" w:type="dxa"/>
            <w:tcMar>
              <w:top w:w="80" w:type="dxa"/>
              <w:left w:w="100" w:type="dxa"/>
              <w:bottom w:w="80" w:type="dxa"/>
              <w:right w:w="100" w:type="dxa"/>
            </w:tcMar>
          </w:tcPr>
          <w:p>
            <w:pPr>
              <w:keepNext/>
              <w:jc w:val="center"/>
            </w:pPr>
            <w:r>
              <w:rPr>
                <w:sz w:val="22"/>
                <w:szCs w:val="22"/>
              </w:rPr>
              <w:t>0,05</w:t>
            </w:r>
          </w:p>
        </w:tc>
        <w:tc>
          <w:tcPr>
            <w:tcW w:w="1147" w:type="dxa"/>
            <w:tcMar>
              <w:top w:w="80" w:type="dxa"/>
              <w:left w:w="100" w:type="dxa"/>
              <w:bottom w:w="80" w:type="dxa"/>
              <w:right w:w="100" w:type="dxa"/>
            </w:tcMar>
          </w:tcPr>
          <w:p>
            <w:pPr>
              <w:keepNext/>
              <w:jc w:val="center"/>
            </w:pPr>
            <w:r>
              <w:rPr>
                <w:sz w:val="22"/>
                <w:szCs w:val="22"/>
              </w:rPr>
              <w:t>706</w:t>
            </w:r>
          </w:p>
        </w:tc>
        <w:tc>
          <w:tcPr>
            <w:tcW w:w="1150" w:type="dxa"/>
            <w:tcMar>
              <w:top w:w="80" w:type="dxa"/>
              <w:left w:w="100" w:type="dxa"/>
              <w:bottom w:w="80" w:type="dxa"/>
              <w:right w:w="100" w:type="dxa"/>
            </w:tcMar>
          </w:tcPr>
          <w:p>
            <w:pPr>
              <w:keepNext/>
              <w:jc w:val="center"/>
            </w:pPr>
            <w:r>
              <w:rPr>
                <w:sz w:val="22"/>
                <w:szCs w:val="22"/>
              </w:rPr>
              <w:t>0,21</w:t>
            </w:r>
          </w:p>
        </w:tc>
      </w:tr>
      <w:tr>
        <w:trPr>
          <w:cantSplit/>
        </w:trPr>
        <w:tc>
          <w:tcPr>
            <w:tcW w:w="3909" w:type="dxa"/>
            <w:tcMar>
              <w:top w:w="80" w:type="dxa"/>
              <w:left w:w="100" w:type="dxa"/>
              <w:bottom w:w="80" w:type="dxa"/>
              <w:right w:w="100" w:type="dxa"/>
            </w:tcMar>
          </w:tcPr>
          <w:p>
            <w:pPr>
              <w:keepNext/>
            </w:pPr>
            <w:r>
              <w:rPr>
                <w:sz w:val="22"/>
                <w:szCs w:val="22"/>
              </w:rPr>
              <w:t>INMET (5.236 linhas) – FL</w:t>
            </w:r>
          </w:p>
        </w:tc>
        <w:tc>
          <w:tcPr>
            <w:tcW w:w="1147" w:type="dxa"/>
            <w:tcMar>
              <w:top w:w="80" w:type="dxa"/>
              <w:left w:w="100" w:type="dxa"/>
              <w:bottom w:w="80" w:type="dxa"/>
              <w:right w:w="100" w:type="dxa"/>
            </w:tcMar>
          </w:tcPr>
          <w:p>
            <w:pPr>
              <w:keepNext/>
              <w:jc w:val="center"/>
            </w:pPr>
            <w:r>
              <w:rPr>
                <w:sz w:val="22"/>
                <w:szCs w:val="22"/>
              </w:rPr>
              <w:t>842</w:t>
            </w:r>
          </w:p>
        </w:tc>
        <w:tc>
          <w:tcPr>
            <w:tcW w:w="1147" w:type="dxa"/>
            <w:tcMar>
              <w:top w:w="80" w:type="dxa"/>
              <w:left w:w="100" w:type="dxa"/>
              <w:bottom w:w="80" w:type="dxa"/>
              <w:right w:w="100" w:type="dxa"/>
            </w:tcMar>
          </w:tcPr>
          <w:p>
            <w:pPr>
              <w:keepNext/>
              <w:jc w:val="center"/>
            </w:pPr>
            <w:r>
              <w:rPr>
                <w:sz w:val="22"/>
                <w:szCs w:val="22"/>
              </w:rPr>
              <w:t>0,11</w:t>
            </w:r>
          </w:p>
        </w:tc>
        <w:tc>
          <w:tcPr>
            <w:tcW w:w="1147" w:type="dxa"/>
            <w:tcMar>
              <w:top w:w="80" w:type="dxa"/>
              <w:left w:w="100" w:type="dxa"/>
              <w:bottom w:w="80" w:type="dxa"/>
              <w:right w:w="100" w:type="dxa"/>
            </w:tcMar>
          </w:tcPr>
          <w:p>
            <w:pPr>
              <w:keepNext/>
              <w:jc w:val="center"/>
            </w:pPr>
            <w:r>
              <w:rPr>
                <w:sz w:val="22"/>
                <w:szCs w:val="22"/>
              </w:rPr>
              <w:t>704</w:t>
            </w:r>
          </w:p>
        </w:tc>
        <w:tc>
          <w:tcPr>
            <w:tcW w:w="1150" w:type="dxa"/>
            <w:tcMar>
              <w:top w:w="80" w:type="dxa"/>
              <w:left w:w="100" w:type="dxa"/>
              <w:bottom w:w="80" w:type="dxa"/>
              <w:right w:w="100" w:type="dxa"/>
            </w:tcMar>
          </w:tcPr>
          <w:p>
            <w:pPr>
              <w:keepNext/>
              <w:jc w:val="center"/>
            </w:pPr>
            <w:r>
              <w:rPr>
                <w:sz w:val="22"/>
                <w:szCs w:val="22"/>
              </w:rPr>
              <w:t>0,22</w:t>
            </w:r>
          </w:p>
        </w:tc>
      </w:tr>
      <w:tr>
        <w:trPr>
          <w:cantSplit/>
        </w:trPr>
        <w:tc>
          <w:tcPr>
            <w:tcW w:w="3909" w:type="dxa"/>
            <w:tcMar>
              <w:top w:w="80" w:type="dxa"/>
              <w:left w:w="100" w:type="dxa"/>
              <w:bottom w:w="80" w:type="dxa"/>
              <w:right w:w="100" w:type="dxa"/>
            </w:tcMar>
          </w:tcPr>
          <w:p>
            <w:pPr>
              <w:keepNext/>
            </w:pPr>
            <w:r>
              <w:rPr>
                <w:sz w:val="22"/>
                <w:szCs w:val="22"/>
              </w:rPr>
              <w:t>NASA POWER, mesmas linhas – H2</w:t>
            </w:r>
          </w:p>
        </w:tc>
        <w:tc>
          <w:tcPr>
            <w:tcW w:w="1147" w:type="dxa"/>
            <w:tcMar>
              <w:top w:w="80" w:type="dxa"/>
              <w:left w:w="100" w:type="dxa"/>
              <w:bottom w:w="80" w:type="dxa"/>
              <w:right w:w="100" w:type="dxa"/>
            </w:tcMar>
          </w:tcPr>
          <w:p>
            <w:pPr>
              <w:keepNext/>
              <w:jc w:val="center"/>
            </w:pPr>
            <w:r>
              <w:rPr>
                <w:sz w:val="22"/>
                <w:szCs w:val="22"/>
              </w:rPr>
              <w:t>739</w:t>
            </w:r>
          </w:p>
        </w:tc>
        <w:tc>
          <w:tcPr>
            <w:tcW w:w="1147" w:type="dxa"/>
            <w:tcMar>
              <w:top w:w="80" w:type="dxa"/>
              <w:left w:w="100" w:type="dxa"/>
              <w:bottom w:w="80" w:type="dxa"/>
              <w:right w:w="100" w:type="dxa"/>
            </w:tcMar>
          </w:tcPr>
          <w:p>
            <w:pPr>
              <w:keepNext/>
              <w:jc w:val="center"/>
            </w:pPr>
            <w:r>
              <w:rPr>
                <w:sz w:val="22"/>
                <w:szCs w:val="22"/>
              </w:rPr>
              <w:t>0,31</w:t>
            </w:r>
          </w:p>
        </w:tc>
        <w:tc>
          <w:tcPr>
            <w:tcW w:w="1147" w:type="dxa"/>
            <w:tcMar>
              <w:top w:w="80" w:type="dxa"/>
              <w:left w:w="100" w:type="dxa"/>
              <w:bottom w:w="80" w:type="dxa"/>
              <w:right w:w="100" w:type="dxa"/>
            </w:tcMar>
          </w:tcPr>
          <w:p>
            <w:pPr>
              <w:keepNext/>
              <w:jc w:val="center"/>
            </w:pPr>
            <w:r>
              <w:rPr>
                <w:sz w:val="22"/>
                <w:szCs w:val="22"/>
              </w:rPr>
              <w:t>637</w:t>
            </w:r>
          </w:p>
        </w:tc>
        <w:tc>
          <w:tcPr>
            <w:tcW w:w="1150" w:type="dxa"/>
            <w:tcMar>
              <w:top w:w="80" w:type="dxa"/>
              <w:left w:w="100" w:type="dxa"/>
              <w:bottom w:w="80" w:type="dxa"/>
              <w:right w:w="100" w:type="dxa"/>
            </w:tcMar>
          </w:tcPr>
          <w:p>
            <w:pPr>
              <w:keepNext/>
              <w:jc w:val="center"/>
            </w:pPr>
            <w:r>
              <w:rPr>
                <w:sz w:val="22"/>
                <w:szCs w:val="22"/>
              </w:rPr>
              <w:t>0,36</w:t>
            </w:r>
          </w:p>
        </w:tc>
      </w:tr>
      <w:tr>
        <w:trPr>
          <w:cantSplit/>
        </w:trPr>
        <w:tc>
          <w:tcPr>
            <w:tcW w:w="3909" w:type="dxa"/>
            <w:tcMar>
              <w:top w:w="80" w:type="dxa"/>
              <w:left w:w="100" w:type="dxa"/>
              <w:bottom w:w="80" w:type="dxa"/>
              <w:right w:w="100" w:type="dxa"/>
            </w:tcMar>
          </w:tcPr>
          <w:p>
            <w:pPr>
              <w:keepNext/>
            </w:pPr>
            <w:r>
              <w:rPr>
                <w:sz w:val="22"/>
                <w:szCs w:val="22"/>
              </w:rPr>
              <w:t>NASA POWER, mesmas linhas – FL</w:t>
            </w:r>
          </w:p>
        </w:tc>
        <w:tc>
          <w:tcPr>
            <w:tcW w:w="1147" w:type="dxa"/>
            <w:tcMar>
              <w:top w:w="80" w:type="dxa"/>
              <w:left w:w="100" w:type="dxa"/>
              <w:bottom w:w="80" w:type="dxa"/>
              <w:right w:w="100" w:type="dxa"/>
            </w:tcMar>
          </w:tcPr>
          <w:p>
            <w:pPr>
              <w:keepNext/>
              <w:jc w:val="center"/>
            </w:pPr>
            <w:r>
              <w:rPr>
                <w:sz w:val="22"/>
                <w:szCs w:val="22"/>
              </w:rPr>
              <w:t>722</w:t>
            </w:r>
          </w:p>
        </w:tc>
        <w:tc>
          <w:tcPr>
            <w:tcW w:w="1147" w:type="dxa"/>
            <w:tcMar>
              <w:top w:w="80" w:type="dxa"/>
              <w:left w:w="100" w:type="dxa"/>
              <w:bottom w:w="80" w:type="dxa"/>
              <w:right w:w="100" w:type="dxa"/>
            </w:tcMar>
          </w:tcPr>
          <w:p>
            <w:pPr>
              <w:keepNext/>
              <w:jc w:val="center"/>
            </w:pPr>
            <w:r>
              <w:rPr>
                <w:sz w:val="22"/>
                <w:szCs w:val="22"/>
              </w:rPr>
              <w:t>0,34</w:t>
            </w:r>
          </w:p>
        </w:tc>
        <w:tc>
          <w:tcPr>
            <w:tcW w:w="1147" w:type="dxa"/>
            <w:tcMar>
              <w:top w:w="80" w:type="dxa"/>
              <w:left w:w="100" w:type="dxa"/>
              <w:bottom w:w="80" w:type="dxa"/>
              <w:right w:w="100" w:type="dxa"/>
            </w:tcMar>
          </w:tcPr>
          <w:p>
            <w:pPr>
              <w:keepNext/>
              <w:jc w:val="center"/>
            </w:pPr>
            <w:r>
              <w:rPr>
                <w:sz w:val="22"/>
                <w:szCs w:val="22"/>
              </w:rPr>
              <w:t>627</w:t>
            </w:r>
          </w:p>
        </w:tc>
        <w:tc>
          <w:tcPr>
            <w:tcW w:w="1150" w:type="dxa"/>
            <w:tcMar>
              <w:top w:w="80" w:type="dxa"/>
              <w:left w:w="100" w:type="dxa"/>
              <w:bottom w:w="80" w:type="dxa"/>
              <w:right w:w="100" w:type="dxa"/>
            </w:tcMar>
          </w:tcPr>
          <w:p>
            <w:pPr>
              <w:keepNext/>
              <w:jc w:val="center"/>
            </w:pPr>
            <w:r>
              <w:rPr>
                <w:sz w:val="22"/>
                <w:szCs w:val="22"/>
              </w:rPr>
              <w:t>0,38</w:t>
            </w:r>
          </w:p>
        </w:tc>
      </w:tr>
      <w:tr>
        <w:trPr>
          <w:cantSplit/>
        </w:trPr>
        <w:tc>
          <w:tcPr>
            <w:tcW w:w="3909" w:type="dxa"/>
            <w:tcMar>
              <w:top w:w="80" w:type="dxa"/>
              <w:left w:w="100" w:type="dxa"/>
              <w:bottom w:w="80" w:type="dxa"/>
              <w:right w:w="100" w:type="dxa"/>
            </w:tcMar>
          </w:tcPr>
          <w:p>
            <w:pPr>
              <w:keepNext/>
            </w:pPr>
            <w:r>
              <w:rPr>
                <w:b/>
                <w:bCs/>
                <w:sz w:val="22"/>
                <w:szCs w:val="22"/>
              </w:rPr>
              <w:t>NASA POWER, todas as linhas – FL (final)</w:t>
            </w:r>
          </w:p>
        </w:tc>
        <w:tc>
          <w:tcPr>
            <w:tcW w:w="1147" w:type="dxa"/>
            <w:tcMar>
              <w:top w:w="80" w:type="dxa"/>
              <w:left w:w="100" w:type="dxa"/>
              <w:bottom w:w="80" w:type="dxa"/>
              <w:right w:w="100" w:type="dxa"/>
            </w:tcMar>
          </w:tcPr>
          <w:p>
            <w:pPr>
              <w:keepNext/>
              <w:jc w:val="center"/>
            </w:pPr>
            <w:r>
              <w:rPr>
                <w:b/>
                <w:bCs/>
                <w:sz w:val="22"/>
                <w:szCs w:val="22"/>
              </w:rPr>
              <w:t>772</w:t>
            </w:r>
          </w:p>
        </w:tc>
        <w:tc>
          <w:tcPr>
            <w:tcW w:w="1147" w:type="dxa"/>
            <w:tcMar>
              <w:top w:w="80" w:type="dxa"/>
              <w:left w:w="100" w:type="dxa"/>
              <w:bottom w:w="80" w:type="dxa"/>
              <w:right w:w="100" w:type="dxa"/>
            </w:tcMar>
          </w:tcPr>
          <w:p>
            <w:pPr>
              <w:keepNext/>
              <w:jc w:val="center"/>
            </w:pPr>
            <w:r>
              <w:rPr>
                <w:b/>
                <w:bCs/>
                <w:sz w:val="22"/>
                <w:szCs w:val="22"/>
              </w:rPr>
              <w:t>0,28</w:t>
            </w:r>
          </w:p>
        </w:tc>
        <w:tc>
          <w:tcPr>
            <w:tcW w:w="1147" w:type="dxa"/>
            <w:tcMar>
              <w:top w:w="80" w:type="dxa"/>
              <w:left w:w="100" w:type="dxa"/>
              <w:bottom w:w="80" w:type="dxa"/>
              <w:right w:w="100" w:type="dxa"/>
            </w:tcMar>
          </w:tcPr>
          <w:p>
            <w:pPr>
              <w:keepNext/>
              <w:jc w:val="center"/>
            </w:pPr>
            <w:r>
              <w:rPr>
                <w:b/>
                <w:bCs/>
                <w:sz w:val="22"/>
                <w:szCs w:val="22"/>
              </w:rPr>
              <w:t>626</w:t>
            </w:r>
          </w:p>
        </w:tc>
        <w:tc>
          <w:tcPr>
            <w:tcW w:w="1150" w:type="dxa"/>
            <w:tcMar>
              <w:top w:w="80" w:type="dxa"/>
              <w:left w:w="100" w:type="dxa"/>
              <w:bottom w:w="80" w:type="dxa"/>
              <w:right w:w="100" w:type="dxa"/>
            </w:tcMar>
          </w:tcPr>
          <w:p>
            <w:pPr>
              <w:keepNext/>
              <w:jc w:val="center"/>
            </w:pPr>
            <w:r>
              <w:rPr>
                <w:b/>
                <w:bCs/>
                <w:sz w:val="22"/>
                <w:szCs w:val="22"/>
              </w:rPr>
              <w:t>0,40</w:t>
            </w:r>
          </w:p>
        </w:tc>
      </w:tr>
    </w:tbl>
    <w:p>
      <w:pPr>
        <w:keepNext/>
        <w:spacing w:before="280" w:after="160"/>
      </w:pPr>
      <w:bookmarkStart w:id="20" w:name="_Toc244263398"/>
      <w:r>
        <w:rPr>
          <w:b/>
          <w:bCs/>
          <w:sz w:val="24"/>
          <w:szCs w:val="24"/>
        </w:rPr>
        <w:t>4.6 Etapa 6 – Revalidação e aplicação</w:t>
      </w:r>
      <w:bookmarkEnd w:id="20"/>
    </w:p>
    <w:p>
      <w:pPr>
        <w:spacing w:after="200" w:line="276" w:lineRule="auto"/>
        <w:ind w:firstLine="720"/>
        <w:jc w:val="both"/>
      </w:pPr>
      <w:r>
        <w:rPr>
          <w:sz w:val="24"/>
          <w:szCs w:val="24"/>
        </w:rPr>
        <w:t>A Etapa 6 estendeu o clima do NASA POWER até maio de 2026 e o ONI até 2026, refez a validação dos cinco modelos com o patamar só das safras publicadas e reconfirmou o FL como o melhor (Tabela 11). Em seguida, aplicou-o à previsão da safra 2026 (Seção 6) e à perspectiva da safra 2027 (Seção 7).</w:t>
      </w:r>
    </w:p>
    <w:p>
      <w:pPr>
        <w:keepNext/>
        <w:spacing w:before="120" w:after="300"/>
        <w:jc w:val="center"/>
      </w:pPr>
      <w:r>
        <w:rPr>
          <w:i/>
          <w:iCs/>
          <w:sz w:val="22"/>
          <w:szCs w:val="22"/>
        </w:rPr>
        <w:t xml:space="preserve">Tabela 11 – Validação final dos cinco modelos (NASA POWER, 8.261 linhas). Fonte: elaboração própria (2026). RMSE, MAE e viés em kg/ha; a coluna Média é a média do RMSE nas duas validações.</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379"/>
        <w:gridCol w:w="765"/>
        <w:gridCol w:w="765"/>
        <w:gridCol w:w="679"/>
        <w:gridCol w:w="765"/>
        <w:gridCol w:w="765"/>
        <w:gridCol w:w="765"/>
        <w:gridCol w:w="679"/>
        <w:gridCol w:w="938"/>
      </w:tblGrid>
      <w:tr>
        <w:trPr>
          <w:cantSplit/>
          <w:tblHeader/>
        </w:trPr>
        <w:tc>
          <w:tcPr>
            <w:tcW w:w="2379" w:type="dxa"/>
            <w:shd w:val="clear" w:color="auto" w:fill="D9D9D9"/>
            <w:tcMar>
              <w:top w:w="80" w:type="dxa"/>
              <w:left w:w="100" w:type="dxa"/>
              <w:bottom w:w="80" w:type="dxa"/>
              <w:right w:w="100" w:type="dxa"/>
            </w:tcMar>
          </w:tcPr>
          <w:p>
            <w:pPr>
              <w:keepNext/>
              <w:jc w:val="center"/>
            </w:pPr>
            <w:r>
              <w:rPr>
                <w:b/>
                <w:bCs/>
                <w:sz w:val="22"/>
                <w:szCs w:val="22"/>
              </w:rPr>
              <w:t>Modelo</w:t>
            </w:r>
          </w:p>
        </w:tc>
        <w:tc>
          <w:tcPr>
            <w:tcW w:w="2974" w:type="dxa"/>
            <w:gridSpan w:val="4"/>
            <w:shd w:val="clear" w:color="auto" w:fill="D9D9D9"/>
            <w:tcMar>
              <w:top w:w="80" w:type="dxa"/>
              <w:left w:w="100" w:type="dxa"/>
              <w:bottom w:w="80" w:type="dxa"/>
              <w:right w:w="100" w:type="dxa"/>
            </w:tcMar>
          </w:tcPr>
          <w:p>
            <w:pPr>
              <w:keepNext/>
              <w:jc w:val="center"/>
            </w:pPr>
            <w:r>
              <w:rPr>
                <w:b/>
                <w:bCs/>
                <w:sz w:val="22"/>
                <w:szCs w:val="22"/>
              </w:rPr>
              <w:t>Corte 2021–2025</w:t>
            </w:r>
          </w:p>
        </w:tc>
        <w:tc>
          <w:tcPr>
            <w:tcW w:w="2209" w:type="dxa"/>
            <w:gridSpan w:val="3"/>
            <w:shd w:val="clear" w:color="auto" w:fill="D9D9D9"/>
            <w:tcMar>
              <w:top w:w="80" w:type="dxa"/>
              <w:left w:w="100" w:type="dxa"/>
              <w:bottom w:w="80" w:type="dxa"/>
              <w:right w:w="100" w:type="dxa"/>
            </w:tcMar>
          </w:tcPr>
          <w:p>
            <w:pPr>
              <w:keepNext/>
              <w:jc w:val="center"/>
            </w:pPr>
            <w:r>
              <w:rPr>
                <w:b/>
                <w:bCs/>
                <w:sz w:val="22"/>
                <w:szCs w:val="22"/>
              </w:rPr>
              <w:t>Uma safra de fora</w:t>
            </w:r>
          </w:p>
        </w:tc>
        <w:tc>
          <w:tcPr>
            <w:tcW w:w="938" w:type="dxa"/>
            <w:shd w:val="clear" w:color="auto" w:fill="D9D9D9"/>
            <w:tcMar>
              <w:top w:w="80" w:type="dxa"/>
              <w:left w:w="100" w:type="dxa"/>
              <w:bottom w:w="80" w:type="dxa"/>
              <w:right w:w="100" w:type="dxa"/>
            </w:tcMar>
          </w:tcPr>
          <w:p>
            <w:pPr>
              <w:keepNext/>
              <w:jc w:val="center"/>
            </w:pPr>
            <w:r>
              <w:rPr>
                <w:b/>
                <w:bCs/>
                <w:sz w:val="22"/>
                <w:szCs w:val="22"/>
              </w:rPr>
              <w:t>Média</w:t>
            </w:r>
          </w:p>
        </w:tc>
      </w:tr>
      <w:tr>
        <w:trPr>
          <w:cantSplit/>
          <w:tblHeader/>
        </w:trPr>
        <w:tc>
          <w:tcPr>
            <w:tcW w:w="2379" w:type="dxa"/>
            <w:shd w:val="clear" w:color="auto" w:fill="D9D9D9"/>
            <w:tcMar>
              <w:top w:w="80" w:type="dxa"/>
              <w:left w:w="100" w:type="dxa"/>
              <w:bottom w:w="80" w:type="dxa"/>
              <w:right w:w="100" w:type="dxa"/>
            </w:tcMar>
          </w:tcPr>
          <w:p>
            <w:pPr>
              <w:keepNext/>
              <w:jc w:val="center"/>
            </w:pPr>
          </w:p>
        </w:tc>
        <w:tc>
          <w:tcPr>
            <w:tcW w:w="765" w:type="dxa"/>
            <w:shd w:val="clear" w:color="auto" w:fill="D9D9D9"/>
            <w:tcMar>
              <w:top w:w="80" w:type="dxa"/>
              <w:left w:w="100" w:type="dxa"/>
              <w:bottom w:w="80" w:type="dxa"/>
              <w:right w:w="100" w:type="dxa"/>
            </w:tcMar>
          </w:tcPr>
          <w:p>
            <w:pPr>
              <w:keepNext/>
              <w:jc w:val="center"/>
            </w:pPr>
            <w:r>
              <w:rPr>
                <w:b/>
                <w:bCs/>
                <w:sz w:val="22"/>
                <w:szCs w:val="22"/>
              </w:rPr>
              <w:t>RMSE</w:t>
            </w:r>
          </w:p>
        </w:tc>
        <w:tc>
          <w:tcPr>
            <w:tcW w:w="765" w:type="dxa"/>
            <w:shd w:val="clear" w:color="auto" w:fill="D9D9D9"/>
            <w:tcMar>
              <w:top w:w="80" w:type="dxa"/>
              <w:left w:w="100" w:type="dxa"/>
              <w:bottom w:w="80" w:type="dxa"/>
              <w:right w:w="100" w:type="dxa"/>
            </w:tcMar>
          </w:tcPr>
          <w:p>
            <w:pPr>
              <w:keepNext/>
              <w:jc w:val="center"/>
            </w:pPr>
            <w:r>
              <w:rPr>
                <w:b/>
                <w:bCs/>
                <w:sz w:val="22"/>
                <w:szCs w:val="22"/>
              </w:rPr>
              <w:t>MAE</w:t>
            </w:r>
          </w:p>
        </w:tc>
        <w:tc>
          <w:tcPr>
            <w:tcW w:w="679" w:type="dxa"/>
            <w:shd w:val="clear" w:color="auto" w:fill="D9D9D9"/>
            <w:tcMar>
              <w:top w:w="80" w:type="dxa"/>
              <w:left w:w="100" w:type="dxa"/>
              <w:bottom w:w="80" w:type="dxa"/>
              <w:right w:w="100" w:type="dxa"/>
            </w:tcMar>
          </w:tcPr>
          <w:p>
            <w:pPr>
              <w:keepNext/>
              <w:jc w:val="center"/>
            </w:pPr>
            <w:r>
              <w:rPr>
                <w:b/>
                <w:bCs/>
                <w:sz w:val="22"/>
                <w:szCs w:val="22"/>
              </w:rPr>
              <w:t>R²</w:t>
            </w:r>
          </w:p>
        </w:tc>
        <w:tc>
          <w:tcPr>
            <w:tcW w:w="765" w:type="dxa"/>
            <w:shd w:val="clear" w:color="auto" w:fill="D9D9D9"/>
            <w:tcMar>
              <w:top w:w="80" w:type="dxa"/>
              <w:left w:w="100" w:type="dxa"/>
              <w:bottom w:w="80" w:type="dxa"/>
              <w:right w:w="100" w:type="dxa"/>
            </w:tcMar>
          </w:tcPr>
          <w:p>
            <w:pPr>
              <w:keepNext/>
              <w:jc w:val="center"/>
            </w:pPr>
            <w:r>
              <w:rPr>
                <w:b/>
                <w:bCs/>
                <w:sz w:val="22"/>
                <w:szCs w:val="22"/>
              </w:rPr>
              <w:t>Viés</w:t>
            </w:r>
          </w:p>
        </w:tc>
        <w:tc>
          <w:tcPr>
            <w:tcW w:w="765" w:type="dxa"/>
            <w:shd w:val="clear" w:color="auto" w:fill="D9D9D9"/>
            <w:tcMar>
              <w:top w:w="80" w:type="dxa"/>
              <w:left w:w="100" w:type="dxa"/>
              <w:bottom w:w="80" w:type="dxa"/>
              <w:right w:w="100" w:type="dxa"/>
            </w:tcMar>
          </w:tcPr>
          <w:p>
            <w:pPr>
              <w:keepNext/>
              <w:jc w:val="center"/>
            </w:pPr>
            <w:r>
              <w:rPr>
                <w:b/>
                <w:bCs/>
                <w:sz w:val="22"/>
                <w:szCs w:val="22"/>
              </w:rPr>
              <w:t>RMSE</w:t>
            </w:r>
          </w:p>
        </w:tc>
        <w:tc>
          <w:tcPr>
            <w:tcW w:w="765" w:type="dxa"/>
            <w:shd w:val="clear" w:color="auto" w:fill="D9D9D9"/>
            <w:tcMar>
              <w:top w:w="80" w:type="dxa"/>
              <w:left w:w="100" w:type="dxa"/>
              <w:bottom w:w="80" w:type="dxa"/>
              <w:right w:w="100" w:type="dxa"/>
            </w:tcMar>
          </w:tcPr>
          <w:p>
            <w:pPr>
              <w:keepNext/>
              <w:jc w:val="center"/>
            </w:pPr>
            <w:r>
              <w:rPr>
                <w:b/>
                <w:bCs/>
                <w:sz w:val="22"/>
                <w:szCs w:val="22"/>
              </w:rPr>
              <w:t>MAE</w:t>
            </w:r>
          </w:p>
        </w:tc>
        <w:tc>
          <w:tcPr>
            <w:tcW w:w="679" w:type="dxa"/>
            <w:shd w:val="clear" w:color="auto" w:fill="D9D9D9"/>
            <w:tcMar>
              <w:top w:w="80" w:type="dxa"/>
              <w:left w:w="100" w:type="dxa"/>
              <w:bottom w:w="80" w:type="dxa"/>
              <w:right w:w="100" w:type="dxa"/>
            </w:tcMar>
          </w:tcPr>
          <w:p>
            <w:pPr>
              <w:keepNext/>
              <w:jc w:val="center"/>
            </w:pPr>
            <w:r>
              <w:rPr>
                <w:b/>
                <w:bCs/>
                <w:sz w:val="22"/>
                <w:szCs w:val="22"/>
              </w:rPr>
              <w:t>R²</w:t>
            </w:r>
          </w:p>
        </w:tc>
        <w:tc>
          <w:tcPr>
            <w:tcW w:w="938" w:type="dxa"/>
            <w:shd w:val="clear" w:color="auto" w:fill="D9D9D9"/>
            <w:tcMar>
              <w:top w:w="80" w:type="dxa"/>
              <w:left w:w="100" w:type="dxa"/>
              <w:bottom w:w="80" w:type="dxa"/>
              <w:right w:w="100" w:type="dxa"/>
            </w:tcMar>
          </w:tcPr>
          <w:p>
            <w:pPr>
              <w:keepNext/>
              <w:jc w:val="center"/>
            </w:pPr>
            <w:r>
              <w:rPr>
                <w:b/>
                <w:bCs/>
                <w:sz w:val="22"/>
                <w:szCs w:val="22"/>
              </w:rPr>
              <w:t>RMSE</w:t>
            </w:r>
          </w:p>
        </w:tc>
      </w:tr>
      <w:tr>
        <w:trPr>
          <w:cantSplit/>
        </w:trPr>
        <w:tc>
          <w:tcPr>
            <w:tcW w:w="2379" w:type="dxa"/>
            <w:tcMar>
              <w:top w:w="80" w:type="dxa"/>
              <w:left w:w="100" w:type="dxa"/>
              <w:bottom w:w="80" w:type="dxa"/>
              <w:right w:w="100" w:type="dxa"/>
            </w:tcMar>
          </w:tcPr>
          <w:p>
            <w:pPr>
              <w:keepNext/>
            </w:pPr>
            <w:r>
              <w:rPr>
                <w:b/>
                <w:bCs/>
                <w:sz w:val="22"/>
                <w:szCs w:val="22"/>
              </w:rPr>
              <w:t>FL (final)</w:t>
            </w:r>
          </w:p>
        </w:tc>
        <w:tc>
          <w:tcPr>
            <w:tcW w:w="765" w:type="dxa"/>
            <w:tcMar>
              <w:top w:w="80" w:type="dxa"/>
              <w:left w:w="100" w:type="dxa"/>
              <w:bottom w:w="80" w:type="dxa"/>
              <w:right w:w="100" w:type="dxa"/>
            </w:tcMar>
          </w:tcPr>
          <w:p>
            <w:pPr>
              <w:keepNext/>
              <w:jc w:val="center"/>
            </w:pPr>
            <w:r>
              <w:rPr>
                <w:b/>
                <w:bCs/>
                <w:sz w:val="22"/>
                <w:szCs w:val="22"/>
              </w:rPr>
              <w:t>772</w:t>
            </w:r>
          </w:p>
        </w:tc>
        <w:tc>
          <w:tcPr>
            <w:tcW w:w="765" w:type="dxa"/>
            <w:tcMar>
              <w:top w:w="80" w:type="dxa"/>
              <w:left w:w="100" w:type="dxa"/>
              <w:bottom w:w="80" w:type="dxa"/>
              <w:right w:w="100" w:type="dxa"/>
            </w:tcMar>
          </w:tcPr>
          <w:p>
            <w:pPr>
              <w:keepNext/>
              <w:jc w:val="center"/>
            </w:pPr>
            <w:r>
              <w:rPr>
                <w:b/>
                <w:bCs/>
                <w:sz w:val="22"/>
                <w:szCs w:val="22"/>
              </w:rPr>
              <w:t>604</w:t>
            </w:r>
          </w:p>
        </w:tc>
        <w:tc>
          <w:tcPr>
            <w:tcW w:w="679" w:type="dxa"/>
            <w:tcMar>
              <w:top w:w="80" w:type="dxa"/>
              <w:left w:w="100" w:type="dxa"/>
              <w:bottom w:w="80" w:type="dxa"/>
              <w:right w:w="100" w:type="dxa"/>
            </w:tcMar>
          </w:tcPr>
          <w:p>
            <w:pPr>
              <w:keepNext/>
              <w:jc w:val="center"/>
            </w:pPr>
            <w:r>
              <w:rPr>
                <w:b/>
                <w:bCs/>
                <w:sz w:val="22"/>
                <w:szCs w:val="22"/>
              </w:rPr>
              <w:t>0,28</w:t>
            </w:r>
          </w:p>
        </w:tc>
        <w:tc>
          <w:tcPr>
            <w:tcW w:w="765" w:type="dxa"/>
            <w:tcMar>
              <w:top w:w="80" w:type="dxa"/>
              <w:left w:w="100" w:type="dxa"/>
              <w:bottom w:w="80" w:type="dxa"/>
              <w:right w:w="100" w:type="dxa"/>
            </w:tcMar>
          </w:tcPr>
          <w:p>
            <w:pPr>
              <w:keepNext/>
              <w:jc w:val="center"/>
            </w:pPr>
            <w:r>
              <w:rPr>
                <w:b/>
                <w:bCs/>
                <w:sz w:val="22"/>
                <w:szCs w:val="22"/>
              </w:rPr>
              <w:t>+298</w:t>
            </w:r>
          </w:p>
        </w:tc>
        <w:tc>
          <w:tcPr>
            <w:tcW w:w="765" w:type="dxa"/>
            <w:tcMar>
              <w:top w:w="80" w:type="dxa"/>
              <w:left w:w="100" w:type="dxa"/>
              <w:bottom w:w="80" w:type="dxa"/>
              <w:right w:w="100" w:type="dxa"/>
            </w:tcMar>
          </w:tcPr>
          <w:p>
            <w:pPr>
              <w:keepNext/>
              <w:jc w:val="center"/>
            </w:pPr>
            <w:r>
              <w:rPr>
                <w:b/>
                <w:bCs/>
                <w:sz w:val="22"/>
                <w:szCs w:val="22"/>
              </w:rPr>
              <w:t>626</w:t>
            </w:r>
          </w:p>
        </w:tc>
        <w:tc>
          <w:tcPr>
            <w:tcW w:w="765" w:type="dxa"/>
            <w:tcMar>
              <w:top w:w="80" w:type="dxa"/>
              <w:left w:w="100" w:type="dxa"/>
              <w:bottom w:w="80" w:type="dxa"/>
              <w:right w:w="100" w:type="dxa"/>
            </w:tcMar>
          </w:tcPr>
          <w:p>
            <w:pPr>
              <w:keepNext/>
              <w:jc w:val="center"/>
            </w:pPr>
            <w:r>
              <w:rPr>
                <w:b/>
                <w:bCs/>
                <w:sz w:val="22"/>
                <w:szCs w:val="22"/>
              </w:rPr>
              <w:t>476</w:t>
            </w:r>
          </w:p>
        </w:tc>
        <w:tc>
          <w:tcPr>
            <w:tcW w:w="679" w:type="dxa"/>
            <w:tcMar>
              <w:top w:w="80" w:type="dxa"/>
              <w:left w:w="100" w:type="dxa"/>
              <w:bottom w:w="80" w:type="dxa"/>
              <w:right w:w="100" w:type="dxa"/>
            </w:tcMar>
          </w:tcPr>
          <w:p>
            <w:pPr>
              <w:keepNext/>
              <w:jc w:val="center"/>
            </w:pPr>
            <w:r>
              <w:rPr>
                <w:b/>
                <w:bCs/>
                <w:sz w:val="22"/>
                <w:szCs w:val="22"/>
              </w:rPr>
              <w:t>0,40</w:t>
            </w:r>
          </w:p>
        </w:tc>
        <w:tc>
          <w:tcPr>
            <w:tcW w:w="938" w:type="dxa"/>
            <w:tcMar>
              <w:top w:w="80" w:type="dxa"/>
              <w:left w:w="100" w:type="dxa"/>
              <w:bottom w:w="80" w:type="dxa"/>
              <w:right w:w="100" w:type="dxa"/>
            </w:tcMar>
          </w:tcPr>
          <w:p>
            <w:pPr>
              <w:keepNext/>
              <w:jc w:val="center"/>
            </w:pPr>
            <w:r>
              <w:rPr>
                <w:b/>
                <w:bCs/>
                <w:sz w:val="22"/>
                <w:szCs w:val="22"/>
              </w:rPr>
              <w:t>699</w:t>
            </w:r>
          </w:p>
        </w:tc>
      </w:tr>
      <w:tr>
        <w:trPr>
          <w:cantSplit/>
        </w:trPr>
        <w:tc>
          <w:tcPr>
            <w:tcW w:w="2379" w:type="dxa"/>
            <w:tcMar>
              <w:top w:w="80" w:type="dxa"/>
              <w:left w:w="100" w:type="dxa"/>
              <w:bottom w:w="80" w:type="dxa"/>
              <w:right w:w="100" w:type="dxa"/>
            </w:tcMar>
          </w:tcPr>
          <w:p>
            <w:pPr>
              <w:keepNext/>
            </w:pPr>
            <w:r>
              <w:rPr>
                <w:sz w:val="22"/>
                <w:szCs w:val="22"/>
              </w:rPr>
              <w:t>H2</w:t>
            </w:r>
          </w:p>
        </w:tc>
        <w:tc>
          <w:tcPr>
            <w:tcW w:w="765" w:type="dxa"/>
            <w:tcMar>
              <w:top w:w="80" w:type="dxa"/>
              <w:left w:w="100" w:type="dxa"/>
              <w:bottom w:w="80" w:type="dxa"/>
              <w:right w:w="100" w:type="dxa"/>
            </w:tcMar>
          </w:tcPr>
          <w:p>
            <w:pPr>
              <w:keepNext/>
              <w:jc w:val="center"/>
            </w:pPr>
            <w:r>
              <w:rPr>
                <w:sz w:val="22"/>
                <w:szCs w:val="22"/>
              </w:rPr>
              <w:t>793</w:t>
            </w:r>
          </w:p>
        </w:tc>
        <w:tc>
          <w:tcPr>
            <w:tcW w:w="765" w:type="dxa"/>
            <w:tcMar>
              <w:top w:w="80" w:type="dxa"/>
              <w:left w:w="100" w:type="dxa"/>
              <w:bottom w:w="80" w:type="dxa"/>
              <w:right w:w="100" w:type="dxa"/>
            </w:tcMar>
          </w:tcPr>
          <w:p>
            <w:pPr>
              <w:keepNext/>
              <w:jc w:val="center"/>
            </w:pPr>
            <w:r>
              <w:rPr>
                <w:sz w:val="22"/>
                <w:szCs w:val="22"/>
              </w:rPr>
              <w:t>619</w:t>
            </w:r>
          </w:p>
        </w:tc>
        <w:tc>
          <w:tcPr>
            <w:tcW w:w="679" w:type="dxa"/>
            <w:tcMar>
              <w:top w:w="80" w:type="dxa"/>
              <w:left w:w="100" w:type="dxa"/>
              <w:bottom w:w="80" w:type="dxa"/>
              <w:right w:w="100" w:type="dxa"/>
            </w:tcMar>
          </w:tcPr>
          <w:p>
            <w:pPr>
              <w:keepNext/>
              <w:jc w:val="center"/>
            </w:pPr>
            <w:r>
              <w:rPr>
                <w:sz w:val="22"/>
                <w:szCs w:val="22"/>
              </w:rPr>
              <w:t>0,24</w:t>
            </w:r>
          </w:p>
        </w:tc>
        <w:tc>
          <w:tcPr>
            <w:tcW w:w="765" w:type="dxa"/>
            <w:tcMar>
              <w:top w:w="80" w:type="dxa"/>
              <w:left w:w="100" w:type="dxa"/>
              <w:bottom w:w="80" w:type="dxa"/>
              <w:right w:w="100" w:type="dxa"/>
            </w:tcMar>
          </w:tcPr>
          <w:p>
            <w:pPr>
              <w:keepNext/>
              <w:jc w:val="center"/>
            </w:pPr>
            <w:r>
              <w:rPr>
                <w:sz w:val="22"/>
                <w:szCs w:val="22"/>
              </w:rPr>
              <w:t>+317</w:t>
            </w:r>
          </w:p>
        </w:tc>
        <w:tc>
          <w:tcPr>
            <w:tcW w:w="765" w:type="dxa"/>
            <w:tcMar>
              <w:top w:w="80" w:type="dxa"/>
              <w:left w:w="100" w:type="dxa"/>
              <w:bottom w:w="80" w:type="dxa"/>
              <w:right w:w="100" w:type="dxa"/>
            </w:tcMar>
          </w:tcPr>
          <w:p>
            <w:pPr>
              <w:keepNext/>
              <w:jc w:val="center"/>
            </w:pPr>
            <w:r>
              <w:rPr>
                <w:sz w:val="22"/>
                <w:szCs w:val="22"/>
              </w:rPr>
              <w:t>636</w:t>
            </w:r>
          </w:p>
        </w:tc>
        <w:tc>
          <w:tcPr>
            <w:tcW w:w="765" w:type="dxa"/>
            <w:tcMar>
              <w:top w:w="80" w:type="dxa"/>
              <w:left w:w="100" w:type="dxa"/>
              <w:bottom w:w="80" w:type="dxa"/>
              <w:right w:w="100" w:type="dxa"/>
            </w:tcMar>
          </w:tcPr>
          <w:p>
            <w:pPr>
              <w:keepNext/>
              <w:jc w:val="center"/>
            </w:pPr>
            <w:r>
              <w:rPr>
                <w:sz w:val="22"/>
                <w:szCs w:val="22"/>
              </w:rPr>
              <w:t>484</w:t>
            </w:r>
          </w:p>
        </w:tc>
        <w:tc>
          <w:tcPr>
            <w:tcW w:w="679" w:type="dxa"/>
            <w:tcMar>
              <w:top w:w="80" w:type="dxa"/>
              <w:left w:w="100" w:type="dxa"/>
              <w:bottom w:w="80" w:type="dxa"/>
              <w:right w:w="100" w:type="dxa"/>
            </w:tcMar>
          </w:tcPr>
          <w:p>
            <w:pPr>
              <w:keepNext/>
              <w:jc w:val="center"/>
            </w:pPr>
            <w:r>
              <w:rPr>
                <w:sz w:val="22"/>
                <w:szCs w:val="22"/>
              </w:rPr>
              <w:t>0,39</w:t>
            </w:r>
          </w:p>
        </w:tc>
        <w:tc>
          <w:tcPr>
            <w:tcW w:w="938" w:type="dxa"/>
            <w:tcMar>
              <w:top w:w="80" w:type="dxa"/>
              <w:left w:w="100" w:type="dxa"/>
              <w:bottom w:w="80" w:type="dxa"/>
              <w:right w:w="100" w:type="dxa"/>
            </w:tcMar>
          </w:tcPr>
          <w:p>
            <w:pPr>
              <w:keepNext/>
              <w:jc w:val="center"/>
            </w:pPr>
            <w:r>
              <w:rPr>
                <w:sz w:val="22"/>
                <w:szCs w:val="22"/>
              </w:rPr>
              <w:t>715</w:t>
            </w:r>
          </w:p>
        </w:tc>
      </w:tr>
      <w:tr>
        <w:trPr>
          <w:cantSplit/>
        </w:trPr>
        <w:tc>
          <w:tcPr>
            <w:tcW w:w="2379" w:type="dxa"/>
            <w:tcMar>
              <w:top w:w="80" w:type="dxa"/>
              <w:left w:w="100" w:type="dxa"/>
              <w:bottom w:w="80" w:type="dxa"/>
              <w:right w:w="100" w:type="dxa"/>
            </w:tcMar>
          </w:tcPr>
          <w:p>
            <w:pPr>
              <w:keepNext/>
            </w:pPr>
            <w:r>
              <w:rPr>
                <w:sz w:val="22"/>
                <w:szCs w:val="22"/>
              </w:rPr>
              <w:t>F</w:t>
            </w:r>
          </w:p>
        </w:tc>
        <w:tc>
          <w:tcPr>
            <w:tcW w:w="765" w:type="dxa"/>
            <w:tcMar>
              <w:top w:w="80" w:type="dxa"/>
              <w:left w:w="100" w:type="dxa"/>
              <w:bottom w:w="80" w:type="dxa"/>
              <w:right w:w="100" w:type="dxa"/>
            </w:tcMar>
          </w:tcPr>
          <w:p>
            <w:pPr>
              <w:keepNext/>
              <w:jc w:val="center"/>
            </w:pPr>
            <w:r>
              <w:rPr>
                <w:sz w:val="22"/>
                <w:szCs w:val="22"/>
              </w:rPr>
              <w:t>814</w:t>
            </w:r>
          </w:p>
        </w:tc>
        <w:tc>
          <w:tcPr>
            <w:tcW w:w="765" w:type="dxa"/>
            <w:tcMar>
              <w:top w:w="80" w:type="dxa"/>
              <w:left w:w="100" w:type="dxa"/>
              <w:bottom w:w="80" w:type="dxa"/>
              <w:right w:w="100" w:type="dxa"/>
            </w:tcMar>
          </w:tcPr>
          <w:p>
            <w:pPr>
              <w:keepNext/>
              <w:jc w:val="center"/>
            </w:pPr>
            <w:r>
              <w:rPr>
                <w:sz w:val="22"/>
                <w:szCs w:val="22"/>
              </w:rPr>
              <w:t>630</w:t>
            </w:r>
          </w:p>
        </w:tc>
        <w:tc>
          <w:tcPr>
            <w:tcW w:w="679" w:type="dxa"/>
            <w:tcMar>
              <w:top w:w="80" w:type="dxa"/>
              <w:left w:w="100" w:type="dxa"/>
              <w:bottom w:w="80" w:type="dxa"/>
              <w:right w:w="100" w:type="dxa"/>
            </w:tcMar>
          </w:tcPr>
          <w:p>
            <w:pPr>
              <w:keepNext/>
              <w:jc w:val="center"/>
            </w:pPr>
            <w:r>
              <w:rPr>
                <w:sz w:val="22"/>
                <w:szCs w:val="22"/>
              </w:rPr>
              <w:t>0,20</w:t>
            </w:r>
          </w:p>
        </w:tc>
        <w:tc>
          <w:tcPr>
            <w:tcW w:w="765" w:type="dxa"/>
            <w:tcMar>
              <w:top w:w="80" w:type="dxa"/>
              <w:left w:w="100" w:type="dxa"/>
              <w:bottom w:w="80" w:type="dxa"/>
              <w:right w:w="100" w:type="dxa"/>
            </w:tcMar>
          </w:tcPr>
          <w:p>
            <w:pPr>
              <w:keepNext/>
              <w:jc w:val="center"/>
            </w:pPr>
            <w:r>
              <w:rPr>
                <w:sz w:val="22"/>
                <w:szCs w:val="22"/>
              </w:rPr>
              <w:t>+325</w:t>
            </w:r>
          </w:p>
        </w:tc>
        <w:tc>
          <w:tcPr>
            <w:tcW w:w="765" w:type="dxa"/>
            <w:tcMar>
              <w:top w:w="80" w:type="dxa"/>
              <w:left w:w="100" w:type="dxa"/>
              <w:bottom w:w="80" w:type="dxa"/>
              <w:right w:w="100" w:type="dxa"/>
            </w:tcMar>
          </w:tcPr>
          <w:p>
            <w:pPr>
              <w:keepNext/>
              <w:jc w:val="center"/>
            </w:pPr>
            <w:r>
              <w:rPr>
                <w:sz w:val="22"/>
                <w:szCs w:val="22"/>
              </w:rPr>
              <w:t>633</w:t>
            </w:r>
          </w:p>
        </w:tc>
        <w:tc>
          <w:tcPr>
            <w:tcW w:w="765" w:type="dxa"/>
            <w:tcMar>
              <w:top w:w="80" w:type="dxa"/>
              <w:left w:w="100" w:type="dxa"/>
              <w:bottom w:w="80" w:type="dxa"/>
              <w:right w:w="100" w:type="dxa"/>
            </w:tcMar>
          </w:tcPr>
          <w:p>
            <w:pPr>
              <w:keepNext/>
              <w:jc w:val="center"/>
            </w:pPr>
            <w:r>
              <w:rPr>
                <w:sz w:val="22"/>
                <w:szCs w:val="22"/>
              </w:rPr>
              <w:t>482</w:t>
            </w:r>
          </w:p>
        </w:tc>
        <w:tc>
          <w:tcPr>
            <w:tcW w:w="679" w:type="dxa"/>
            <w:tcMar>
              <w:top w:w="80" w:type="dxa"/>
              <w:left w:w="100" w:type="dxa"/>
              <w:bottom w:w="80" w:type="dxa"/>
              <w:right w:w="100" w:type="dxa"/>
            </w:tcMar>
          </w:tcPr>
          <w:p>
            <w:pPr>
              <w:keepNext/>
              <w:jc w:val="center"/>
            </w:pPr>
            <w:r>
              <w:rPr>
                <w:sz w:val="22"/>
                <w:szCs w:val="22"/>
              </w:rPr>
              <w:t>0,39</w:t>
            </w:r>
          </w:p>
        </w:tc>
        <w:tc>
          <w:tcPr>
            <w:tcW w:w="938" w:type="dxa"/>
            <w:tcMar>
              <w:top w:w="80" w:type="dxa"/>
              <w:left w:w="100" w:type="dxa"/>
              <w:bottom w:w="80" w:type="dxa"/>
              <w:right w:w="100" w:type="dxa"/>
            </w:tcMar>
          </w:tcPr>
          <w:p>
            <w:pPr>
              <w:keepNext/>
              <w:jc w:val="center"/>
            </w:pPr>
            <w:r>
              <w:rPr>
                <w:sz w:val="22"/>
                <w:szCs w:val="22"/>
              </w:rPr>
              <w:t>724</w:t>
            </w:r>
          </w:p>
        </w:tc>
      </w:tr>
      <w:tr>
        <w:trPr>
          <w:cantSplit/>
        </w:trPr>
        <w:tc>
          <w:tcPr>
            <w:tcW w:w="2379" w:type="dxa"/>
            <w:tcMar>
              <w:top w:w="80" w:type="dxa"/>
              <w:left w:w="100" w:type="dxa"/>
              <w:bottom w:w="80" w:type="dxa"/>
              <w:right w:w="100" w:type="dxa"/>
            </w:tcMar>
          </w:tcPr>
          <w:p>
            <w:pPr>
              <w:keepNext/>
            </w:pPr>
            <w:r>
              <w:rPr>
                <w:sz w:val="22"/>
                <w:szCs w:val="22"/>
              </w:rPr>
              <w:t>GB – Gradient Boosting</w:t>
            </w:r>
          </w:p>
        </w:tc>
        <w:tc>
          <w:tcPr>
            <w:tcW w:w="765" w:type="dxa"/>
            <w:tcMar>
              <w:top w:w="80" w:type="dxa"/>
              <w:left w:w="100" w:type="dxa"/>
              <w:bottom w:w="80" w:type="dxa"/>
              <w:right w:w="100" w:type="dxa"/>
            </w:tcMar>
          </w:tcPr>
          <w:p>
            <w:pPr>
              <w:keepNext/>
              <w:jc w:val="center"/>
            </w:pPr>
            <w:r>
              <w:rPr>
                <w:sz w:val="22"/>
                <w:szCs w:val="22"/>
              </w:rPr>
              <w:t>958</w:t>
            </w:r>
          </w:p>
        </w:tc>
        <w:tc>
          <w:tcPr>
            <w:tcW w:w="765" w:type="dxa"/>
            <w:tcMar>
              <w:top w:w="80" w:type="dxa"/>
              <w:left w:w="100" w:type="dxa"/>
              <w:bottom w:w="80" w:type="dxa"/>
              <w:right w:w="100" w:type="dxa"/>
            </w:tcMar>
          </w:tcPr>
          <w:p>
            <w:pPr>
              <w:keepNext/>
              <w:jc w:val="center"/>
            </w:pPr>
            <w:r>
              <w:rPr>
                <w:sz w:val="22"/>
                <w:szCs w:val="22"/>
              </w:rPr>
              <w:t>735</w:t>
            </w:r>
          </w:p>
        </w:tc>
        <w:tc>
          <w:tcPr>
            <w:tcW w:w="679" w:type="dxa"/>
            <w:tcMar>
              <w:top w:w="80" w:type="dxa"/>
              <w:left w:w="100" w:type="dxa"/>
              <w:bottom w:w="80" w:type="dxa"/>
              <w:right w:w="100" w:type="dxa"/>
            </w:tcMar>
          </w:tcPr>
          <w:p>
            <w:pPr>
              <w:keepNext/>
              <w:jc w:val="center"/>
            </w:pPr>
            <w:r>
              <w:rPr>
                <w:sz w:val="22"/>
                <w:szCs w:val="22"/>
              </w:rPr>
              <w:t>−0,11</w:t>
            </w:r>
          </w:p>
        </w:tc>
        <w:tc>
          <w:tcPr>
            <w:tcW w:w="765" w:type="dxa"/>
            <w:tcMar>
              <w:top w:w="80" w:type="dxa"/>
              <w:left w:w="100" w:type="dxa"/>
              <w:bottom w:w="80" w:type="dxa"/>
              <w:right w:w="100" w:type="dxa"/>
            </w:tcMar>
          </w:tcPr>
          <w:p>
            <w:pPr>
              <w:keepNext/>
              <w:jc w:val="center"/>
            </w:pPr>
            <w:r>
              <w:rPr>
                <w:sz w:val="22"/>
                <w:szCs w:val="22"/>
              </w:rPr>
              <w:t>+496</w:t>
            </w:r>
          </w:p>
        </w:tc>
        <w:tc>
          <w:tcPr>
            <w:tcW w:w="765" w:type="dxa"/>
            <w:tcMar>
              <w:top w:w="80" w:type="dxa"/>
              <w:left w:w="100" w:type="dxa"/>
              <w:bottom w:w="80" w:type="dxa"/>
              <w:right w:w="100" w:type="dxa"/>
            </w:tcMar>
          </w:tcPr>
          <w:p>
            <w:pPr>
              <w:keepNext/>
              <w:jc w:val="center"/>
            </w:pPr>
            <w:r>
              <w:rPr>
                <w:sz w:val="22"/>
                <w:szCs w:val="22"/>
              </w:rPr>
              <w:t>698</w:t>
            </w:r>
          </w:p>
        </w:tc>
        <w:tc>
          <w:tcPr>
            <w:tcW w:w="765" w:type="dxa"/>
            <w:tcMar>
              <w:top w:w="80" w:type="dxa"/>
              <w:left w:w="100" w:type="dxa"/>
              <w:bottom w:w="80" w:type="dxa"/>
              <w:right w:w="100" w:type="dxa"/>
            </w:tcMar>
          </w:tcPr>
          <w:p>
            <w:pPr>
              <w:keepNext/>
              <w:jc w:val="center"/>
            </w:pPr>
            <w:r>
              <w:rPr>
                <w:sz w:val="22"/>
                <w:szCs w:val="22"/>
              </w:rPr>
              <w:t>532</w:t>
            </w:r>
          </w:p>
        </w:tc>
        <w:tc>
          <w:tcPr>
            <w:tcW w:w="679" w:type="dxa"/>
            <w:tcMar>
              <w:top w:w="80" w:type="dxa"/>
              <w:left w:w="100" w:type="dxa"/>
              <w:bottom w:w="80" w:type="dxa"/>
              <w:right w:w="100" w:type="dxa"/>
            </w:tcMar>
          </w:tcPr>
          <w:p>
            <w:pPr>
              <w:keepNext/>
              <w:jc w:val="center"/>
            </w:pPr>
            <w:r>
              <w:rPr>
                <w:sz w:val="22"/>
                <w:szCs w:val="22"/>
              </w:rPr>
              <w:t>0,26</w:t>
            </w:r>
          </w:p>
        </w:tc>
        <w:tc>
          <w:tcPr>
            <w:tcW w:w="938" w:type="dxa"/>
            <w:tcMar>
              <w:top w:w="80" w:type="dxa"/>
              <w:left w:w="100" w:type="dxa"/>
              <w:bottom w:w="80" w:type="dxa"/>
              <w:right w:w="100" w:type="dxa"/>
            </w:tcMar>
          </w:tcPr>
          <w:p>
            <w:pPr>
              <w:keepNext/>
              <w:jc w:val="center"/>
            </w:pPr>
            <w:r>
              <w:rPr>
                <w:sz w:val="22"/>
                <w:szCs w:val="22"/>
              </w:rPr>
              <w:t>828</w:t>
            </w:r>
          </w:p>
        </w:tc>
      </w:tr>
      <w:tr>
        <w:trPr>
          <w:cantSplit/>
        </w:trPr>
        <w:tc>
          <w:tcPr>
            <w:tcW w:w="2379" w:type="dxa"/>
            <w:tcMar>
              <w:top w:w="80" w:type="dxa"/>
              <w:left w:w="100" w:type="dxa"/>
              <w:bottom w:w="80" w:type="dxa"/>
              <w:right w:w="100" w:type="dxa"/>
            </w:tcMar>
          </w:tcPr>
          <w:p>
            <w:pPr>
              <w:keepNext/>
            </w:pPr>
            <w:r>
              <w:rPr>
                <w:sz w:val="22"/>
                <w:szCs w:val="22"/>
              </w:rPr>
              <w:t>Média histórica</w:t>
            </w:r>
          </w:p>
        </w:tc>
        <w:tc>
          <w:tcPr>
            <w:tcW w:w="765" w:type="dxa"/>
            <w:tcMar>
              <w:top w:w="80" w:type="dxa"/>
              <w:left w:w="100" w:type="dxa"/>
              <w:bottom w:w="80" w:type="dxa"/>
              <w:right w:w="100" w:type="dxa"/>
            </w:tcMar>
          </w:tcPr>
          <w:p>
            <w:pPr>
              <w:keepNext/>
              <w:jc w:val="center"/>
            </w:pPr>
            <w:r>
              <w:rPr>
                <w:sz w:val="22"/>
                <w:szCs w:val="22"/>
              </w:rPr>
              <w:t>868</w:t>
            </w:r>
          </w:p>
        </w:tc>
        <w:tc>
          <w:tcPr>
            <w:tcW w:w="765" w:type="dxa"/>
            <w:tcMar>
              <w:top w:w="80" w:type="dxa"/>
              <w:left w:w="100" w:type="dxa"/>
              <w:bottom w:w="80" w:type="dxa"/>
              <w:right w:w="100" w:type="dxa"/>
            </w:tcMar>
          </w:tcPr>
          <w:p>
            <w:pPr>
              <w:keepNext/>
              <w:jc w:val="center"/>
            </w:pPr>
            <w:r>
              <w:rPr>
                <w:sz w:val="22"/>
                <w:szCs w:val="22"/>
              </w:rPr>
              <w:t>737</w:t>
            </w:r>
          </w:p>
        </w:tc>
        <w:tc>
          <w:tcPr>
            <w:tcW w:w="679" w:type="dxa"/>
            <w:tcMar>
              <w:top w:w="80" w:type="dxa"/>
              <w:left w:w="100" w:type="dxa"/>
              <w:bottom w:w="80" w:type="dxa"/>
              <w:right w:w="100" w:type="dxa"/>
            </w:tcMar>
          </w:tcPr>
          <w:p>
            <w:pPr>
              <w:keepNext/>
              <w:jc w:val="center"/>
            </w:pPr>
            <w:r>
              <w:rPr>
                <w:sz w:val="22"/>
                <w:szCs w:val="22"/>
              </w:rPr>
              <w:t>0,09</w:t>
            </w:r>
          </w:p>
        </w:tc>
        <w:tc>
          <w:tcPr>
            <w:tcW w:w="765" w:type="dxa"/>
            <w:tcMar>
              <w:top w:w="80" w:type="dxa"/>
              <w:left w:w="100" w:type="dxa"/>
              <w:bottom w:w="80" w:type="dxa"/>
              <w:right w:w="100" w:type="dxa"/>
            </w:tcMar>
          </w:tcPr>
          <w:p>
            <w:pPr>
              <w:keepNext/>
              <w:jc w:val="center"/>
            </w:pPr>
            <w:r>
              <w:rPr>
                <w:sz w:val="22"/>
                <w:szCs w:val="22"/>
              </w:rPr>
              <w:t>−106</w:t>
            </w:r>
          </w:p>
        </w:tc>
        <w:tc>
          <w:tcPr>
            <w:tcW w:w="765" w:type="dxa"/>
            <w:tcMar>
              <w:top w:w="80" w:type="dxa"/>
              <w:left w:w="100" w:type="dxa"/>
              <w:bottom w:w="80" w:type="dxa"/>
              <w:right w:w="100" w:type="dxa"/>
            </w:tcMar>
          </w:tcPr>
          <w:p>
            <w:pPr>
              <w:keepNext/>
              <w:jc w:val="center"/>
            </w:pPr>
            <w:r>
              <w:rPr>
                <w:sz w:val="22"/>
                <w:szCs w:val="22"/>
              </w:rPr>
              <w:t>905</w:t>
            </w:r>
          </w:p>
        </w:tc>
        <w:tc>
          <w:tcPr>
            <w:tcW w:w="765" w:type="dxa"/>
            <w:tcMar>
              <w:top w:w="80" w:type="dxa"/>
              <w:left w:w="100" w:type="dxa"/>
              <w:bottom w:w="80" w:type="dxa"/>
              <w:right w:w="100" w:type="dxa"/>
            </w:tcMar>
          </w:tcPr>
          <w:p>
            <w:pPr>
              <w:keepNext/>
              <w:jc w:val="center"/>
            </w:pPr>
            <w:r>
              <w:rPr>
                <w:sz w:val="22"/>
                <w:szCs w:val="22"/>
              </w:rPr>
              <w:t>785</w:t>
            </w:r>
          </w:p>
        </w:tc>
        <w:tc>
          <w:tcPr>
            <w:tcW w:w="679" w:type="dxa"/>
            <w:tcMar>
              <w:top w:w="80" w:type="dxa"/>
              <w:left w:w="100" w:type="dxa"/>
              <w:bottom w:w="80" w:type="dxa"/>
              <w:right w:w="100" w:type="dxa"/>
            </w:tcMar>
          </w:tcPr>
          <w:p>
            <w:pPr>
              <w:keepNext/>
              <w:jc w:val="center"/>
            </w:pPr>
            <w:r>
              <w:rPr>
                <w:sz w:val="22"/>
                <w:szCs w:val="22"/>
              </w:rPr>
              <w:t>−0,24</w:t>
            </w:r>
          </w:p>
        </w:tc>
        <w:tc>
          <w:tcPr>
            <w:tcW w:w="938" w:type="dxa"/>
            <w:tcMar>
              <w:top w:w="80" w:type="dxa"/>
              <w:left w:w="100" w:type="dxa"/>
              <w:bottom w:w="80" w:type="dxa"/>
              <w:right w:w="100" w:type="dxa"/>
            </w:tcMar>
          </w:tcPr>
          <w:p>
            <w:pPr>
              <w:keepNext/>
              <w:jc w:val="center"/>
            </w:pPr>
            <w:r>
              <w:rPr>
                <w:sz w:val="22"/>
                <w:szCs w:val="22"/>
              </w:rPr>
              <w:t>886</w:t>
            </w:r>
          </w:p>
        </w:tc>
      </w:tr>
    </w:tbl>
    <w:p>
      <w:pPr>
        <w:keepNext/>
      </w:pPr>
      <w:bookmarkStart w:id="21" w:name="_Toc244263399"/>
      <w:r>
        <w:rPr>
          <w:b/>
          <w:bCs/>
          <w:sz w:val="28"/>
          <w:szCs w:val="28"/>
        </w:rPr>
        <w:t>5. Modelo final (FL): desempenho e interpretação</w:t>
      </w:r>
      <w:bookmarkEnd w:id="21"/>
    </w:p>
    <w:p>
      <w:pPr>
        <w:keepNext/>
        <w:spacing w:before="280" w:after="160"/>
      </w:pPr>
      <w:bookmarkStart w:id="22" w:name="_Toc244263400"/>
      <w:r>
        <w:rPr>
          <w:b/>
          <w:bCs/>
          <w:sz w:val="24"/>
          <w:szCs w:val="24"/>
        </w:rPr>
        <w:t>5.1 Desempenho</w:t>
      </w:r>
      <w:bookmarkEnd w:id="22"/>
    </w:p>
    <w:p>
      <w:pPr>
        <w:spacing w:after="200" w:line="276" w:lineRule="auto"/>
        <w:ind w:firstLine="720"/>
        <w:jc w:val="both"/>
      </w:pPr>
      <w:r>
        <w:rPr>
          <w:sz w:val="24"/>
          <w:szCs w:val="24"/>
        </w:rPr>
        <w:t xml:space="preserve">O FL erra em média 604 kg/ha por município no corte 2021–2025 e 476 kg/ha deixando uma safra de fora (25% e 19% do rendimento médio), com RMSE 11% e 31% menor que o da média histórica. Diferentemente do que ocorria com o INMET, o modelo supera a média histórica também no período de secas consecutivas, embora ainda o superestime (viés de +298 kg/ha), porque o patamar publicado não reflete as secas seguidas de 2022–2023. Na média estadual de cada safra, o erro médio é de 244 kg/ha, com correlação de 0,85 com </w:t>
      </w:r>
      <w:r>
        <w:rPr>
          <w:sz w:val="24"/>
          <w:szCs w:val="24"/>
        </w:rPr>
        <w:t>o observado. O Gradient Boosting continuou sendo o pior modelo com clima. Expresso como acurácia (100% menos o erro absoluto médio relativo ao rendimento médio), o FL atinge ≈81% por município deixando uma safra de fora e ≈75% no corte 2021–2025.</w:t>
      </w:r>
    </w:p>
    <w:p>
      <w:pPr>
        <w:keepNext/>
        <w:spacing w:before="280" w:after="160"/>
      </w:pPr>
      <w:bookmarkStart w:id="23" w:name="_Toc244263401"/>
      <w:r>
        <w:rPr>
          <w:b/>
          <w:bCs/>
          <w:sz w:val="24"/>
          <w:szCs w:val="24"/>
        </w:rPr>
        <w:t>5.2 Fatores climáticos</w:t>
      </w:r>
      <w:bookmarkEnd w:id="23"/>
    </w:p>
    <w:p>
      <w:pPr>
        <w:spacing w:after="200" w:line="276" w:lineRule="auto"/>
        <w:ind w:firstLine="720"/>
        <w:jc w:val="both"/>
      </w:pPr>
      <w:r>
        <w:rPr>
          <w:sz w:val="24"/>
          <w:szCs w:val="24"/>
        </w:rPr>
        <w:t xml:space="preserve">Os coeficientes do FL indicam, sobre o desvio em relação ao patamar: +380 kg/ha a cada 100 mm de chuva em dezembro–fevereiro acima da média (≈379 mm), com ganho decrescente; +15 kg/ha por ponto percentual de umidade relativa mínima no mesmo período; e −307 kg/ha a cada 100 mm de déficit hídrico acima de ≈272 mm, a perda adicional da seca extrema. A Figura 2 decompõe a previsão de cada safra na contribuição de cada fator, o que para um modelo linear equivale aos valores SHAP [Lundberg e Lee 2017]: em média, </w:t>
      </w:r>
      <w:r>
        <w:rPr>
          <w:sz w:val="24"/>
          <w:szCs w:val="24"/>
        </w:rPr>
        <w:t>a chuva de dezembro–fevereiro move a previsão em ≈368 kg/ha, a umidade mínima em ≈103 kg/ha e a seca extrema em ≈80 kg/ha; chuva de outubro–novembro (≈48), dias de calor (≈29) e chuva de março (≈20) pesam pouco. O período de floração e enchimento de grãos concentra quase todo o efeito do clima.</w:t>
      </w:r>
    </w:p>
    <w:p>
      <w:pPr>
        <w:spacing w:after="200" w:line="276" w:lineRule="auto"/>
        <w:ind w:firstLine="720"/>
        <w:jc w:val="both"/>
      </w:pPr>
      <w:r>
        <w:rPr>
          <w:sz w:val="24"/>
          <w:szCs w:val="24"/>
        </w:rPr>
        <w:t>Os efeitos menores mudam de tamanho ou de sinal entre as fontes de clima – os dias de calor passam de −1,8 kg/ha por dia com o INMET para +1,7 com o NASA POWER, efeito da colinearidade com a umidade mínima – e não devem ser interpretados isoladamente. Coeficientes e contribuições medem associação, e não efeito causal.</w:t>
      </w:r>
    </w:p>
    <w:p>
      <w:pPr>
        <w:keepNext/>
        <w:spacing w:before="200" w:after="60"/>
        <w:jc w:val="center"/>
      </w:pPr>
      <w:r>
        <w:rPr>
          <w:noProof/>
        </w:rPr>
        <w:drawing>
          <wp:inline distT="0" distB="0" distL="0" distR="0" wp14:anchorId="1DDF04EF" wp14:editId="0FCD00B2">
            <wp:extent cx="5400040" cy="3150767"/>
            <wp:effectExtent l="0" t="0" r="0" b="0"/>
            <wp:docPr id="995786371" name="Imagem 995786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00040" cy="3150767"/>
                    </a:xfrm>
                    <a:prstGeom prst="rect">
                      <a:avLst/>
                    </a:prstGeom>
                  </pic:spPr>
                </pic:pic>
              </a:graphicData>
            </a:graphic>
          </wp:inline>
        </w:drawing>
      </w:r>
    </w:p>
    <w:p>
      <w:pPr>
        <w:spacing w:before="120" w:after="300"/>
        <w:jc w:val="center"/>
      </w:pPr>
      <w:r>
        <w:rPr>
          <w:i/>
          <w:iCs/>
          <w:sz w:val="22"/>
          <w:szCs w:val="22"/>
        </w:rPr>
        <w:t xml:space="preserve">Figura 2 – Contribuição de cada fator climático para o desvio do rendimento em relação ao patamar, por safra (FL, NASA POWER). Losango: desvio previsto; círculo: desvio observado. Fonte: elaboração própria (2026).</w:t>
      </w:r>
    </w:p>
    <w:p>
      <w:pPr>
        <w:keepNext/>
        <w:spacing w:before="280" w:after="160"/>
      </w:pPr>
      <w:bookmarkStart w:id="24" w:name="_Toc244263402"/>
      <w:r>
        <w:rPr>
          <w:b/>
          <w:bCs/>
          <w:sz w:val="24"/>
          <w:szCs w:val="24"/>
        </w:rPr>
        <w:t>5.3 Safras de seca</w:t>
      </w:r>
      <w:bookmarkEnd w:id="24"/>
    </w:p>
    <w:p>
      <w:pPr>
        <w:spacing w:after="200" w:line="276" w:lineRule="auto"/>
        <w:ind w:firstLine="720"/>
        <w:jc w:val="both"/>
      </w:pPr>
      <w:r>
        <w:rPr>
          <w:sz w:val="24"/>
          <w:szCs w:val="24"/>
        </w:rPr>
        <w:t>Nas safras previstas sem terem sido vistas pelo modelo, o FL captou 91% da quebra de 2012, 81% da de 2023, 38% da de 2022 e 26% da de 2020 (Figura 3). A quebra de 2020 (≈1.000 kg/ha abaixo do patamar) é a menos captada: o verão foi apenas moderadamente seco, com primavera chuvosa. Parte das perdas de 2020 e 2022 não está nas variáveis disponíveis – possivelmente por chuva concentrada em poucos eventos ou efeitos fora de dezembro–fevereiro –, o que caracteriza um limite de informação, e não de algoritmo.</w:t>
      </w:r>
    </w:p>
    <w:p>
      <w:pPr>
        <w:keepNext/>
        <w:spacing w:before="200" w:after="60"/>
        <w:jc w:val="center"/>
      </w:pPr>
      <w:r>
        <w:rPr>
          <w:noProof/>
        </w:rPr>
        <w:drawing>
          <wp:inline distT="0" distB="0" distL="0" distR="0" wp14:anchorId="46A06529" wp14:editId="1255AE17">
            <wp:extent cx="5400040" cy="2427787"/>
            <wp:effectExtent l="0" t="0" r="0" b="0"/>
            <wp:docPr id="1426572092" name="Imagem 1426572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00040" cy="2427787"/>
                    </a:xfrm>
                    <a:prstGeom prst="rect">
                      <a:avLst/>
                    </a:prstGeom>
                  </pic:spPr>
                </pic:pic>
              </a:graphicData>
            </a:graphic>
          </wp:inline>
        </w:drawing>
      </w:r>
    </w:p>
    <w:p>
      <w:pPr>
        <w:spacing w:before="120" w:after="300"/>
        <w:jc w:val="center"/>
      </w:pPr>
      <w:r>
        <w:rPr>
          <w:i/>
          <w:iCs/>
          <w:sz w:val="22"/>
          <w:szCs w:val="22"/>
        </w:rPr>
        <w:t xml:space="preserve">Figura 3 – Desvio médio estadual em relação ao patamar, por safra, deixando uma safra de fora: observado e previsto pelos modelos F e FL. Fonte: elaboração própria (2026).</w:t>
      </w:r>
    </w:p>
    <w:p>
      <w:pPr>
        <w:keepNext/>
        <w:spacing w:before="280" w:after="160"/>
      </w:pPr>
      <w:bookmarkStart w:id="25" w:name="_Toc244263403"/>
      <w:r>
        <w:rPr>
          <w:b/>
          <w:bCs/>
          <w:sz w:val="24"/>
          <w:szCs w:val="24"/>
        </w:rPr>
        <w:t>5.4 Erro por região e por município</w:t>
      </w:r>
      <w:bookmarkEnd w:id="25"/>
    </w:p>
    <w:p>
      <w:pPr>
        <w:spacing w:after="200" w:line="276" w:lineRule="auto"/>
        <w:ind w:firstLine="720"/>
        <w:jc w:val="both"/>
      </w:pPr>
      <w:r>
        <w:rPr>
          <w:sz w:val="24"/>
          <w:szCs w:val="24"/>
        </w:rPr>
        <w:t>O erro relativo (MAE como percentual do rendimento médio, deixando uma safra de fora) foi menor no Nordeste (16,2%) e no Noroeste (17,0%), principal região produtora, e maior no Sudeste (28,0%) e no Sudoeste (29,1%), de produtividade média menor (Figura 4). Entre os 424 municípios com pelo menos oito safras avaliadas, o erro relativo mediano foi de 17,9% (metade entre 15% e 22%), e municípios mais produtivos tiveram erro relativo menor (correlação de −0,62).</w:t>
      </w:r>
    </w:p>
    <w:p>
      <w:pPr>
        <w:keepNext/>
        <w:spacing w:before="200" w:after="60"/>
        <w:jc w:val="center"/>
      </w:pPr>
      <w:r>
        <w:rPr>
          <w:noProof/>
        </w:rPr>
        <w:drawing>
          <wp:inline distT="0" distB="0" distL="0" distR="0" wp14:anchorId="7C0453CF" wp14:editId="4D1039E3">
            <wp:extent cx="4895850" cy="2752725"/>
            <wp:effectExtent l="0" t="0" r="0" b="0"/>
            <wp:docPr id="472063236" name="Imagem 472063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895850" cy="2752725"/>
                    </a:xfrm>
                    <a:prstGeom prst="rect">
                      <a:avLst/>
                    </a:prstGeom>
                  </pic:spPr>
                </pic:pic>
              </a:graphicData>
            </a:graphic>
          </wp:inline>
        </w:drawing>
      </w:r>
    </w:p>
    <w:p>
      <w:pPr>
        <w:spacing w:before="120" w:after="300"/>
        <w:jc w:val="center"/>
      </w:pPr>
      <w:r>
        <w:rPr>
          <w:i/>
          <w:iCs/>
          <w:sz w:val="22"/>
          <w:szCs w:val="22"/>
        </w:rPr>
        <w:t xml:space="preserve">Figura 4 – Erro relativo (MAE % do rendimento médio) por mesorregião, nas duas validações (FL, NASA POWER). Fonte: elaboração própria (2026).</w:t>
      </w:r>
    </w:p>
    <w:p>
      <w:pPr>
        <w:keepNext/>
      </w:pPr>
      <w:bookmarkStart w:id="26" w:name="_Toc244263404"/>
      <w:r>
        <w:rPr>
          <w:b/>
          <w:bCs/>
          <w:sz w:val="28"/>
          <w:szCs w:val="28"/>
        </w:rPr>
        <w:t>6. Previsão da safra 2026</w:t>
      </w:r>
      <w:bookmarkEnd w:id="26"/>
    </w:p>
    <w:p>
      <w:pPr>
        <w:keepNext/>
        <w:spacing w:before="280" w:after="160"/>
      </w:pPr>
      <w:bookmarkStart w:id="27" w:name="_Toc244263405"/>
      <w:r>
        <w:rPr>
          <w:b/>
          <w:bCs/>
          <w:sz w:val="24"/>
          <w:szCs w:val="24"/>
        </w:rPr>
        <w:t>6.1 Clima da safra</w:t>
      </w:r>
      <w:bookmarkEnd w:id="27"/>
    </w:p>
    <w:p>
      <w:pPr>
        <w:spacing w:after="200" w:line="276" w:lineRule="auto"/>
        <w:ind w:firstLine="720"/>
        <w:jc w:val="both"/>
      </w:pPr>
      <w:r>
        <w:rPr>
          <w:sz w:val="24"/>
          <w:szCs w:val="24"/>
        </w:rPr>
        <w:t>O FL foi treinado com todas as safras 2006–2025 e aplicado ao patamar 2020–2024 e ao clima de outubro de 2025 a março de 2026, nos 434 municípios que colheram soja em 2025. Pelo NASA POWER, a safra teve chuva bem abaixo da média em outubro–novembro e em dezembro–fevereiro, com umidade mínima baixa (Tabela 12). O déficit hídrico ficou abaixo do limiar de seca extrema (≈272 mm), e o ONI médio da safra foi de −0,45 (fase neutra).</w:t>
      </w:r>
    </w:p>
    <w:p>
      <w:pPr>
        <w:keepNext/>
        <w:spacing w:before="120" w:after="300"/>
        <w:jc w:val="center"/>
      </w:pPr>
      <w:r>
        <w:rPr>
          <w:i/>
          <w:iCs/>
          <w:sz w:val="22"/>
          <w:szCs w:val="22"/>
        </w:rPr>
        <w:t xml:space="preserve">Tabela 12 – Clima médio do RS na safra 2026 e na média 2006–2025 (NASA POWER). Fonte: elaboração própria a partir de NASA POWER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4419"/>
        <w:gridCol w:w="2040"/>
        <w:gridCol w:w="2041"/>
      </w:tblGrid>
      <w:tr>
        <w:trPr>
          <w:cantSplit/>
          <w:tblHeader/>
        </w:trPr>
        <w:tc>
          <w:tcPr>
            <w:tcW w:w="4419" w:type="dxa"/>
            <w:shd w:val="clear" w:color="auto" w:fill="D9D9D9"/>
            <w:tcMar>
              <w:top w:w="80" w:type="dxa"/>
              <w:left w:w="100" w:type="dxa"/>
              <w:bottom w:w="80" w:type="dxa"/>
              <w:right w:w="100" w:type="dxa"/>
            </w:tcMar>
          </w:tcPr>
          <w:p>
            <w:pPr>
              <w:keepNext/>
              <w:jc w:val="center"/>
            </w:pPr>
            <w:r>
              <w:rPr>
                <w:b/>
                <w:bCs/>
                <w:sz w:val="22"/>
                <w:szCs w:val="22"/>
              </w:rPr>
              <w:t>Variável</w:t>
            </w:r>
          </w:p>
        </w:tc>
        <w:tc>
          <w:tcPr>
            <w:tcW w:w="2040" w:type="dxa"/>
            <w:shd w:val="clear" w:color="auto" w:fill="D9D9D9"/>
            <w:tcMar>
              <w:top w:w="80" w:type="dxa"/>
              <w:left w:w="100" w:type="dxa"/>
              <w:bottom w:w="80" w:type="dxa"/>
              <w:right w:w="100" w:type="dxa"/>
            </w:tcMar>
          </w:tcPr>
          <w:p>
            <w:pPr>
              <w:keepNext/>
              <w:jc w:val="center"/>
            </w:pPr>
            <w:r>
              <w:rPr>
                <w:b/>
                <w:bCs/>
                <w:sz w:val="22"/>
                <w:szCs w:val="22"/>
              </w:rPr>
              <w:t>Safra 2026</w:t>
            </w:r>
          </w:p>
        </w:tc>
        <w:tc>
          <w:tcPr>
            <w:tcW w:w="2041" w:type="dxa"/>
            <w:shd w:val="clear" w:color="auto" w:fill="D9D9D9"/>
            <w:tcMar>
              <w:top w:w="80" w:type="dxa"/>
              <w:left w:w="100" w:type="dxa"/>
              <w:bottom w:w="80" w:type="dxa"/>
              <w:right w:w="100" w:type="dxa"/>
            </w:tcMar>
          </w:tcPr>
          <w:p>
            <w:pPr>
              <w:keepNext/>
              <w:jc w:val="center"/>
            </w:pPr>
            <w:r>
              <w:rPr>
                <w:b/>
                <w:bCs/>
                <w:sz w:val="22"/>
                <w:szCs w:val="22"/>
              </w:rPr>
              <w:t>Média 2006–2025</w:t>
            </w:r>
          </w:p>
        </w:tc>
      </w:tr>
      <w:tr>
        <w:trPr>
          <w:cantSplit/>
        </w:trPr>
        <w:tc>
          <w:tcPr>
            <w:tcW w:w="4419" w:type="dxa"/>
            <w:tcMar>
              <w:top w:w="80" w:type="dxa"/>
              <w:left w:w="100" w:type="dxa"/>
              <w:bottom w:w="80" w:type="dxa"/>
              <w:right w:w="100" w:type="dxa"/>
            </w:tcMar>
          </w:tcPr>
          <w:p>
            <w:pPr>
              <w:keepNext/>
            </w:pPr>
            <w:r>
              <w:rPr>
                <w:sz w:val="22"/>
                <w:szCs w:val="22"/>
              </w:rPr>
              <w:t>Chuva de out–nov (mm)</w:t>
            </w:r>
          </w:p>
        </w:tc>
        <w:tc>
          <w:tcPr>
            <w:tcW w:w="2040" w:type="dxa"/>
            <w:tcMar>
              <w:top w:w="80" w:type="dxa"/>
              <w:left w:w="100" w:type="dxa"/>
              <w:bottom w:w="80" w:type="dxa"/>
              <w:right w:w="100" w:type="dxa"/>
            </w:tcMar>
          </w:tcPr>
          <w:p>
            <w:pPr>
              <w:keepNext/>
              <w:jc w:val="center"/>
            </w:pPr>
            <w:r>
              <w:rPr>
                <w:sz w:val="22"/>
                <w:szCs w:val="22"/>
              </w:rPr>
              <w:t>161</w:t>
            </w:r>
          </w:p>
        </w:tc>
        <w:tc>
          <w:tcPr>
            <w:tcW w:w="2041" w:type="dxa"/>
            <w:tcMar>
              <w:top w:w="80" w:type="dxa"/>
              <w:left w:w="100" w:type="dxa"/>
              <w:bottom w:w="80" w:type="dxa"/>
              <w:right w:w="100" w:type="dxa"/>
            </w:tcMar>
          </w:tcPr>
          <w:p>
            <w:pPr>
              <w:keepNext/>
              <w:jc w:val="center"/>
            </w:pPr>
            <w:r>
              <w:rPr>
                <w:sz w:val="22"/>
                <w:szCs w:val="22"/>
              </w:rPr>
              <w:t>295</w:t>
            </w:r>
          </w:p>
        </w:tc>
      </w:tr>
      <w:tr>
        <w:trPr>
          <w:cantSplit/>
        </w:trPr>
        <w:tc>
          <w:tcPr>
            <w:tcW w:w="4419" w:type="dxa"/>
            <w:tcMar>
              <w:top w:w="80" w:type="dxa"/>
              <w:left w:w="100" w:type="dxa"/>
              <w:bottom w:w="80" w:type="dxa"/>
              <w:right w:w="100" w:type="dxa"/>
            </w:tcMar>
          </w:tcPr>
          <w:p>
            <w:pPr>
              <w:keepNext/>
            </w:pPr>
            <w:r>
              <w:rPr>
                <w:sz w:val="22"/>
                <w:szCs w:val="22"/>
              </w:rPr>
              <w:t>Chuva de dez–fev (mm)</w:t>
            </w:r>
          </w:p>
        </w:tc>
        <w:tc>
          <w:tcPr>
            <w:tcW w:w="2040" w:type="dxa"/>
            <w:tcMar>
              <w:top w:w="80" w:type="dxa"/>
              <w:left w:w="100" w:type="dxa"/>
              <w:bottom w:w="80" w:type="dxa"/>
              <w:right w:w="100" w:type="dxa"/>
            </w:tcMar>
          </w:tcPr>
          <w:p>
            <w:pPr>
              <w:keepNext/>
              <w:jc w:val="center"/>
            </w:pPr>
            <w:r>
              <w:rPr>
                <w:sz w:val="22"/>
                <w:szCs w:val="22"/>
              </w:rPr>
              <w:t>281</w:t>
            </w:r>
          </w:p>
        </w:tc>
        <w:tc>
          <w:tcPr>
            <w:tcW w:w="2041" w:type="dxa"/>
            <w:tcMar>
              <w:top w:w="80" w:type="dxa"/>
              <w:left w:w="100" w:type="dxa"/>
              <w:bottom w:w="80" w:type="dxa"/>
              <w:right w:w="100" w:type="dxa"/>
            </w:tcMar>
          </w:tcPr>
          <w:p>
            <w:pPr>
              <w:keepNext/>
              <w:jc w:val="center"/>
            </w:pPr>
            <w:r>
              <w:rPr>
                <w:sz w:val="22"/>
                <w:szCs w:val="22"/>
              </w:rPr>
              <w:t>368</w:t>
            </w:r>
          </w:p>
        </w:tc>
      </w:tr>
      <w:tr>
        <w:trPr>
          <w:cantSplit/>
        </w:trPr>
        <w:tc>
          <w:tcPr>
            <w:tcW w:w="4419" w:type="dxa"/>
            <w:tcMar>
              <w:top w:w="80" w:type="dxa"/>
              <w:left w:w="100" w:type="dxa"/>
              <w:bottom w:w="80" w:type="dxa"/>
              <w:right w:w="100" w:type="dxa"/>
            </w:tcMar>
          </w:tcPr>
          <w:p>
            <w:pPr>
              <w:keepNext/>
            </w:pPr>
            <w:r>
              <w:rPr>
                <w:sz w:val="22"/>
                <w:szCs w:val="22"/>
              </w:rPr>
              <w:t>Chuva de março (mm)</w:t>
            </w:r>
          </w:p>
        </w:tc>
        <w:tc>
          <w:tcPr>
            <w:tcW w:w="2040" w:type="dxa"/>
            <w:tcMar>
              <w:top w:w="80" w:type="dxa"/>
              <w:left w:w="100" w:type="dxa"/>
              <w:bottom w:w="80" w:type="dxa"/>
              <w:right w:w="100" w:type="dxa"/>
            </w:tcMar>
          </w:tcPr>
          <w:p>
            <w:pPr>
              <w:keepNext/>
              <w:jc w:val="center"/>
            </w:pPr>
            <w:r>
              <w:rPr>
                <w:sz w:val="22"/>
                <w:szCs w:val="22"/>
              </w:rPr>
              <w:t>71</w:t>
            </w:r>
          </w:p>
        </w:tc>
        <w:tc>
          <w:tcPr>
            <w:tcW w:w="2041" w:type="dxa"/>
            <w:tcMar>
              <w:top w:w="80" w:type="dxa"/>
              <w:left w:w="100" w:type="dxa"/>
              <w:bottom w:w="80" w:type="dxa"/>
              <w:right w:w="100" w:type="dxa"/>
            </w:tcMar>
          </w:tcPr>
          <w:p>
            <w:pPr>
              <w:keepNext/>
              <w:jc w:val="center"/>
            </w:pPr>
            <w:r>
              <w:rPr>
                <w:sz w:val="22"/>
                <w:szCs w:val="22"/>
              </w:rPr>
              <w:t>112</w:t>
            </w:r>
          </w:p>
        </w:tc>
      </w:tr>
      <w:tr>
        <w:trPr>
          <w:cantSplit/>
        </w:trPr>
        <w:tc>
          <w:tcPr>
            <w:tcW w:w="4419" w:type="dxa"/>
            <w:tcMar>
              <w:top w:w="80" w:type="dxa"/>
              <w:left w:w="100" w:type="dxa"/>
              <w:bottom w:w="80" w:type="dxa"/>
              <w:right w:w="100" w:type="dxa"/>
            </w:tcMar>
          </w:tcPr>
          <w:p>
            <w:pPr>
              <w:keepNext/>
            </w:pPr>
            <w:r>
              <w:rPr>
                <w:sz w:val="22"/>
                <w:szCs w:val="22"/>
              </w:rPr>
              <w:t>Dias com máxima ≥ 32 °C em dez–fev</w:t>
            </w:r>
          </w:p>
        </w:tc>
        <w:tc>
          <w:tcPr>
            <w:tcW w:w="2040" w:type="dxa"/>
            <w:tcMar>
              <w:top w:w="80" w:type="dxa"/>
              <w:left w:w="100" w:type="dxa"/>
              <w:bottom w:w="80" w:type="dxa"/>
              <w:right w:w="100" w:type="dxa"/>
            </w:tcMar>
          </w:tcPr>
          <w:p>
            <w:pPr>
              <w:keepNext/>
              <w:jc w:val="center"/>
            </w:pPr>
            <w:r>
              <w:rPr>
                <w:sz w:val="22"/>
                <w:szCs w:val="22"/>
              </w:rPr>
              <w:t>33</w:t>
            </w:r>
          </w:p>
        </w:tc>
        <w:tc>
          <w:tcPr>
            <w:tcW w:w="2041" w:type="dxa"/>
            <w:tcMar>
              <w:top w:w="80" w:type="dxa"/>
              <w:left w:w="100" w:type="dxa"/>
              <w:bottom w:w="80" w:type="dxa"/>
              <w:right w:w="100" w:type="dxa"/>
            </w:tcMar>
          </w:tcPr>
          <w:p>
            <w:pPr>
              <w:keepNext/>
              <w:jc w:val="center"/>
            </w:pPr>
            <w:r>
              <w:rPr>
                <w:sz w:val="22"/>
                <w:szCs w:val="22"/>
              </w:rPr>
              <w:t>24</w:t>
            </w:r>
          </w:p>
        </w:tc>
      </w:tr>
      <w:tr>
        <w:trPr>
          <w:cantSplit/>
        </w:trPr>
        <w:tc>
          <w:tcPr>
            <w:tcW w:w="4419" w:type="dxa"/>
            <w:tcMar>
              <w:top w:w="80" w:type="dxa"/>
              <w:left w:w="100" w:type="dxa"/>
              <w:bottom w:w="80" w:type="dxa"/>
              <w:right w:w="100" w:type="dxa"/>
            </w:tcMar>
          </w:tcPr>
          <w:p>
            <w:pPr>
              <w:keepNext/>
            </w:pPr>
            <w:r>
              <w:rPr>
                <w:sz w:val="22"/>
                <w:szCs w:val="22"/>
              </w:rPr>
              <w:t>Umidade relativa mínima de dez–fev (%)</w:t>
            </w:r>
          </w:p>
        </w:tc>
        <w:tc>
          <w:tcPr>
            <w:tcW w:w="2040" w:type="dxa"/>
            <w:tcMar>
              <w:top w:w="80" w:type="dxa"/>
              <w:left w:w="100" w:type="dxa"/>
              <w:bottom w:w="80" w:type="dxa"/>
              <w:right w:w="100" w:type="dxa"/>
            </w:tcMar>
          </w:tcPr>
          <w:p>
            <w:pPr>
              <w:keepNext/>
              <w:jc w:val="center"/>
            </w:pPr>
            <w:r>
              <w:rPr>
                <w:sz w:val="22"/>
                <w:szCs w:val="22"/>
              </w:rPr>
              <w:t>47</w:t>
            </w:r>
          </w:p>
        </w:tc>
        <w:tc>
          <w:tcPr>
            <w:tcW w:w="2041" w:type="dxa"/>
            <w:tcMar>
              <w:top w:w="80" w:type="dxa"/>
              <w:left w:w="100" w:type="dxa"/>
              <w:bottom w:w="80" w:type="dxa"/>
              <w:right w:w="100" w:type="dxa"/>
            </w:tcMar>
          </w:tcPr>
          <w:p>
            <w:pPr>
              <w:keepNext/>
              <w:jc w:val="center"/>
            </w:pPr>
            <w:r>
              <w:rPr>
                <w:sz w:val="22"/>
                <w:szCs w:val="22"/>
              </w:rPr>
              <w:t>52</w:t>
            </w:r>
          </w:p>
        </w:tc>
      </w:tr>
      <w:tr>
        <w:trPr>
          <w:cantSplit/>
        </w:trPr>
        <w:tc>
          <w:tcPr>
            <w:tcW w:w="4419" w:type="dxa"/>
            <w:tcMar>
              <w:top w:w="80" w:type="dxa"/>
              <w:left w:w="100" w:type="dxa"/>
              <w:bottom w:w="80" w:type="dxa"/>
              <w:right w:w="100" w:type="dxa"/>
            </w:tcMar>
          </w:tcPr>
          <w:p>
            <w:pPr>
              <w:keepNext/>
            </w:pPr>
            <w:r>
              <w:rPr>
                <w:sz w:val="22"/>
                <w:szCs w:val="22"/>
              </w:rPr>
              <w:t>Déficit hídrico de dez–fev (mm)</w:t>
            </w:r>
          </w:p>
        </w:tc>
        <w:tc>
          <w:tcPr>
            <w:tcW w:w="2040" w:type="dxa"/>
            <w:tcMar>
              <w:top w:w="80" w:type="dxa"/>
              <w:left w:w="100" w:type="dxa"/>
              <w:bottom w:w="80" w:type="dxa"/>
              <w:right w:w="100" w:type="dxa"/>
            </w:tcMar>
          </w:tcPr>
          <w:p>
            <w:pPr>
              <w:keepNext/>
              <w:jc w:val="center"/>
            </w:pPr>
            <w:r>
              <w:rPr>
                <w:sz w:val="22"/>
                <w:szCs w:val="22"/>
              </w:rPr>
              <w:t>245</w:t>
            </w:r>
          </w:p>
        </w:tc>
        <w:tc>
          <w:tcPr>
            <w:tcW w:w="2041" w:type="dxa"/>
            <w:tcMar>
              <w:top w:w="80" w:type="dxa"/>
              <w:left w:w="100" w:type="dxa"/>
              <w:bottom w:w="80" w:type="dxa"/>
              <w:right w:w="100" w:type="dxa"/>
            </w:tcMar>
          </w:tcPr>
          <w:p>
            <w:pPr>
              <w:keepNext/>
              <w:jc w:val="center"/>
            </w:pPr>
            <w:r>
              <w:rPr>
                <w:sz w:val="22"/>
                <w:szCs w:val="22"/>
              </w:rPr>
              <w:t>170</w:t>
            </w:r>
          </w:p>
        </w:tc>
      </w:tr>
    </w:tbl>
    <w:p>
      <w:pPr>
        <w:keepNext/>
        <w:spacing w:before="280" w:after="160"/>
      </w:pPr>
      <w:bookmarkStart w:id="28" w:name="_Toc244263406"/>
      <w:r>
        <w:rPr>
          <w:b/>
          <w:bCs/>
          <w:sz w:val="24"/>
          <w:szCs w:val="24"/>
        </w:rPr>
        <w:t>6.2 Previsão estadual</w:t>
      </w:r>
      <w:bookmarkEnd w:id="28"/>
    </w:p>
    <w:p>
      <w:pPr>
        <w:spacing w:after="200" w:line="276" w:lineRule="auto"/>
        <w:ind w:firstLine="720"/>
        <w:jc w:val="both"/>
      </w:pPr>
      <w:r>
        <w:rPr>
          <w:sz w:val="24"/>
          <w:szCs w:val="24"/>
        </w:rPr>
        <w:t xml:space="preserve">Com o patamar 2020–2024 (2.270 kg/ha, ponderado pela área), o FL prevê </w:t>
      </w:r>
      <w:r>
        <w:rPr>
          <w:b/>
          <w:bCs/>
          <w:sz w:val="24"/>
          <w:szCs w:val="24"/>
        </w:rPr>
        <w:t>2.097 kg/ha</w:t>
      </w:r>
      <w:r>
        <w:rPr>
          <w:sz w:val="24"/>
          <w:szCs w:val="24"/>
        </w:rPr>
        <w:t xml:space="preserve"> para o estado (intervalo de 80%: 1.685 a 2.430 kg/ha). Todos os modelos com clima previram queda em relação ao patamar (Tabela 13). A Tabela 14 mostra de onde vem a previsão do FL: a chuva de dezembro–fevereiro (−284 kg/ha) e a umidade mínima (−103 kg/ha) puxam a previsão para baixo.</w:t>
      </w:r>
    </w:p>
    <w:p>
      <w:pPr>
        <w:keepNext/>
        <w:spacing w:before="120" w:after="300"/>
        <w:jc w:val="center"/>
      </w:pPr>
      <w:r>
        <w:rPr>
          <w:i/>
          <w:iCs/>
          <w:sz w:val="22"/>
          <w:szCs w:val="22"/>
        </w:rPr>
        <w:t xml:space="preserve">Tabela 13 – Previsão do rendimento médio da soja no RS para a safra 2026 (kg/ha, ponderada pela área). Fonte: elaboração própria a partir de NASA POWER e IBGE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4250"/>
        <w:gridCol w:w="1869"/>
        <w:gridCol w:w="2381"/>
      </w:tblGrid>
      <w:tr>
        <w:trPr>
          <w:cantSplit/>
          <w:tblHeader/>
        </w:trPr>
        <w:tc>
          <w:tcPr>
            <w:tcW w:w="4250" w:type="dxa"/>
            <w:shd w:val="clear" w:color="auto" w:fill="D9D9D9"/>
            <w:tcMar>
              <w:top w:w="80" w:type="dxa"/>
              <w:left w:w="100" w:type="dxa"/>
              <w:bottom w:w="80" w:type="dxa"/>
              <w:right w:w="100" w:type="dxa"/>
            </w:tcMar>
          </w:tcPr>
          <w:p>
            <w:pPr>
              <w:keepNext/>
              <w:jc w:val="center"/>
            </w:pPr>
            <w:r>
              <w:rPr>
                <w:b/>
                <w:bCs/>
                <w:sz w:val="22"/>
                <w:szCs w:val="22"/>
              </w:rPr>
              <w:t>Modelo</w:t>
            </w:r>
          </w:p>
        </w:tc>
        <w:tc>
          <w:tcPr>
            <w:tcW w:w="1869" w:type="dxa"/>
            <w:shd w:val="clear" w:color="auto" w:fill="D9D9D9"/>
            <w:tcMar>
              <w:top w:w="80" w:type="dxa"/>
              <w:left w:w="100" w:type="dxa"/>
              <w:bottom w:w="80" w:type="dxa"/>
              <w:right w:w="100" w:type="dxa"/>
            </w:tcMar>
          </w:tcPr>
          <w:p>
            <w:pPr>
              <w:keepNext/>
              <w:jc w:val="center"/>
            </w:pPr>
            <w:r>
              <w:rPr>
                <w:b/>
                <w:bCs/>
                <w:sz w:val="22"/>
                <w:szCs w:val="22"/>
              </w:rPr>
              <w:t>Previsão</w:t>
            </w:r>
          </w:p>
        </w:tc>
        <w:tc>
          <w:tcPr>
            <w:tcW w:w="2381" w:type="dxa"/>
            <w:shd w:val="clear" w:color="auto" w:fill="D9D9D9"/>
            <w:tcMar>
              <w:top w:w="80" w:type="dxa"/>
              <w:left w:w="100" w:type="dxa"/>
              <w:bottom w:w="80" w:type="dxa"/>
              <w:right w:w="100" w:type="dxa"/>
            </w:tcMar>
          </w:tcPr>
          <w:p>
            <w:pPr>
              <w:keepNext/>
              <w:jc w:val="center"/>
            </w:pPr>
            <w:r>
              <w:rPr>
                <w:b/>
                <w:bCs/>
                <w:sz w:val="22"/>
                <w:szCs w:val="22"/>
              </w:rPr>
              <w:t>Intervalo de 80%</w:t>
            </w:r>
          </w:p>
        </w:tc>
      </w:tr>
      <w:tr>
        <w:trPr>
          <w:cantSplit/>
        </w:trPr>
        <w:tc>
          <w:tcPr>
            <w:tcW w:w="4250" w:type="dxa"/>
            <w:tcMar>
              <w:top w:w="80" w:type="dxa"/>
              <w:left w:w="100" w:type="dxa"/>
              <w:bottom w:w="80" w:type="dxa"/>
              <w:right w:w="100" w:type="dxa"/>
            </w:tcMar>
          </w:tcPr>
          <w:p>
            <w:pPr>
              <w:keepNext/>
            </w:pPr>
            <w:r>
              <w:rPr>
                <w:b/>
                <w:bCs/>
                <w:sz w:val="22"/>
                <w:szCs w:val="22"/>
              </w:rPr>
              <w:t>FL (final)</w:t>
            </w:r>
          </w:p>
        </w:tc>
        <w:tc>
          <w:tcPr>
            <w:tcW w:w="1869" w:type="dxa"/>
            <w:tcMar>
              <w:top w:w="80" w:type="dxa"/>
              <w:left w:w="100" w:type="dxa"/>
              <w:bottom w:w="80" w:type="dxa"/>
              <w:right w:w="100" w:type="dxa"/>
            </w:tcMar>
          </w:tcPr>
          <w:p>
            <w:pPr>
              <w:keepNext/>
              <w:jc w:val="center"/>
            </w:pPr>
            <w:r>
              <w:rPr>
                <w:b/>
                <w:bCs/>
                <w:sz w:val="22"/>
                <w:szCs w:val="22"/>
              </w:rPr>
              <w:t>2.097</w:t>
            </w:r>
          </w:p>
        </w:tc>
        <w:tc>
          <w:tcPr>
            <w:tcW w:w="2381" w:type="dxa"/>
            <w:tcMar>
              <w:top w:w="80" w:type="dxa"/>
              <w:left w:w="100" w:type="dxa"/>
              <w:bottom w:w="80" w:type="dxa"/>
              <w:right w:w="100" w:type="dxa"/>
            </w:tcMar>
          </w:tcPr>
          <w:p>
            <w:pPr>
              <w:keepNext/>
              <w:jc w:val="center"/>
            </w:pPr>
            <w:r>
              <w:rPr>
                <w:b/>
                <w:bCs/>
                <w:sz w:val="22"/>
                <w:szCs w:val="22"/>
              </w:rPr>
              <w:t>1.685 – 2.430</w:t>
            </w:r>
          </w:p>
        </w:tc>
      </w:tr>
      <w:tr>
        <w:trPr>
          <w:cantSplit/>
        </w:trPr>
        <w:tc>
          <w:tcPr>
            <w:tcW w:w="4250" w:type="dxa"/>
            <w:tcMar>
              <w:top w:w="80" w:type="dxa"/>
              <w:left w:w="100" w:type="dxa"/>
              <w:bottom w:w="80" w:type="dxa"/>
              <w:right w:w="100" w:type="dxa"/>
            </w:tcMar>
          </w:tcPr>
          <w:p>
            <w:pPr>
              <w:keepNext/>
            </w:pPr>
            <w:r>
              <w:rPr>
                <w:sz w:val="22"/>
                <w:szCs w:val="22"/>
              </w:rPr>
              <w:t>H2</w:t>
            </w:r>
          </w:p>
        </w:tc>
        <w:tc>
          <w:tcPr>
            <w:tcW w:w="1869" w:type="dxa"/>
            <w:tcMar>
              <w:top w:w="80" w:type="dxa"/>
              <w:left w:w="100" w:type="dxa"/>
              <w:bottom w:w="80" w:type="dxa"/>
              <w:right w:w="100" w:type="dxa"/>
            </w:tcMar>
          </w:tcPr>
          <w:p>
            <w:pPr>
              <w:keepNext/>
              <w:jc w:val="center"/>
            </w:pPr>
            <w:r>
              <w:rPr>
                <w:sz w:val="22"/>
                <w:szCs w:val="22"/>
              </w:rPr>
              <w:t>2.094</w:t>
            </w:r>
          </w:p>
        </w:tc>
        <w:tc>
          <w:tcPr>
            <w:tcW w:w="2381" w:type="dxa"/>
            <w:tcMar>
              <w:top w:w="80" w:type="dxa"/>
              <w:left w:w="100" w:type="dxa"/>
              <w:bottom w:w="80" w:type="dxa"/>
              <w:right w:w="100" w:type="dxa"/>
            </w:tcMar>
          </w:tcPr>
          <w:p>
            <w:pPr>
              <w:keepNext/>
              <w:jc w:val="center"/>
            </w:pPr>
            <w:r>
              <w:rPr>
                <w:sz w:val="22"/>
                <w:szCs w:val="22"/>
              </w:rPr>
              <w:t>1.649 – 2.473</w:t>
            </w:r>
          </w:p>
        </w:tc>
      </w:tr>
      <w:tr>
        <w:trPr>
          <w:cantSplit/>
        </w:trPr>
        <w:tc>
          <w:tcPr>
            <w:tcW w:w="4250" w:type="dxa"/>
            <w:tcMar>
              <w:top w:w="80" w:type="dxa"/>
              <w:left w:w="100" w:type="dxa"/>
              <w:bottom w:w="80" w:type="dxa"/>
              <w:right w:w="100" w:type="dxa"/>
            </w:tcMar>
          </w:tcPr>
          <w:p>
            <w:pPr>
              <w:keepNext/>
            </w:pPr>
            <w:r>
              <w:rPr>
                <w:sz w:val="22"/>
                <w:szCs w:val="22"/>
              </w:rPr>
              <w:t>F</w:t>
            </w:r>
          </w:p>
        </w:tc>
        <w:tc>
          <w:tcPr>
            <w:tcW w:w="1869" w:type="dxa"/>
            <w:tcMar>
              <w:top w:w="80" w:type="dxa"/>
              <w:left w:w="100" w:type="dxa"/>
              <w:bottom w:w="80" w:type="dxa"/>
              <w:right w:w="100" w:type="dxa"/>
            </w:tcMar>
          </w:tcPr>
          <w:p>
            <w:pPr>
              <w:keepNext/>
              <w:jc w:val="center"/>
            </w:pPr>
            <w:r>
              <w:rPr>
                <w:sz w:val="22"/>
                <w:szCs w:val="22"/>
              </w:rPr>
              <w:t>2.045</w:t>
            </w:r>
          </w:p>
        </w:tc>
        <w:tc>
          <w:tcPr>
            <w:tcW w:w="2381" w:type="dxa"/>
            <w:tcMar>
              <w:top w:w="80" w:type="dxa"/>
              <w:left w:w="100" w:type="dxa"/>
              <w:bottom w:w="80" w:type="dxa"/>
              <w:right w:w="100" w:type="dxa"/>
            </w:tcMar>
          </w:tcPr>
          <w:p>
            <w:pPr>
              <w:keepNext/>
              <w:jc w:val="center"/>
            </w:pPr>
            <w:r>
              <w:rPr>
                <w:sz w:val="22"/>
                <w:szCs w:val="22"/>
              </w:rPr>
              <w:t>1.672 – 2.387</w:t>
            </w:r>
          </w:p>
        </w:tc>
      </w:tr>
      <w:tr>
        <w:trPr>
          <w:cantSplit/>
        </w:trPr>
        <w:tc>
          <w:tcPr>
            <w:tcW w:w="4250" w:type="dxa"/>
            <w:tcMar>
              <w:top w:w="80" w:type="dxa"/>
              <w:left w:w="100" w:type="dxa"/>
              <w:bottom w:w="80" w:type="dxa"/>
              <w:right w:w="100" w:type="dxa"/>
            </w:tcMar>
          </w:tcPr>
          <w:p>
            <w:pPr>
              <w:keepNext/>
            </w:pPr>
            <w:r>
              <w:rPr>
                <w:sz w:val="22"/>
                <w:szCs w:val="22"/>
              </w:rPr>
              <w:t>GB – Gradient Boosting</w:t>
            </w:r>
          </w:p>
        </w:tc>
        <w:tc>
          <w:tcPr>
            <w:tcW w:w="1869" w:type="dxa"/>
            <w:tcMar>
              <w:top w:w="80" w:type="dxa"/>
              <w:left w:w="100" w:type="dxa"/>
              <w:bottom w:w="80" w:type="dxa"/>
              <w:right w:w="100" w:type="dxa"/>
            </w:tcMar>
          </w:tcPr>
          <w:p>
            <w:pPr>
              <w:keepNext/>
              <w:jc w:val="center"/>
            </w:pPr>
            <w:r>
              <w:rPr>
                <w:sz w:val="22"/>
                <w:szCs w:val="22"/>
              </w:rPr>
              <w:t>2.221</w:t>
            </w:r>
          </w:p>
        </w:tc>
        <w:tc>
          <w:tcPr>
            <w:tcW w:w="2381" w:type="dxa"/>
            <w:tcMar>
              <w:top w:w="80" w:type="dxa"/>
              <w:left w:w="100" w:type="dxa"/>
              <w:bottom w:w="80" w:type="dxa"/>
              <w:right w:w="100" w:type="dxa"/>
            </w:tcMar>
          </w:tcPr>
          <w:p>
            <w:pPr>
              <w:keepNext/>
              <w:jc w:val="center"/>
            </w:pPr>
            <w:r>
              <w:rPr>
                <w:sz w:val="22"/>
                <w:szCs w:val="22"/>
              </w:rPr>
              <w:t>1.517 – 2.682</w:t>
            </w:r>
          </w:p>
        </w:tc>
      </w:tr>
      <w:tr>
        <w:trPr>
          <w:cantSplit/>
        </w:trPr>
        <w:tc>
          <w:tcPr>
            <w:tcW w:w="4250" w:type="dxa"/>
            <w:tcMar>
              <w:top w:w="80" w:type="dxa"/>
              <w:left w:w="100" w:type="dxa"/>
              <w:bottom w:w="80" w:type="dxa"/>
              <w:right w:w="100" w:type="dxa"/>
            </w:tcMar>
          </w:tcPr>
          <w:p>
            <w:pPr>
              <w:keepNext/>
            </w:pPr>
            <w:r>
              <w:rPr>
                <w:sz w:val="22"/>
                <w:szCs w:val="22"/>
              </w:rPr>
              <w:t>Média histórica</w:t>
            </w:r>
          </w:p>
        </w:tc>
        <w:tc>
          <w:tcPr>
            <w:tcW w:w="1869" w:type="dxa"/>
            <w:tcMar>
              <w:top w:w="80" w:type="dxa"/>
              <w:left w:w="100" w:type="dxa"/>
              <w:bottom w:w="80" w:type="dxa"/>
              <w:right w:w="100" w:type="dxa"/>
            </w:tcMar>
          </w:tcPr>
          <w:p>
            <w:pPr>
              <w:keepNext/>
              <w:jc w:val="center"/>
            </w:pPr>
            <w:r>
              <w:rPr>
                <w:sz w:val="22"/>
                <w:szCs w:val="22"/>
              </w:rPr>
              <w:t>2.276</w:t>
            </w:r>
          </w:p>
        </w:tc>
        <w:tc>
          <w:tcPr>
            <w:tcW w:w="2381" w:type="dxa"/>
            <w:tcMar>
              <w:top w:w="80" w:type="dxa"/>
              <w:left w:w="100" w:type="dxa"/>
              <w:bottom w:w="80" w:type="dxa"/>
              <w:right w:w="100" w:type="dxa"/>
            </w:tcMar>
          </w:tcPr>
          <w:p>
            <w:pPr>
              <w:keepNext/>
              <w:jc w:val="center"/>
            </w:pPr>
            <w:r>
              <w:rPr>
                <w:sz w:val="22"/>
                <w:szCs w:val="22"/>
              </w:rPr>
              <w:t>1.833 – 3.266</w:t>
            </w:r>
          </w:p>
        </w:tc>
      </w:tr>
      <w:tr>
        <w:trPr>
          <w:cantSplit/>
        </w:trPr>
        <w:tc>
          <w:tcPr>
            <w:tcW w:w="4250" w:type="dxa"/>
            <w:tcMar>
              <w:top w:w="80" w:type="dxa"/>
              <w:left w:w="100" w:type="dxa"/>
              <w:bottom w:w="80" w:type="dxa"/>
              <w:right w:w="100" w:type="dxa"/>
            </w:tcMar>
          </w:tcPr>
          <w:p>
            <w:pPr>
              <w:keepNext/>
            </w:pPr>
            <w:r>
              <w:rPr>
                <w:sz w:val="22"/>
                <w:szCs w:val="22"/>
              </w:rPr>
              <w:t>Referência: patamar 2020–2024</w:t>
            </w:r>
          </w:p>
        </w:tc>
        <w:tc>
          <w:tcPr>
            <w:tcW w:w="1869" w:type="dxa"/>
            <w:tcMar>
              <w:top w:w="80" w:type="dxa"/>
              <w:left w:w="100" w:type="dxa"/>
              <w:bottom w:w="80" w:type="dxa"/>
              <w:right w:w="100" w:type="dxa"/>
            </w:tcMar>
          </w:tcPr>
          <w:p>
            <w:pPr>
              <w:keepNext/>
              <w:jc w:val="center"/>
            </w:pPr>
            <w:r>
              <w:rPr>
                <w:sz w:val="22"/>
                <w:szCs w:val="22"/>
              </w:rPr>
              <w:t>2.270</w:t>
            </w:r>
          </w:p>
        </w:tc>
        <w:tc>
          <w:tcPr>
            <w:tcW w:w="2381" w:type="dxa"/>
            <w:tcMar>
              <w:top w:w="80" w:type="dxa"/>
              <w:left w:w="100" w:type="dxa"/>
              <w:bottom w:w="80" w:type="dxa"/>
              <w:right w:w="100" w:type="dxa"/>
            </w:tcMar>
          </w:tcPr>
          <w:p>
            <w:pPr>
              <w:keepNext/>
              <w:jc w:val="center"/>
            </w:pPr>
            <w:r>
              <w:rPr>
                <w:sz w:val="22"/>
                <w:szCs w:val="22"/>
              </w:rPr>
              <w:t>–</w:t>
            </w:r>
          </w:p>
        </w:tc>
      </w:tr>
      <w:tr>
        <w:trPr>
          <w:cantSplit/>
        </w:trPr>
        <w:tc>
          <w:tcPr>
            <w:tcW w:w="4250" w:type="dxa"/>
            <w:tcMar>
              <w:top w:w="80" w:type="dxa"/>
              <w:left w:w="100" w:type="dxa"/>
              <w:bottom w:w="80" w:type="dxa"/>
              <w:right w:w="100" w:type="dxa"/>
            </w:tcMar>
          </w:tcPr>
          <w:p>
            <w:pPr>
              <w:keepNext/>
            </w:pPr>
            <w:r>
              <w:rPr>
                <w:sz w:val="22"/>
                <w:szCs w:val="22"/>
              </w:rPr>
              <w:t>Referência: LSPA/IBGE, set/2026</w:t>
            </w:r>
          </w:p>
        </w:tc>
        <w:tc>
          <w:tcPr>
            <w:tcW w:w="1869" w:type="dxa"/>
            <w:tcMar>
              <w:top w:w="80" w:type="dxa"/>
              <w:left w:w="100" w:type="dxa"/>
              <w:bottom w:w="80" w:type="dxa"/>
              <w:right w:w="100" w:type="dxa"/>
            </w:tcMar>
          </w:tcPr>
          <w:p>
            <w:pPr>
              <w:keepNext/>
              <w:jc w:val="center"/>
            </w:pPr>
            <w:r>
              <w:rPr>
                <w:sz w:val="22"/>
                <w:szCs w:val="22"/>
              </w:rPr>
              <w:t>2.734</w:t>
            </w:r>
          </w:p>
        </w:tc>
        <w:tc>
          <w:tcPr>
            <w:tcW w:w="2381" w:type="dxa"/>
            <w:tcMar>
              <w:top w:w="80" w:type="dxa"/>
              <w:left w:w="100" w:type="dxa"/>
              <w:bottom w:w="80" w:type="dxa"/>
              <w:right w:w="100" w:type="dxa"/>
            </w:tcMar>
          </w:tcPr>
          <w:p>
            <w:pPr>
              <w:keepNext/>
              <w:jc w:val="center"/>
            </w:pPr>
            <w:r>
              <w:rPr>
                <w:sz w:val="22"/>
                <w:szCs w:val="22"/>
              </w:rPr>
              <w:t>–</w:t>
            </w:r>
          </w:p>
        </w:tc>
      </w:tr>
    </w:tbl>
    <w:p>
      <w:pPr>
        <w:keepNext/>
        <w:spacing w:before="120" w:after="300"/>
        <w:jc w:val="center"/>
      </w:pPr>
      <w:r>
        <w:rPr>
          <w:i/>
          <w:iCs/>
          <w:sz w:val="22"/>
          <w:szCs w:val="22"/>
        </w:rPr>
        <w:t xml:space="preserve">Tabela 14 – Decomposição da previsão estadual do FL para 2026 em relação ao patamar. Fonte: elaboração própria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5949"/>
        <w:gridCol w:w="2551"/>
      </w:tblGrid>
      <w:tr>
        <w:trPr>
          <w:cantSplit/>
          <w:tblHeader/>
        </w:trPr>
        <w:tc>
          <w:tcPr>
            <w:tcW w:w="5949" w:type="dxa"/>
            <w:shd w:val="clear" w:color="auto" w:fill="D9D9D9"/>
            <w:tcMar>
              <w:top w:w="80" w:type="dxa"/>
              <w:left w:w="100" w:type="dxa"/>
              <w:bottom w:w="80" w:type="dxa"/>
              <w:right w:w="100" w:type="dxa"/>
            </w:tcMar>
          </w:tcPr>
          <w:p>
            <w:pPr>
              <w:keepNext/>
              <w:jc w:val="center"/>
            </w:pPr>
            <w:r>
              <w:rPr>
                <w:b/>
                <w:bCs/>
                <w:sz w:val="22"/>
                <w:szCs w:val="22"/>
              </w:rPr>
              <w:t>Componente</w:t>
            </w:r>
          </w:p>
        </w:tc>
        <w:tc>
          <w:tcPr>
            <w:tcW w:w="2551" w:type="dxa"/>
            <w:shd w:val="clear" w:color="auto" w:fill="D9D9D9"/>
            <w:tcMar>
              <w:top w:w="80" w:type="dxa"/>
              <w:left w:w="100" w:type="dxa"/>
              <w:bottom w:w="80" w:type="dxa"/>
              <w:right w:w="100" w:type="dxa"/>
            </w:tcMar>
          </w:tcPr>
          <w:p>
            <w:pPr>
              <w:keepNext/>
              <w:jc w:val="center"/>
            </w:pPr>
            <w:r>
              <w:rPr>
                <w:b/>
                <w:bCs/>
                <w:sz w:val="22"/>
                <w:szCs w:val="22"/>
              </w:rPr>
              <w:t>Contribuição (kg/ha)</w:t>
            </w:r>
          </w:p>
        </w:tc>
      </w:tr>
      <w:tr>
        <w:trPr>
          <w:cantSplit/>
        </w:trPr>
        <w:tc>
          <w:tcPr>
            <w:tcW w:w="5949" w:type="dxa"/>
            <w:tcMar>
              <w:top w:w="80" w:type="dxa"/>
              <w:left w:w="100" w:type="dxa"/>
              <w:bottom w:w="80" w:type="dxa"/>
              <w:right w:w="100" w:type="dxa"/>
            </w:tcMar>
          </w:tcPr>
          <w:p>
            <w:pPr>
              <w:keepNext/>
            </w:pPr>
            <w:r>
              <w:rPr>
                <w:sz w:val="22"/>
                <w:szCs w:val="22"/>
              </w:rPr>
              <w:t>Chuva de dez–fev</w:t>
            </w:r>
          </w:p>
        </w:tc>
        <w:tc>
          <w:tcPr>
            <w:tcW w:w="2551" w:type="dxa"/>
            <w:tcMar>
              <w:top w:w="80" w:type="dxa"/>
              <w:left w:w="100" w:type="dxa"/>
              <w:bottom w:w="80" w:type="dxa"/>
              <w:right w:w="100" w:type="dxa"/>
            </w:tcMar>
          </w:tcPr>
          <w:p>
            <w:pPr>
              <w:keepNext/>
              <w:jc w:val="center"/>
            </w:pPr>
            <w:r>
              <w:rPr>
                <w:sz w:val="22"/>
                <w:szCs w:val="22"/>
              </w:rPr>
              <w:t>−284</w:t>
            </w:r>
          </w:p>
        </w:tc>
      </w:tr>
      <w:tr>
        <w:trPr>
          <w:cantSplit/>
        </w:trPr>
        <w:tc>
          <w:tcPr>
            <w:tcW w:w="5949" w:type="dxa"/>
            <w:tcMar>
              <w:top w:w="80" w:type="dxa"/>
              <w:left w:w="100" w:type="dxa"/>
              <w:bottom w:w="80" w:type="dxa"/>
              <w:right w:w="100" w:type="dxa"/>
            </w:tcMar>
          </w:tcPr>
          <w:p>
            <w:pPr>
              <w:keepNext/>
            </w:pPr>
            <w:r>
              <w:rPr>
                <w:sz w:val="22"/>
                <w:szCs w:val="22"/>
              </w:rPr>
              <w:t>Umidade mínima de dez–fev</w:t>
            </w:r>
          </w:p>
        </w:tc>
        <w:tc>
          <w:tcPr>
            <w:tcW w:w="2551" w:type="dxa"/>
            <w:tcMar>
              <w:top w:w="80" w:type="dxa"/>
              <w:left w:w="100" w:type="dxa"/>
              <w:bottom w:w="80" w:type="dxa"/>
              <w:right w:w="100" w:type="dxa"/>
            </w:tcMar>
          </w:tcPr>
          <w:p>
            <w:pPr>
              <w:keepNext/>
              <w:jc w:val="center"/>
            </w:pPr>
            <w:r>
              <w:rPr>
                <w:sz w:val="22"/>
                <w:szCs w:val="22"/>
              </w:rPr>
              <w:t>−103</w:t>
            </w:r>
          </w:p>
        </w:tc>
      </w:tr>
      <w:tr>
        <w:trPr>
          <w:cantSplit/>
        </w:trPr>
        <w:tc>
          <w:tcPr>
            <w:tcW w:w="5949" w:type="dxa"/>
            <w:tcMar>
              <w:top w:w="80" w:type="dxa"/>
              <w:left w:w="100" w:type="dxa"/>
              <w:bottom w:w="80" w:type="dxa"/>
              <w:right w:w="100" w:type="dxa"/>
            </w:tcMar>
          </w:tcPr>
          <w:p>
            <w:pPr>
              <w:keepNext/>
            </w:pPr>
            <w:r>
              <w:rPr>
                <w:sz w:val="22"/>
                <w:szCs w:val="22"/>
              </w:rPr>
              <w:t>Chuva de março</w:t>
            </w:r>
          </w:p>
        </w:tc>
        <w:tc>
          <w:tcPr>
            <w:tcW w:w="2551" w:type="dxa"/>
            <w:tcMar>
              <w:top w:w="80" w:type="dxa"/>
              <w:left w:w="100" w:type="dxa"/>
              <w:bottom w:w="80" w:type="dxa"/>
              <w:right w:w="100" w:type="dxa"/>
            </w:tcMar>
          </w:tcPr>
          <w:p>
            <w:pPr>
              <w:keepNext/>
              <w:jc w:val="center"/>
            </w:pPr>
            <w:r>
              <w:rPr>
                <w:sz w:val="22"/>
                <w:szCs w:val="22"/>
              </w:rPr>
              <w:t>−19</w:t>
            </w:r>
          </w:p>
        </w:tc>
      </w:tr>
      <w:tr>
        <w:trPr>
          <w:cantSplit/>
        </w:trPr>
        <w:tc>
          <w:tcPr>
            <w:tcW w:w="5949" w:type="dxa"/>
            <w:tcMar>
              <w:top w:w="80" w:type="dxa"/>
              <w:left w:w="100" w:type="dxa"/>
              <w:bottom w:w="80" w:type="dxa"/>
              <w:right w:w="100" w:type="dxa"/>
            </w:tcMar>
          </w:tcPr>
          <w:p>
            <w:pPr>
              <w:keepNext/>
            </w:pPr>
            <w:r>
              <w:rPr>
                <w:sz w:val="22"/>
                <w:szCs w:val="22"/>
              </w:rPr>
              <w:t>Seca extrema (déficit acima do limiar)</w:t>
            </w:r>
          </w:p>
        </w:tc>
        <w:tc>
          <w:tcPr>
            <w:tcW w:w="2551" w:type="dxa"/>
            <w:tcMar>
              <w:top w:w="80" w:type="dxa"/>
              <w:left w:w="100" w:type="dxa"/>
              <w:bottom w:w="80" w:type="dxa"/>
              <w:right w:w="100" w:type="dxa"/>
            </w:tcMar>
          </w:tcPr>
          <w:p>
            <w:pPr>
              <w:keepNext/>
              <w:jc w:val="center"/>
            </w:pPr>
            <w:r>
              <w:rPr>
                <w:sz w:val="22"/>
                <w:szCs w:val="22"/>
              </w:rPr>
              <w:t>−5</w:t>
            </w:r>
          </w:p>
        </w:tc>
      </w:tr>
      <w:tr>
        <w:trPr>
          <w:cantSplit/>
        </w:trPr>
        <w:tc>
          <w:tcPr>
            <w:tcW w:w="5949" w:type="dxa"/>
            <w:tcMar>
              <w:top w:w="80" w:type="dxa"/>
              <w:left w:w="100" w:type="dxa"/>
              <w:bottom w:w="80" w:type="dxa"/>
              <w:right w:w="100" w:type="dxa"/>
            </w:tcMar>
          </w:tcPr>
          <w:p>
            <w:pPr>
              <w:keepNext/>
            </w:pPr>
            <w:r>
              <w:rPr>
                <w:sz w:val="22"/>
                <w:szCs w:val="22"/>
              </w:rPr>
              <w:t>Dias de calor de dez–fev</w:t>
            </w:r>
          </w:p>
        </w:tc>
        <w:tc>
          <w:tcPr>
            <w:tcW w:w="2551" w:type="dxa"/>
            <w:tcMar>
              <w:top w:w="80" w:type="dxa"/>
              <w:left w:w="100" w:type="dxa"/>
              <w:bottom w:w="80" w:type="dxa"/>
              <w:right w:w="100" w:type="dxa"/>
            </w:tcMar>
          </w:tcPr>
          <w:p>
            <w:pPr>
              <w:keepNext/>
              <w:jc w:val="center"/>
            </w:pPr>
            <w:r>
              <w:rPr>
                <w:sz w:val="22"/>
                <w:szCs w:val="22"/>
              </w:rPr>
              <w:t>+24</w:t>
            </w:r>
          </w:p>
        </w:tc>
      </w:tr>
      <w:tr>
        <w:trPr>
          <w:cantSplit/>
        </w:trPr>
        <w:tc>
          <w:tcPr>
            <w:tcW w:w="5949" w:type="dxa"/>
            <w:tcMar>
              <w:top w:w="80" w:type="dxa"/>
              <w:left w:w="100" w:type="dxa"/>
              <w:bottom w:w="80" w:type="dxa"/>
              <w:right w:w="100" w:type="dxa"/>
            </w:tcMar>
          </w:tcPr>
          <w:p>
            <w:pPr>
              <w:keepNext/>
            </w:pPr>
            <w:r>
              <w:rPr>
                <w:sz w:val="22"/>
                <w:szCs w:val="22"/>
              </w:rPr>
              <w:t>Chuva de out–nov</w:t>
            </w:r>
          </w:p>
        </w:tc>
        <w:tc>
          <w:tcPr>
            <w:tcW w:w="2551" w:type="dxa"/>
            <w:tcMar>
              <w:top w:w="80" w:type="dxa"/>
              <w:left w:w="100" w:type="dxa"/>
              <w:bottom w:w="80" w:type="dxa"/>
              <w:right w:w="100" w:type="dxa"/>
            </w:tcMar>
          </w:tcPr>
          <w:p>
            <w:pPr>
              <w:keepNext/>
              <w:jc w:val="center"/>
            </w:pPr>
            <w:r>
              <w:rPr>
                <w:sz w:val="22"/>
                <w:szCs w:val="22"/>
              </w:rPr>
              <w:t>+62</w:t>
            </w:r>
          </w:p>
        </w:tc>
      </w:tr>
      <w:tr>
        <w:trPr>
          <w:cantSplit/>
        </w:trPr>
        <w:tc>
          <w:tcPr>
            <w:tcW w:w="5949" w:type="dxa"/>
            <w:tcMar>
              <w:top w:w="80" w:type="dxa"/>
              <w:left w:w="100" w:type="dxa"/>
              <w:bottom w:w="80" w:type="dxa"/>
              <w:right w:w="100" w:type="dxa"/>
            </w:tcMar>
          </w:tcPr>
          <w:p>
            <w:pPr>
              <w:keepNext/>
            </w:pPr>
            <w:r>
              <w:rPr>
                <w:sz w:val="22"/>
                <w:szCs w:val="22"/>
              </w:rPr>
              <w:t>Desvio médio do treino em relação ao patamar (intercepto)</w:t>
            </w:r>
          </w:p>
        </w:tc>
        <w:tc>
          <w:tcPr>
            <w:tcW w:w="2551" w:type="dxa"/>
            <w:tcMar>
              <w:top w:w="80" w:type="dxa"/>
              <w:left w:w="100" w:type="dxa"/>
              <w:bottom w:w="80" w:type="dxa"/>
              <w:right w:w="100" w:type="dxa"/>
            </w:tcMar>
          </w:tcPr>
          <w:p>
            <w:pPr>
              <w:keepNext/>
              <w:jc w:val="center"/>
            </w:pPr>
            <w:r>
              <w:rPr>
                <w:sz w:val="22"/>
                <w:szCs w:val="22"/>
              </w:rPr>
              <w:t>+153</w:t>
            </w:r>
          </w:p>
        </w:tc>
      </w:tr>
      <w:tr>
        <w:trPr>
          <w:cantSplit/>
        </w:trPr>
        <w:tc>
          <w:tcPr>
            <w:tcW w:w="5949" w:type="dxa"/>
            <w:tcMar>
              <w:top w:w="80" w:type="dxa"/>
              <w:left w:w="100" w:type="dxa"/>
              <w:bottom w:w="80" w:type="dxa"/>
              <w:right w:w="100" w:type="dxa"/>
            </w:tcMar>
          </w:tcPr>
          <w:p>
            <w:pPr>
              <w:keepNext/>
            </w:pPr>
            <w:r>
              <w:rPr>
                <w:sz w:val="22"/>
                <w:szCs w:val="22"/>
              </w:rPr>
              <w:t>Total em relação ao patamar (2.270 → 2.097)</w:t>
            </w:r>
          </w:p>
        </w:tc>
        <w:tc>
          <w:tcPr>
            <w:tcW w:w="2551" w:type="dxa"/>
            <w:tcMar>
              <w:top w:w="80" w:type="dxa"/>
              <w:left w:w="100" w:type="dxa"/>
              <w:bottom w:w="80" w:type="dxa"/>
              <w:right w:w="100" w:type="dxa"/>
            </w:tcMar>
          </w:tcPr>
          <w:p>
            <w:pPr>
              <w:keepNext/>
              <w:jc w:val="center"/>
            </w:pPr>
            <w:r>
              <w:rPr>
                <w:sz w:val="22"/>
                <w:szCs w:val="22"/>
              </w:rPr>
              <w:t>−173</w:t>
            </w:r>
          </w:p>
        </w:tc>
      </w:tr>
    </w:tbl>
    <w:p>
      <w:pPr>
        <w:keepNext/>
        <w:spacing w:before="280" w:after="160"/>
      </w:pPr>
      <w:bookmarkStart w:id="29" w:name="_Toc244263407"/>
      <w:r>
        <w:rPr>
          <w:b/>
          <w:bCs/>
          <w:sz w:val="24"/>
          <w:szCs w:val="24"/>
        </w:rPr>
        <w:t>6.3 Previsão por mesorregião</w:t>
      </w:r>
      <w:bookmarkEnd w:id="29"/>
    </w:p>
    <w:p>
      <w:pPr>
        <w:spacing w:after="200" w:line="276" w:lineRule="auto"/>
        <w:ind w:firstLine="720"/>
        <w:jc w:val="both"/>
      </w:pPr>
      <w:r>
        <w:rPr>
          <w:sz w:val="24"/>
          <w:szCs w:val="24"/>
        </w:rPr>
        <w:t>A queda prevista se concentra no Sudoeste (−36% sobre o patamar) e no Sudeste (−26%), enquanto o Noroeste, com quase metade da área plantada, fica próximo do patamar (Tabela 15). A previsão de cada município, com o intervalo de 80% (de −851 a +670 kg/ha em torno da previsão), está no arquivo previsao_safra_2026_municipio.csv do repositório.</w:t>
      </w:r>
    </w:p>
    <w:p>
      <w:pPr>
        <w:keepNext/>
        <w:spacing w:before="120" w:after="300"/>
        <w:jc w:val="center"/>
      </w:pPr>
      <w:r>
        <w:rPr>
          <w:i/>
          <w:iCs/>
          <w:sz w:val="22"/>
          <w:szCs w:val="22"/>
        </w:rPr>
        <w:t xml:space="preserve">Tabela 15 – Previsão do FL para a safra 2026 por mesorregião. Fonte: elaboração própria a partir de NASA POWER e IBGE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550"/>
        <w:gridCol w:w="1105"/>
        <w:gridCol w:w="1445"/>
        <w:gridCol w:w="1189"/>
        <w:gridCol w:w="1189"/>
        <w:gridCol w:w="1022"/>
      </w:tblGrid>
      <w:tr>
        <w:trPr>
          <w:cantSplit/>
          <w:tblHeader/>
        </w:trPr>
        <w:tc>
          <w:tcPr>
            <w:tcW w:w="2550" w:type="dxa"/>
            <w:shd w:val="clear" w:color="auto" w:fill="D9D9D9"/>
            <w:tcMar>
              <w:top w:w="80" w:type="dxa"/>
              <w:left w:w="100" w:type="dxa"/>
              <w:bottom w:w="80" w:type="dxa"/>
              <w:right w:w="100" w:type="dxa"/>
            </w:tcMar>
          </w:tcPr>
          <w:p>
            <w:pPr>
              <w:keepNext/>
              <w:jc w:val="center"/>
            </w:pPr>
            <w:r>
              <w:rPr>
                <w:b/>
                <w:bCs/>
                <w:sz w:val="22"/>
                <w:szCs w:val="22"/>
              </w:rPr>
              <w:t>Mesorregião</w:t>
            </w:r>
          </w:p>
        </w:tc>
        <w:tc>
          <w:tcPr>
            <w:tcW w:w="1105" w:type="dxa"/>
            <w:shd w:val="clear" w:color="auto" w:fill="D9D9D9"/>
            <w:tcMar>
              <w:top w:w="80" w:type="dxa"/>
              <w:left w:w="100" w:type="dxa"/>
              <w:bottom w:w="80" w:type="dxa"/>
              <w:right w:w="100" w:type="dxa"/>
            </w:tcMar>
          </w:tcPr>
          <w:p>
            <w:pPr>
              <w:keepNext/>
              <w:jc w:val="center"/>
            </w:pPr>
            <w:r>
              <w:rPr>
                <w:b/>
                <w:bCs/>
                <w:sz w:val="22"/>
                <w:szCs w:val="22"/>
              </w:rPr>
              <w:t>Municípios</w:t>
            </w:r>
          </w:p>
        </w:tc>
        <w:tc>
          <w:tcPr>
            <w:tcW w:w="1445" w:type="dxa"/>
            <w:shd w:val="clear" w:color="auto" w:fill="D9D9D9"/>
            <w:tcMar>
              <w:top w:w="80" w:type="dxa"/>
              <w:left w:w="100" w:type="dxa"/>
              <w:bottom w:w="80" w:type="dxa"/>
              <w:right w:w="100" w:type="dxa"/>
            </w:tcMar>
          </w:tcPr>
          <w:p>
            <w:pPr>
              <w:keepNext/>
              <w:jc w:val="center"/>
            </w:pPr>
            <w:r>
              <w:rPr>
                <w:b/>
                <w:bCs/>
                <w:sz w:val="22"/>
                <w:szCs w:val="22"/>
              </w:rPr>
              <w:t>Área 2025 (mil ha)</w:t>
            </w:r>
          </w:p>
        </w:tc>
        <w:tc>
          <w:tcPr>
            <w:tcW w:w="1189" w:type="dxa"/>
            <w:shd w:val="clear" w:color="auto" w:fill="D9D9D9"/>
            <w:tcMar>
              <w:top w:w="80" w:type="dxa"/>
              <w:left w:w="100" w:type="dxa"/>
              <w:bottom w:w="80" w:type="dxa"/>
              <w:right w:w="100" w:type="dxa"/>
            </w:tcMar>
          </w:tcPr>
          <w:p>
            <w:pPr>
              <w:keepNext/>
              <w:jc w:val="center"/>
            </w:pPr>
            <w:r>
              <w:rPr>
                <w:b/>
                <w:bCs/>
                <w:sz w:val="22"/>
                <w:szCs w:val="22"/>
              </w:rPr>
              <w:t>Patamar (kg/ha)</w:t>
            </w:r>
          </w:p>
        </w:tc>
        <w:tc>
          <w:tcPr>
            <w:tcW w:w="1189" w:type="dxa"/>
            <w:shd w:val="clear" w:color="auto" w:fill="D9D9D9"/>
            <w:tcMar>
              <w:top w:w="80" w:type="dxa"/>
              <w:left w:w="100" w:type="dxa"/>
              <w:bottom w:w="80" w:type="dxa"/>
              <w:right w:w="100" w:type="dxa"/>
            </w:tcMar>
          </w:tcPr>
          <w:p>
            <w:pPr>
              <w:keepNext/>
              <w:jc w:val="center"/>
            </w:pPr>
            <w:r>
              <w:rPr>
                <w:b/>
                <w:bCs/>
                <w:sz w:val="22"/>
                <w:szCs w:val="22"/>
              </w:rPr>
              <w:t>Previsão (kg/ha)</w:t>
            </w:r>
          </w:p>
        </w:tc>
        <w:tc>
          <w:tcPr>
            <w:tcW w:w="1022" w:type="dxa"/>
            <w:shd w:val="clear" w:color="auto" w:fill="D9D9D9"/>
            <w:tcMar>
              <w:top w:w="80" w:type="dxa"/>
              <w:left w:w="100" w:type="dxa"/>
              <w:bottom w:w="80" w:type="dxa"/>
              <w:right w:w="100" w:type="dxa"/>
            </w:tcMar>
          </w:tcPr>
          <w:p>
            <w:pPr>
              <w:keepNext/>
              <w:jc w:val="center"/>
            </w:pPr>
            <w:r>
              <w:rPr>
                <w:b/>
                <w:bCs/>
                <w:sz w:val="22"/>
                <w:szCs w:val="22"/>
              </w:rPr>
              <w:t>Variação</w:t>
            </w:r>
          </w:p>
        </w:tc>
      </w:tr>
      <w:tr>
        <w:trPr>
          <w:cantSplit/>
        </w:trPr>
        <w:tc>
          <w:tcPr>
            <w:tcW w:w="2550" w:type="dxa"/>
            <w:tcMar>
              <w:top w:w="80" w:type="dxa"/>
              <w:left w:w="100" w:type="dxa"/>
              <w:bottom w:w="80" w:type="dxa"/>
              <w:right w:w="100" w:type="dxa"/>
            </w:tcMar>
          </w:tcPr>
          <w:p>
            <w:pPr>
              <w:keepNext/>
            </w:pPr>
            <w:r>
              <w:rPr>
                <w:sz w:val="22"/>
                <w:szCs w:val="22"/>
              </w:rPr>
              <w:t>Noroeste</w:t>
            </w:r>
          </w:p>
        </w:tc>
        <w:tc>
          <w:tcPr>
            <w:tcW w:w="1105" w:type="dxa"/>
            <w:tcMar>
              <w:top w:w="80" w:type="dxa"/>
              <w:left w:w="100" w:type="dxa"/>
              <w:bottom w:w="80" w:type="dxa"/>
              <w:right w:w="100" w:type="dxa"/>
            </w:tcMar>
          </w:tcPr>
          <w:p>
            <w:pPr>
              <w:keepNext/>
              <w:jc w:val="center"/>
            </w:pPr>
            <w:r>
              <w:rPr>
                <w:sz w:val="22"/>
                <w:szCs w:val="22"/>
              </w:rPr>
              <w:t>216</w:t>
            </w:r>
          </w:p>
        </w:tc>
        <w:tc>
          <w:tcPr>
            <w:tcW w:w="1445" w:type="dxa"/>
            <w:tcMar>
              <w:top w:w="80" w:type="dxa"/>
              <w:left w:w="100" w:type="dxa"/>
              <w:bottom w:w="80" w:type="dxa"/>
              <w:right w:w="100" w:type="dxa"/>
            </w:tcMar>
          </w:tcPr>
          <w:p>
            <w:pPr>
              <w:keepNext/>
              <w:jc w:val="center"/>
            </w:pPr>
            <w:r>
              <w:rPr>
                <w:sz w:val="22"/>
                <w:szCs w:val="22"/>
              </w:rPr>
              <w:t>3.295</w:t>
            </w:r>
          </w:p>
        </w:tc>
        <w:tc>
          <w:tcPr>
            <w:tcW w:w="1189" w:type="dxa"/>
            <w:tcMar>
              <w:top w:w="80" w:type="dxa"/>
              <w:left w:w="100" w:type="dxa"/>
              <w:bottom w:w="80" w:type="dxa"/>
              <w:right w:w="100" w:type="dxa"/>
            </w:tcMar>
          </w:tcPr>
          <w:p>
            <w:pPr>
              <w:keepNext/>
              <w:jc w:val="center"/>
            </w:pPr>
            <w:r>
              <w:rPr>
                <w:sz w:val="22"/>
                <w:szCs w:val="22"/>
              </w:rPr>
              <w:t>2.470</w:t>
            </w:r>
          </w:p>
        </w:tc>
        <w:tc>
          <w:tcPr>
            <w:tcW w:w="1189" w:type="dxa"/>
            <w:tcMar>
              <w:top w:w="80" w:type="dxa"/>
              <w:left w:w="100" w:type="dxa"/>
              <w:bottom w:w="80" w:type="dxa"/>
              <w:right w:w="100" w:type="dxa"/>
            </w:tcMar>
          </w:tcPr>
          <w:p>
            <w:pPr>
              <w:keepNext/>
              <w:jc w:val="center"/>
            </w:pPr>
            <w:r>
              <w:rPr>
                <w:sz w:val="22"/>
                <w:szCs w:val="22"/>
              </w:rPr>
              <w:t>2.438</w:t>
            </w:r>
          </w:p>
        </w:tc>
        <w:tc>
          <w:tcPr>
            <w:tcW w:w="1022" w:type="dxa"/>
            <w:tcMar>
              <w:top w:w="80" w:type="dxa"/>
              <w:left w:w="100" w:type="dxa"/>
              <w:bottom w:w="80" w:type="dxa"/>
              <w:right w:w="100" w:type="dxa"/>
            </w:tcMar>
          </w:tcPr>
          <w:p>
            <w:pPr>
              <w:keepNext/>
              <w:jc w:val="center"/>
            </w:pPr>
            <w:r>
              <w:rPr>
                <w:sz w:val="22"/>
                <w:szCs w:val="22"/>
              </w:rPr>
              <w:t>−1%</w:t>
            </w:r>
          </w:p>
        </w:tc>
      </w:tr>
      <w:tr>
        <w:trPr>
          <w:cantSplit/>
        </w:trPr>
        <w:tc>
          <w:tcPr>
            <w:tcW w:w="2550" w:type="dxa"/>
            <w:tcMar>
              <w:top w:w="80" w:type="dxa"/>
              <w:left w:w="100" w:type="dxa"/>
              <w:bottom w:w="80" w:type="dxa"/>
              <w:right w:w="100" w:type="dxa"/>
            </w:tcMar>
          </w:tcPr>
          <w:p>
            <w:pPr>
              <w:keepNext/>
            </w:pPr>
            <w:r>
              <w:rPr>
                <w:sz w:val="22"/>
                <w:szCs w:val="22"/>
              </w:rPr>
              <w:t>Sudoeste</w:t>
            </w:r>
          </w:p>
        </w:tc>
        <w:tc>
          <w:tcPr>
            <w:tcW w:w="1105" w:type="dxa"/>
            <w:tcMar>
              <w:top w:w="80" w:type="dxa"/>
              <w:left w:w="100" w:type="dxa"/>
              <w:bottom w:w="80" w:type="dxa"/>
              <w:right w:w="100" w:type="dxa"/>
            </w:tcMar>
          </w:tcPr>
          <w:p>
            <w:pPr>
              <w:keepNext/>
              <w:jc w:val="center"/>
            </w:pPr>
            <w:r>
              <w:rPr>
                <w:sz w:val="22"/>
                <w:szCs w:val="22"/>
              </w:rPr>
              <w:t>19</w:t>
            </w:r>
          </w:p>
        </w:tc>
        <w:tc>
          <w:tcPr>
            <w:tcW w:w="1445" w:type="dxa"/>
            <w:tcMar>
              <w:top w:w="80" w:type="dxa"/>
              <w:left w:w="100" w:type="dxa"/>
              <w:bottom w:w="80" w:type="dxa"/>
              <w:right w:w="100" w:type="dxa"/>
            </w:tcMar>
          </w:tcPr>
          <w:p>
            <w:pPr>
              <w:keepNext/>
              <w:jc w:val="center"/>
            </w:pPr>
            <w:r>
              <w:rPr>
                <w:sz w:val="22"/>
                <w:szCs w:val="22"/>
              </w:rPr>
              <w:t>1.076</w:t>
            </w:r>
          </w:p>
        </w:tc>
        <w:tc>
          <w:tcPr>
            <w:tcW w:w="1189" w:type="dxa"/>
            <w:tcMar>
              <w:top w:w="80" w:type="dxa"/>
              <w:left w:w="100" w:type="dxa"/>
              <w:bottom w:w="80" w:type="dxa"/>
              <w:right w:w="100" w:type="dxa"/>
            </w:tcMar>
          </w:tcPr>
          <w:p>
            <w:pPr>
              <w:keepNext/>
              <w:jc w:val="center"/>
            </w:pPr>
            <w:r>
              <w:rPr>
                <w:sz w:val="22"/>
                <w:szCs w:val="22"/>
              </w:rPr>
              <w:t>1.729</w:t>
            </w:r>
          </w:p>
        </w:tc>
        <w:tc>
          <w:tcPr>
            <w:tcW w:w="1189" w:type="dxa"/>
            <w:tcMar>
              <w:top w:w="80" w:type="dxa"/>
              <w:left w:w="100" w:type="dxa"/>
              <w:bottom w:w="80" w:type="dxa"/>
              <w:right w:w="100" w:type="dxa"/>
            </w:tcMar>
          </w:tcPr>
          <w:p>
            <w:pPr>
              <w:keepNext/>
              <w:jc w:val="center"/>
            </w:pPr>
            <w:r>
              <w:rPr>
                <w:sz w:val="22"/>
                <w:szCs w:val="22"/>
              </w:rPr>
              <w:t>1.105</w:t>
            </w:r>
          </w:p>
        </w:tc>
        <w:tc>
          <w:tcPr>
            <w:tcW w:w="1022" w:type="dxa"/>
            <w:tcMar>
              <w:top w:w="80" w:type="dxa"/>
              <w:left w:w="100" w:type="dxa"/>
              <w:bottom w:w="80" w:type="dxa"/>
              <w:right w:w="100" w:type="dxa"/>
            </w:tcMar>
          </w:tcPr>
          <w:p>
            <w:pPr>
              <w:keepNext/>
              <w:jc w:val="center"/>
            </w:pPr>
            <w:r>
              <w:rPr>
                <w:sz w:val="22"/>
                <w:szCs w:val="22"/>
              </w:rPr>
              <w:t>−36%</w:t>
            </w:r>
          </w:p>
        </w:tc>
      </w:tr>
      <w:tr>
        <w:trPr>
          <w:cantSplit/>
        </w:trPr>
        <w:tc>
          <w:tcPr>
            <w:tcW w:w="2550" w:type="dxa"/>
            <w:tcMar>
              <w:top w:w="80" w:type="dxa"/>
              <w:left w:w="100" w:type="dxa"/>
              <w:bottom w:w="80" w:type="dxa"/>
              <w:right w:w="100" w:type="dxa"/>
            </w:tcMar>
          </w:tcPr>
          <w:p>
            <w:pPr>
              <w:keepNext/>
            </w:pPr>
            <w:r>
              <w:rPr>
                <w:sz w:val="22"/>
                <w:szCs w:val="22"/>
              </w:rPr>
              <w:t>Centro Ocidental</w:t>
            </w:r>
          </w:p>
        </w:tc>
        <w:tc>
          <w:tcPr>
            <w:tcW w:w="1105" w:type="dxa"/>
            <w:tcMar>
              <w:top w:w="80" w:type="dxa"/>
              <w:left w:w="100" w:type="dxa"/>
              <w:bottom w:w="80" w:type="dxa"/>
              <w:right w:w="100" w:type="dxa"/>
            </w:tcMar>
          </w:tcPr>
          <w:p>
            <w:pPr>
              <w:keepNext/>
              <w:jc w:val="center"/>
            </w:pPr>
            <w:r>
              <w:rPr>
                <w:sz w:val="22"/>
                <w:szCs w:val="22"/>
              </w:rPr>
              <w:t>31</w:t>
            </w:r>
          </w:p>
        </w:tc>
        <w:tc>
          <w:tcPr>
            <w:tcW w:w="1445" w:type="dxa"/>
            <w:tcMar>
              <w:top w:w="80" w:type="dxa"/>
              <w:left w:w="100" w:type="dxa"/>
              <w:bottom w:w="80" w:type="dxa"/>
              <w:right w:w="100" w:type="dxa"/>
            </w:tcMar>
          </w:tcPr>
          <w:p>
            <w:pPr>
              <w:keepNext/>
              <w:jc w:val="center"/>
            </w:pPr>
            <w:r>
              <w:rPr>
                <w:sz w:val="22"/>
                <w:szCs w:val="22"/>
              </w:rPr>
              <w:t>926</w:t>
            </w:r>
          </w:p>
        </w:tc>
        <w:tc>
          <w:tcPr>
            <w:tcW w:w="1189" w:type="dxa"/>
            <w:tcMar>
              <w:top w:w="80" w:type="dxa"/>
              <w:left w:w="100" w:type="dxa"/>
              <w:bottom w:w="80" w:type="dxa"/>
              <w:right w:w="100" w:type="dxa"/>
            </w:tcMar>
          </w:tcPr>
          <w:p>
            <w:pPr>
              <w:keepNext/>
              <w:jc w:val="center"/>
            </w:pPr>
            <w:r>
              <w:rPr>
                <w:sz w:val="22"/>
                <w:szCs w:val="22"/>
              </w:rPr>
              <w:t>2.036</w:t>
            </w:r>
          </w:p>
        </w:tc>
        <w:tc>
          <w:tcPr>
            <w:tcW w:w="1189" w:type="dxa"/>
            <w:tcMar>
              <w:top w:w="80" w:type="dxa"/>
              <w:left w:w="100" w:type="dxa"/>
              <w:bottom w:w="80" w:type="dxa"/>
              <w:right w:w="100" w:type="dxa"/>
            </w:tcMar>
          </w:tcPr>
          <w:p>
            <w:pPr>
              <w:keepNext/>
              <w:jc w:val="center"/>
            </w:pPr>
            <w:r>
              <w:rPr>
                <w:sz w:val="22"/>
                <w:szCs w:val="22"/>
              </w:rPr>
              <w:t>2.130</w:t>
            </w:r>
          </w:p>
        </w:tc>
        <w:tc>
          <w:tcPr>
            <w:tcW w:w="1022" w:type="dxa"/>
            <w:tcMar>
              <w:top w:w="80" w:type="dxa"/>
              <w:left w:w="100" w:type="dxa"/>
              <w:bottom w:w="80" w:type="dxa"/>
              <w:right w:w="100" w:type="dxa"/>
            </w:tcMar>
          </w:tcPr>
          <w:p>
            <w:pPr>
              <w:keepNext/>
              <w:jc w:val="center"/>
            </w:pPr>
            <w:r>
              <w:rPr>
                <w:sz w:val="22"/>
                <w:szCs w:val="22"/>
              </w:rPr>
              <w:t>+5%</w:t>
            </w:r>
          </w:p>
        </w:tc>
      </w:tr>
      <w:tr>
        <w:trPr>
          <w:cantSplit/>
        </w:trPr>
        <w:tc>
          <w:tcPr>
            <w:tcW w:w="2550" w:type="dxa"/>
            <w:tcMar>
              <w:top w:w="80" w:type="dxa"/>
              <w:left w:w="100" w:type="dxa"/>
              <w:bottom w:w="80" w:type="dxa"/>
              <w:right w:w="100" w:type="dxa"/>
            </w:tcMar>
          </w:tcPr>
          <w:p>
            <w:pPr>
              <w:keepNext/>
            </w:pPr>
            <w:r>
              <w:rPr>
                <w:sz w:val="22"/>
                <w:szCs w:val="22"/>
              </w:rPr>
              <w:t>Sudeste</w:t>
            </w:r>
          </w:p>
        </w:tc>
        <w:tc>
          <w:tcPr>
            <w:tcW w:w="1105" w:type="dxa"/>
            <w:tcMar>
              <w:top w:w="80" w:type="dxa"/>
              <w:left w:w="100" w:type="dxa"/>
              <w:bottom w:w="80" w:type="dxa"/>
              <w:right w:w="100" w:type="dxa"/>
            </w:tcMar>
          </w:tcPr>
          <w:p>
            <w:pPr>
              <w:keepNext/>
              <w:jc w:val="center"/>
            </w:pPr>
            <w:r>
              <w:rPr>
                <w:sz w:val="22"/>
                <w:szCs w:val="22"/>
              </w:rPr>
              <w:t>25</w:t>
            </w:r>
          </w:p>
        </w:tc>
        <w:tc>
          <w:tcPr>
            <w:tcW w:w="1445" w:type="dxa"/>
            <w:tcMar>
              <w:top w:w="80" w:type="dxa"/>
              <w:left w:w="100" w:type="dxa"/>
              <w:bottom w:w="80" w:type="dxa"/>
              <w:right w:w="100" w:type="dxa"/>
            </w:tcMar>
          </w:tcPr>
          <w:p>
            <w:pPr>
              <w:keepNext/>
              <w:jc w:val="center"/>
            </w:pPr>
            <w:r>
              <w:rPr>
                <w:sz w:val="22"/>
                <w:szCs w:val="22"/>
              </w:rPr>
              <w:t>632</w:t>
            </w:r>
          </w:p>
        </w:tc>
        <w:tc>
          <w:tcPr>
            <w:tcW w:w="1189" w:type="dxa"/>
            <w:tcMar>
              <w:top w:w="80" w:type="dxa"/>
              <w:left w:w="100" w:type="dxa"/>
              <w:bottom w:w="80" w:type="dxa"/>
              <w:right w:w="100" w:type="dxa"/>
            </w:tcMar>
          </w:tcPr>
          <w:p>
            <w:pPr>
              <w:keepNext/>
              <w:jc w:val="center"/>
            </w:pPr>
            <w:r>
              <w:rPr>
                <w:sz w:val="22"/>
                <w:szCs w:val="22"/>
              </w:rPr>
              <w:t>2.104</w:t>
            </w:r>
          </w:p>
        </w:tc>
        <w:tc>
          <w:tcPr>
            <w:tcW w:w="1189" w:type="dxa"/>
            <w:tcMar>
              <w:top w:w="80" w:type="dxa"/>
              <w:left w:w="100" w:type="dxa"/>
              <w:bottom w:w="80" w:type="dxa"/>
              <w:right w:w="100" w:type="dxa"/>
            </w:tcMar>
          </w:tcPr>
          <w:p>
            <w:pPr>
              <w:keepNext/>
              <w:jc w:val="center"/>
            </w:pPr>
            <w:r>
              <w:rPr>
                <w:sz w:val="22"/>
                <w:szCs w:val="22"/>
              </w:rPr>
              <w:t>1.549</w:t>
            </w:r>
          </w:p>
        </w:tc>
        <w:tc>
          <w:tcPr>
            <w:tcW w:w="1022" w:type="dxa"/>
            <w:tcMar>
              <w:top w:w="80" w:type="dxa"/>
              <w:left w:w="100" w:type="dxa"/>
              <w:bottom w:w="80" w:type="dxa"/>
              <w:right w:w="100" w:type="dxa"/>
            </w:tcMar>
          </w:tcPr>
          <w:p>
            <w:pPr>
              <w:keepNext/>
              <w:jc w:val="center"/>
            </w:pPr>
            <w:r>
              <w:rPr>
                <w:sz w:val="22"/>
                <w:szCs w:val="22"/>
              </w:rPr>
              <w:t>−26%</w:t>
            </w:r>
          </w:p>
        </w:tc>
      </w:tr>
      <w:tr>
        <w:trPr>
          <w:cantSplit/>
        </w:trPr>
        <w:tc>
          <w:tcPr>
            <w:tcW w:w="2550" w:type="dxa"/>
            <w:tcMar>
              <w:top w:w="80" w:type="dxa"/>
              <w:left w:w="100" w:type="dxa"/>
              <w:bottom w:w="80" w:type="dxa"/>
              <w:right w:w="100" w:type="dxa"/>
            </w:tcMar>
          </w:tcPr>
          <w:p>
            <w:pPr>
              <w:keepNext/>
            </w:pPr>
            <w:r>
              <w:rPr>
                <w:sz w:val="22"/>
                <w:szCs w:val="22"/>
              </w:rPr>
              <w:t>Nordeste</w:t>
            </w:r>
          </w:p>
        </w:tc>
        <w:tc>
          <w:tcPr>
            <w:tcW w:w="1105" w:type="dxa"/>
            <w:tcMar>
              <w:top w:w="80" w:type="dxa"/>
              <w:left w:w="100" w:type="dxa"/>
              <w:bottom w:w="80" w:type="dxa"/>
              <w:right w:w="100" w:type="dxa"/>
            </w:tcMar>
          </w:tcPr>
          <w:p>
            <w:pPr>
              <w:keepNext/>
              <w:jc w:val="center"/>
            </w:pPr>
            <w:r>
              <w:rPr>
                <w:sz w:val="22"/>
                <w:szCs w:val="22"/>
              </w:rPr>
              <w:t>43</w:t>
            </w:r>
          </w:p>
        </w:tc>
        <w:tc>
          <w:tcPr>
            <w:tcW w:w="1445" w:type="dxa"/>
            <w:tcMar>
              <w:top w:w="80" w:type="dxa"/>
              <w:left w:w="100" w:type="dxa"/>
              <w:bottom w:w="80" w:type="dxa"/>
              <w:right w:w="100" w:type="dxa"/>
            </w:tcMar>
          </w:tcPr>
          <w:p>
            <w:pPr>
              <w:keepNext/>
              <w:jc w:val="center"/>
            </w:pPr>
            <w:r>
              <w:rPr>
                <w:sz w:val="22"/>
                <w:szCs w:val="22"/>
              </w:rPr>
              <w:t>348</w:t>
            </w:r>
          </w:p>
        </w:tc>
        <w:tc>
          <w:tcPr>
            <w:tcW w:w="1189" w:type="dxa"/>
            <w:tcMar>
              <w:top w:w="80" w:type="dxa"/>
              <w:left w:w="100" w:type="dxa"/>
              <w:bottom w:w="80" w:type="dxa"/>
              <w:right w:w="100" w:type="dxa"/>
            </w:tcMar>
          </w:tcPr>
          <w:p>
            <w:pPr>
              <w:keepNext/>
              <w:jc w:val="center"/>
            </w:pPr>
            <w:r>
              <w:rPr>
                <w:sz w:val="22"/>
                <w:szCs w:val="22"/>
              </w:rPr>
              <w:t>2.998</w:t>
            </w:r>
          </w:p>
        </w:tc>
        <w:tc>
          <w:tcPr>
            <w:tcW w:w="1189" w:type="dxa"/>
            <w:tcMar>
              <w:top w:w="80" w:type="dxa"/>
              <w:left w:w="100" w:type="dxa"/>
              <w:bottom w:w="80" w:type="dxa"/>
              <w:right w:w="100" w:type="dxa"/>
            </w:tcMar>
          </w:tcPr>
          <w:p>
            <w:pPr>
              <w:keepNext/>
              <w:jc w:val="center"/>
            </w:pPr>
            <w:r>
              <w:rPr>
                <w:sz w:val="22"/>
                <w:szCs w:val="22"/>
              </w:rPr>
              <w:t>2.775</w:t>
            </w:r>
          </w:p>
        </w:tc>
        <w:tc>
          <w:tcPr>
            <w:tcW w:w="1022" w:type="dxa"/>
            <w:tcMar>
              <w:top w:w="80" w:type="dxa"/>
              <w:left w:w="100" w:type="dxa"/>
              <w:bottom w:w="80" w:type="dxa"/>
              <w:right w:w="100" w:type="dxa"/>
            </w:tcMar>
          </w:tcPr>
          <w:p>
            <w:pPr>
              <w:keepNext/>
              <w:jc w:val="center"/>
            </w:pPr>
            <w:r>
              <w:rPr>
                <w:sz w:val="22"/>
                <w:szCs w:val="22"/>
              </w:rPr>
              <w:t>−7%</w:t>
            </w:r>
          </w:p>
        </w:tc>
      </w:tr>
      <w:tr>
        <w:trPr>
          <w:cantSplit/>
        </w:trPr>
        <w:tc>
          <w:tcPr>
            <w:tcW w:w="2550" w:type="dxa"/>
            <w:tcMar>
              <w:top w:w="80" w:type="dxa"/>
              <w:left w:w="100" w:type="dxa"/>
              <w:bottom w:w="80" w:type="dxa"/>
              <w:right w:w="100" w:type="dxa"/>
            </w:tcMar>
          </w:tcPr>
          <w:p>
            <w:pPr>
              <w:keepNext/>
            </w:pPr>
            <w:r>
              <w:rPr>
                <w:sz w:val="22"/>
                <w:szCs w:val="22"/>
              </w:rPr>
              <w:t>Centro Oriental</w:t>
            </w:r>
          </w:p>
        </w:tc>
        <w:tc>
          <w:tcPr>
            <w:tcW w:w="1105" w:type="dxa"/>
            <w:tcMar>
              <w:top w:w="80" w:type="dxa"/>
              <w:left w:w="100" w:type="dxa"/>
              <w:bottom w:w="80" w:type="dxa"/>
              <w:right w:w="100" w:type="dxa"/>
            </w:tcMar>
          </w:tcPr>
          <w:p>
            <w:pPr>
              <w:keepNext/>
              <w:jc w:val="center"/>
            </w:pPr>
            <w:r>
              <w:rPr>
                <w:sz w:val="22"/>
                <w:szCs w:val="22"/>
              </w:rPr>
              <w:t>51</w:t>
            </w:r>
          </w:p>
        </w:tc>
        <w:tc>
          <w:tcPr>
            <w:tcW w:w="1445" w:type="dxa"/>
            <w:tcMar>
              <w:top w:w="80" w:type="dxa"/>
              <w:left w:w="100" w:type="dxa"/>
              <w:bottom w:w="80" w:type="dxa"/>
              <w:right w:w="100" w:type="dxa"/>
            </w:tcMar>
          </w:tcPr>
          <w:p>
            <w:pPr>
              <w:keepNext/>
              <w:jc w:val="center"/>
            </w:pPr>
            <w:r>
              <w:rPr>
                <w:sz w:val="22"/>
                <w:szCs w:val="22"/>
              </w:rPr>
              <w:t>327</w:t>
            </w:r>
          </w:p>
        </w:tc>
        <w:tc>
          <w:tcPr>
            <w:tcW w:w="1189" w:type="dxa"/>
            <w:tcMar>
              <w:top w:w="80" w:type="dxa"/>
              <w:left w:w="100" w:type="dxa"/>
              <w:bottom w:w="80" w:type="dxa"/>
              <w:right w:w="100" w:type="dxa"/>
            </w:tcMar>
          </w:tcPr>
          <w:p>
            <w:pPr>
              <w:keepNext/>
              <w:jc w:val="center"/>
            </w:pPr>
            <w:r>
              <w:rPr>
                <w:sz w:val="22"/>
                <w:szCs w:val="22"/>
              </w:rPr>
              <w:t>2.124</w:t>
            </w:r>
          </w:p>
        </w:tc>
        <w:tc>
          <w:tcPr>
            <w:tcW w:w="1189" w:type="dxa"/>
            <w:tcMar>
              <w:top w:w="80" w:type="dxa"/>
              <w:left w:w="100" w:type="dxa"/>
              <w:bottom w:w="80" w:type="dxa"/>
              <w:right w:w="100" w:type="dxa"/>
            </w:tcMar>
          </w:tcPr>
          <w:p>
            <w:pPr>
              <w:keepNext/>
              <w:jc w:val="center"/>
            </w:pPr>
            <w:r>
              <w:rPr>
                <w:sz w:val="22"/>
                <w:szCs w:val="22"/>
              </w:rPr>
              <w:t>1.945</w:t>
            </w:r>
          </w:p>
        </w:tc>
        <w:tc>
          <w:tcPr>
            <w:tcW w:w="1022" w:type="dxa"/>
            <w:tcMar>
              <w:top w:w="80" w:type="dxa"/>
              <w:left w:w="100" w:type="dxa"/>
              <w:bottom w:w="80" w:type="dxa"/>
              <w:right w:w="100" w:type="dxa"/>
            </w:tcMar>
          </w:tcPr>
          <w:p>
            <w:pPr>
              <w:keepNext/>
              <w:jc w:val="center"/>
            </w:pPr>
            <w:r>
              <w:rPr>
                <w:sz w:val="22"/>
                <w:szCs w:val="22"/>
              </w:rPr>
              <w:t>−8%</w:t>
            </w:r>
          </w:p>
        </w:tc>
      </w:tr>
      <w:tr>
        <w:trPr>
          <w:cantSplit/>
        </w:trPr>
        <w:tc>
          <w:tcPr>
            <w:tcW w:w="2550" w:type="dxa"/>
            <w:tcMar>
              <w:top w:w="80" w:type="dxa"/>
              <w:left w:w="100" w:type="dxa"/>
              <w:bottom w:w="80" w:type="dxa"/>
              <w:right w:w="100" w:type="dxa"/>
            </w:tcMar>
          </w:tcPr>
          <w:p>
            <w:pPr>
              <w:keepNext/>
            </w:pPr>
            <w:r>
              <w:rPr>
                <w:sz w:val="22"/>
                <w:szCs w:val="22"/>
              </w:rPr>
              <w:t>Metropolitana de Porto Alegre</w:t>
            </w:r>
          </w:p>
        </w:tc>
        <w:tc>
          <w:tcPr>
            <w:tcW w:w="1105" w:type="dxa"/>
            <w:tcMar>
              <w:top w:w="80" w:type="dxa"/>
              <w:left w:w="100" w:type="dxa"/>
              <w:bottom w:w="80" w:type="dxa"/>
              <w:right w:w="100" w:type="dxa"/>
            </w:tcMar>
          </w:tcPr>
          <w:p>
            <w:pPr>
              <w:keepNext/>
              <w:jc w:val="center"/>
            </w:pPr>
            <w:r>
              <w:rPr>
                <w:sz w:val="22"/>
                <w:szCs w:val="22"/>
              </w:rPr>
              <w:t>49</w:t>
            </w:r>
          </w:p>
        </w:tc>
        <w:tc>
          <w:tcPr>
            <w:tcW w:w="1445" w:type="dxa"/>
            <w:tcMar>
              <w:top w:w="80" w:type="dxa"/>
              <w:left w:w="100" w:type="dxa"/>
              <w:bottom w:w="80" w:type="dxa"/>
              <w:right w:w="100" w:type="dxa"/>
            </w:tcMar>
          </w:tcPr>
          <w:p>
            <w:pPr>
              <w:keepNext/>
              <w:jc w:val="center"/>
            </w:pPr>
            <w:r>
              <w:rPr>
                <w:sz w:val="22"/>
                <w:szCs w:val="22"/>
              </w:rPr>
              <w:t>192</w:t>
            </w:r>
          </w:p>
        </w:tc>
        <w:tc>
          <w:tcPr>
            <w:tcW w:w="1189" w:type="dxa"/>
            <w:tcMar>
              <w:top w:w="80" w:type="dxa"/>
              <w:left w:w="100" w:type="dxa"/>
              <w:bottom w:w="80" w:type="dxa"/>
              <w:right w:w="100" w:type="dxa"/>
            </w:tcMar>
          </w:tcPr>
          <w:p>
            <w:pPr>
              <w:keepNext/>
              <w:jc w:val="center"/>
            </w:pPr>
            <w:r>
              <w:rPr>
                <w:sz w:val="22"/>
                <w:szCs w:val="22"/>
              </w:rPr>
              <w:t>2.470</w:t>
            </w:r>
          </w:p>
        </w:tc>
        <w:tc>
          <w:tcPr>
            <w:tcW w:w="1189" w:type="dxa"/>
            <w:tcMar>
              <w:top w:w="80" w:type="dxa"/>
              <w:left w:w="100" w:type="dxa"/>
              <w:bottom w:w="80" w:type="dxa"/>
              <w:right w:w="100" w:type="dxa"/>
            </w:tcMar>
          </w:tcPr>
          <w:p>
            <w:pPr>
              <w:keepNext/>
              <w:jc w:val="center"/>
            </w:pPr>
            <w:r>
              <w:rPr>
                <w:sz w:val="22"/>
                <w:szCs w:val="22"/>
              </w:rPr>
              <w:t>2.501</w:t>
            </w:r>
          </w:p>
        </w:tc>
        <w:tc>
          <w:tcPr>
            <w:tcW w:w="1022" w:type="dxa"/>
            <w:tcMar>
              <w:top w:w="80" w:type="dxa"/>
              <w:left w:w="100" w:type="dxa"/>
              <w:bottom w:w="80" w:type="dxa"/>
              <w:right w:w="100" w:type="dxa"/>
            </w:tcMar>
          </w:tcPr>
          <w:p>
            <w:pPr>
              <w:keepNext/>
              <w:jc w:val="center"/>
            </w:pPr>
            <w:r>
              <w:rPr>
                <w:sz w:val="22"/>
                <w:szCs w:val="22"/>
              </w:rPr>
              <w:t>+1%</w:t>
            </w:r>
          </w:p>
        </w:tc>
      </w:tr>
    </w:tbl>
    <w:p>
      <w:pPr>
        <w:keepNext/>
        <w:spacing w:before="280" w:after="160"/>
      </w:pPr>
      <w:bookmarkStart w:id="30" w:name="_Toc244263408"/>
      <w:r>
        <w:rPr>
          <w:b/>
          <w:bCs/>
          <w:sz w:val="24"/>
          <w:szCs w:val="24"/>
        </w:rPr>
        <w:t>6.4 Comparação com a estimativa do IBGE e resultado oficial</w:t>
      </w:r>
      <w:bookmarkEnd w:id="30"/>
    </w:p>
    <w:p>
      <w:pPr>
        <w:spacing w:after="200" w:line="276" w:lineRule="auto"/>
        <w:ind w:firstLine="720"/>
        <w:jc w:val="both"/>
      </w:pPr>
      <w:r>
        <w:rPr>
          <w:sz w:val="24"/>
          <w:szCs w:val="24"/>
        </w:rPr>
        <w:t xml:space="preserve">O resultado oficial da safra 2026 por município (PAM) só será divulgado em setembro de 2027. A referência disponível é o LSPA de setembro de 2026 [IBGE 2026c], que estima </w:t>
      </w:r>
      <w:r>
        <w:rPr>
          <w:b/>
          <w:bCs/>
          <w:sz w:val="24"/>
          <w:szCs w:val="24"/>
        </w:rPr>
        <w:t>2.734 kg/ha</w:t>
      </w:r>
      <w:r>
        <w:rPr>
          <w:sz w:val="24"/>
          <w:szCs w:val="24"/>
        </w:rPr>
        <w:t xml:space="preserve"> e, em 2007–2025, ficou em média a 7 kg/ha da PAM (diferença máxima de 35 kg/ha). Em relação a ele, o FL subestimou a safra em cerca de 640 kg/ha (−23%), fora do intervalo de 80%, e todos os cinco modelos ficaram abaixo do LSPA (Figura 5).</w:t>
      </w:r>
    </w:p>
    <w:p>
      <w:pPr>
        <w:spacing w:after="200" w:line="276" w:lineRule="auto"/>
        <w:ind w:firstLine="720"/>
        <w:jc w:val="both"/>
      </w:pPr>
      <w:r>
        <w:rPr>
          <w:sz w:val="24"/>
          <w:szCs w:val="24"/>
        </w:rPr>
        <w:t>É o primeiro teste totalmente fora da amostra do projeto, e indica que o clima de 2026 descrito pelo NASA POWER sugere um ano mais seco do que a safra mostrou – um problema da qualidade do clima de entrada, e não só do modelo. A perspectiva feita no plantio da safra 2026 (outubro de 2025), com os cenários climáticos descritos na Seção 7, indicava mediana de 2.491 kg/ha e percentil 90 de 2.989 kg/ha, mais perto do LSPA do que a previsão com o clima observado. A PAM de 2026 fechará a comparação por município.</w:t>
      </w:r>
    </w:p>
    <w:p>
      <w:pPr>
        <w:keepNext/>
        <w:spacing w:before="200" w:after="60"/>
        <w:jc w:val="center"/>
      </w:pPr>
      <w:r>
        <w:rPr>
          <w:noProof/>
        </w:rPr>
        <w:drawing>
          <wp:inline distT="0" distB="0" distL="0" distR="0" wp14:anchorId="0289A5E4" wp14:editId="75ADC8EF">
            <wp:extent cx="5400040" cy="2186793"/>
            <wp:effectExtent l="0" t="0" r="0" b="0"/>
            <wp:docPr id="842885648" name="Imagem 842885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040" cy="2186793"/>
                    </a:xfrm>
                    <a:prstGeom prst="rect">
                      <a:avLst/>
                    </a:prstGeom>
                  </pic:spPr>
                </pic:pic>
              </a:graphicData>
            </a:graphic>
          </wp:inline>
        </w:drawing>
      </w:r>
    </w:p>
    <w:p>
      <w:pPr>
        <w:spacing w:before="120" w:after="300"/>
        <w:jc w:val="center"/>
      </w:pPr>
      <w:r>
        <w:rPr>
          <w:i/>
          <w:iCs/>
          <w:sz w:val="22"/>
          <w:szCs w:val="22"/>
        </w:rPr>
        <w:t xml:space="preserve">Figura 5 – Rendimento médio estadual observado, previsto na validação, previsão da safra 2026 e cenários da safra 2027 (FL). Fonte: elaboração própria a partir de IBGE, NASA POWER e NOAA (2026).</w:t>
      </w:r>
    </w:p>
    <w:p>
      <w:pPr>
        <w:keepNext/>
      </w:pPr>
      <w:bookmarkStart w:id="31" w:name="_Toc244263409"/>
      <w:r>
        <w:rPr>
          <w:b/>
          <w:bCs/>
          <w:sz w:val="28"/>
          <w:szCs w:val="28"/>
        </w:rPr>
        <w:t>7. Perspectiva da safra 2027</w:t>
      </w:r>
      <w:bookmarkEnd w:id="31"/>
    </w:p>
    <w:p>
      <w:pPr>
        <w:keepNext/>
        <w:spacing w:before="280" w:after="160"/>
      </w:pPr>
      <w:bookmarkStart w:id="32" w:name="_Toc244263410"/>
      <w:r>
        <w:rPr>
          <w:b/>
          <w:bCs/>
          <w:sz w:val="24"/>
          <w:szCs w:val="24"/>
        </w:rPr>
        <w:t>7.1 Premissas</w:t>
      </w:r>
      <w:bookmarkEnd w:id="32"/>
    </w:p>
    <w:p>
      <w:pPr>
        <w:spacing w:after="200" w:line="276" w:lineRule="auto"/>
        <w:ind w:firstLine="720"/>
        <w:jc w:val="both"/>
      </w:pPr>
      <w:r>
        <w:rPr>
          <w:sz w:val="24"/>
          <w:szCs w:val="24"/>
        </w:rPr>
        <w:t>Em outubro de 2026, a soja de 2027 está sendo semeada. O patamar já é conhecido – média de 2021–2025, de 2.300 kg/ha, ainda baixo por incluir as secas de 2022, 2023 e 2025 –, mas o clima de dezembro a março, o que mais pesa no FL, ainda não aconteceu. O clima não é previsto: o FL é aplicado ao patamar de 2027 com o clima observado em cada uma das 21 safras de 2006 a 2026 (cenários), separados pela fase do ENOS da safra de origem (ONI médio ≥ +0,5: El Niño; ≤ −0,5: La Niña). Como o ONI estava em +2,16 em jul</w:t>
      </w:r>
      <w:r>
        <w:rPr>
          <w:sz w:val="24"/>
          <w:szCs w:val="24"/>
        </w:rPr>
        <w:t xml:space="preserve">ho–setembro de 2026 e subindo, a safra 2027 deve ocorrer sob </w:t>
      </w:r>
      <w:r>
        <w:rPr>
          <w:b/>
          <w:bCs/>
          <w:sz w:val="24"/>
          <w:szCs w:val="24"/>
        </w:rPr>
        <w:t>El Niño</w:t>
      </w:r>
      <w:r>
        <w:rPr>
          <w:sz w:val="24"/>
          <w:szCs w:val="24"/>
        </w:rPr>
        <w:t>, fase que no RS costuma trazer chuva acima da média no verão e que teve o maior rendimento médio na série (Figura 1).</w:t>
      </w:r>
    </w:p>
    <w:p>
      <w:pPr>
        <w:keepNext/>
        <w:spacing w:before="280" w:after="160"/>
      </w:pPr>
      <w:bookmarkStart w:id="33" w:name="_Toc244263411"/>
      <w:r>
        <w:rPr>
          <w:b/>
          <w:bCs/>
          <w:sz w:val="24"/>
          <w:szCs w:val="24"/>
        </w:rPr>
        <w:t>7.2 Perspectiva estadual</w:t>
      </w:r>
      <w:bookmarkEnd w:id="33"/>
    </w:p>
    <w:p>
      <w:pPr>
        <w:spacing w:after="200" w:line="276" w:lineRule="auto"/>
        <w:ind w:firstLine="720"/>
        <w:jc w:val="both"/>
      </w:pPr>
      <w:r>
        <w:rPr>
          <w:sz w:val="24"/>
          <w:szCs w:val="24"/>
        </w:rPr>
        <w:t xml:space="preserve">Com todos os cenários, a mediana é de 2.522 kg/ha. Nos sete cenários de El Niño (clima de 2007, 2010, 2015, 2016, 2019, 2020 e 2024), a mediana sobe para </w:t>
      </w:r>
      <w:r>
        <w:rPr>
          <w:b/>
          <w:bCs/>
          <w:sz w:val="24"/>
          <w:szCs w:val="24"/>
        </w:rPr>
        <w:t>2.831 kg/ha</w:t>
      </w:r>
      <w:r>
        <w:rPr>
          <w:sz w:val="24"/>
          <w:szCs w:val="24"/>
        </w:rPr>
        <w:t>, acima do patamar e próxima das boas safras recentes (Tabela 16). O risco de quebra é menor, mas não nulo: o cenário de 2020, classificado como El Niño, resulta em 1.746 kg/ha. No outro extremo, o clima de La Niña de 2022 levaria a 1.195 kg/ha. Como o FL subestimou 2026, essa perspectiva pode estar pessimista.</w:t>
      </w:r>
    </w:p>
    <w:p>
      <w:pPr>
        <w:keepNext/>
        <w:spacing w:before="120" w:after="300"/>
        <w:jc w:val="center"/>
      </w:pPr>
      <w:r>
        <w:rPr>
          <w:i/>
          <w:iCs/>
          <w:sz w:val="22"/>
          <w:szCs w:val="22"/>
        </w:rPr>
        <w:t xml:space="preserve">Tabela 16 – Perspectiva do rendimento médio da soja no RS para a safra 2027 (kg/ha): FL aplicado ao patamar 2021–2025 com o clima de cada safra de 2006–2026. Fonte: elaboração própria a partir de NASA POWER, IBGE e NOAA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700"/>
        <w:gridCol w:w="1105"/>
        <w:gridCol w:w="1105"/>
        <w:gridCol w:w="1189"/>
        <w:gridCol w:w="1189"/>
        <w:gridCol w:w="1105"/>
        <w:gridCol w:w="1107"/>
      </w:tblGrid>
      <w:tr>
        <w:trPr>
          <w:cantSplit/>
          <w:tblHeader/>
        </w:trPr>
        <w:tc>
          <w:tcPr>
            <w:tcW w:w="1700" w:type="dxa"/>
            <w:shd w:val="clear" w:color="auto" w:fill="D9D9D9"/>
            <w:tcMar>
              <w:top w:w="80" w:type="dxa"/>
              <w:left w:w="100" w:type="dxa"/>
              <w:bottom w:w="80" w:type="dxa"/>
              <w:right w:w="100" w:type="dxa"/>
            </w:tcMar>
          </w:tcPr>
          <w:p>
            <w:pPr>
              <w:keepNext/>
              <w:jc w:val="center"/>
            </w:pPr>
            <w:r>
              <w:rPr>
                <w:b/>
                <w:bCs/>
                <w:sz w:val="22"/>
                <w:szCs w:val="22"/>
              </w:rPr>
              <w:t>Clima da safra</w:t>
            </w:r>
          </w:p>
        </w:tc>
        <w:tc>
          <w:tcPr>
            <w:tcW w:w="1105" w:type="dxa"/>
            <w:shd w:val="clear" w:color="auto" w:fill="D9D9D9"/>
            <w:tcMar>
              <w:top w:w="80" w:type="dxa"/>
              <w:left w:w="100" w:type="dxa"/>
              <w:bottom w:w="80" w:type="dxa"/>
              <w:right w:w="100" w:type="dxa"/>
            </w:tcMar>
          </w:tcPr>
          <w:p>
            <w:pPr>
              <w:keepNext/>
              <w:jc w:val="center"/>
            </w:pPr>
            <w:r>
              <w:rPr>
                <w:b/>
                <w:bCs/>
                <w:sz w:val="22"/>
                <w:szCs w:val="22"/>
              </w:rPr>
              <w:t>Cenários</w:t>
            </w:r>
          </w:p>
        </w:tc>
        <w:tc>
          <w:tcPr>
            <w:tcW w:w="1105" w:type="dxa"/>
            <w:shd w:val="clear" w:color="auto" w:fill="D9D9D9"/>
            <w:tcMar>
              <w:top w:w="80" w:type="dxa"/>
              <w:left w:w="100" w:type="dxa"/>
              <w:bottom w:w="80" w:type="dxa"/>
              <w:right w:w="100" w:type="dxa"/>
            </w:tcMar>
          </w:tcPr>
          <w:p>
            <w:pPr>
              <w:keepNext/>
              <w:jc w:val="center"/>
            </w:pPr>
            <w:r>
              <w:rPr>
                <w:b/>
                <w:bCs/>
                <w:sz w:val="22"/>
                <w:szCs w:val="22"/>
              </w:rPr>
              <w:t>Mínimo</w:t>
            </w:r>
          </w:p>
        </w:tc>
        <w:tc>
          <w:tcPr>
            <w:tcW w:w="1189" w:type="dxa"/>
            <w:shd w:val="clear" w:color="auto" w:fill="D9D9D9"/>
            <w:tcMar>
              <w:top w:w="80" w:type="dxa"/>
              <w:left w:w="100" w:type="dxa"/>
              <w:bottom w:w="80" w:type="dxa"/>
              <w:right w:w="100" w:type="dxa"/>
            </w:tcMar>
          </w:tcPr>
          <w:p>
            <w:pPr>
              <w:keepNext/>
              <w:jc w:val="center"/>
            </w:pPr>
            <w:r>
              <w:rPr>
                <w:b/>
                <w:bCs/>
                <w:sz w:val="22"/>
                <w:szCs w:val="22"/>
              </w:rPr>
              <w:t>Percentil 10</w:t>
            </w:r>
          </w:p>
        </w:tc>
        <w:tc>
          <w:tcPr>
            <w:tcW w:w="1189" w:type="dxa"/>
            <w:shd w:val="clear" w:color="auto" w:fill="D9D9D9"/>
            <w:tcMar>
              <w:top w:w="80" w:type="dxa"/>
              <w:left w:w="100" w:type="dxa"/>
              <w:bottom w:w="80" w:type="dxa"/>
              <w:right w:w="100" w:type="dxa"/>
            </w:tcMar>
          </w:tcPr>
          <w:p>
            <w:pPr>
              <w:keepNext/>
              <w:jc w:val="center"/>
            </w:pPr>
            <w:r>
              <w:rPr>
                <w:b/>
                <w:bCs/>
                <w:sz w:val="22"/>
                <w:szCs w:val="22"/>
              </w:rPr>
              <w:t>Mediana</w:t>
            </w:r>
          </w:p>
        </w:tc>
        <w:tc>
          <w:tcPr>
            <w:tcW w:w="1105" w:type="dxa"/>
            <w:shd w:val="clear" w:color="auto" w:fill="D9D9D9"/>
            <w:tcMar>
              <w:top w:w="80" w:type="dxa"/>
              <w:left w:w="100" w:type="dxa"/>
              <w:bottom w:w="80" w:type="dxa"/>
              <w:right w:w="100" w:type="dxa"/>
            </w:tcMar>
          </w:tcPr>
          <w:p>
            <w:pPr>
              <w:keepNext/>
              <w:jc w:val="center"/>
            </w:pPr>
            <w:r>
              <w:rPr>
                <w:b/>
                <w:bCs/>
                <w:sz w:val="22"/>
                <w:szCs w:val="22"/>
              </w:rPr>
              <w:t>Percentil 90</w:t>
            </w:r>
          </w:p>
        </w:tc>
        <w:tc>
          <w:tcPr>
            <w:tcW w:w="1107" w:type="dxa"/>
            <w:shd w:val="clear" w:color="auto" w:fill="D9D9D9"/>
            <w:tcMar>
              <w:top w:w="80" w:type="dxa"/>
              <w:left w:w="100" w:type="dxa"/>
              <w:bottom w:w="80" w:type="dxa"/>
              <w:right w:w="100" w:type="dxa"/>
            </w:tcMar>
          </w:tcPr>
          <w:p>
            <w:pPr>
              <w:keepNext/>
              <w:jc w:val="center"/>
            </w:pPr>
            <w:r>
              <w:rPr>
                <w:b/>
                <w:bCs/>
                <w:sz w:val="22"/>
                <w:szCs w:val="22"/>
              </w:rPr>
              <w:t>Máximo</w:t>
            </w:r>
          </w:p>
        </w:tc>
      </w:tr>
      <w:tr>
        <w:trPr>
          <w:cantSplit/>
        </w:trPr>
        <w:tc>
          <w:tcPr>
            <w:tcW w:w="1700" w:type="dxa"/>
            <w:tcMar>
              <w:top w:w="80" w:type="dxa"/>
              <w:left w:w="100" w:type="dxa"/>
              <w:bottom w:w="80" w:type="dxa"/>
              <w:right w:w="100" w:type="dxa"/>
            </w:tcMar>
          </w:tcPr>
          <w:p>
            <w:pPr>
              <w:keepNext/>
            </w:pPr>
            <w:r>
              <w:rPr>
                <w:sz w:val="22"/>
                <w:szCs w:val="22"/>
              </w:rPr>
              <w:t>Todos</w:t>
            </w:r>
          </w:p>
        </w:tc>
        <w:tc>
          <w:tcPr>
            <w:tcW w:w="1105" w:type="dxa"/>
            <w:tcMar>
              <w:top w:w="80" w:type="dxa"/>
              <w:left w:w="100" w:type="dxa"/>
              <w:bottom w:w="80" w:type="dxa"/>
              <w:right w:w="100" w:type="dxa"/>
            </w:tcMar>
          </w:tcPr>
          <w:p>
            <w:pPr>
              <w:keepNext/>
              <w:jc w:val="center"/>
            </w:pPr>
            <w:r>
              <w:rPr>
                <w:sz w:val="22"/>
                <w:szCs w:val="22"/>
              </w:rPr>
              <w:t>21</w:t>
            </w:r>
          </w:p>
        </w:tc>
        <w:tc>
          <w:tcPr>
            <w:tcW w:w="1105" w:type="dxa"/>
            <w:tcMar>
              <w:top w:w="80" w:type="dxa"/>
              <w:left w:w="100" w:type="dxa"/>
              <w:bottom w:w="80" w:type="dxa"/>
              <w:right w:w="100" w:type="dxa"/>
            </w:tcMar>
          </w:tcPr>
          <w:p>
            <w:pPr>
              <w:keepNext/>
              <w:jc w:val="center"/>
            </w:pPr>
            <w:r>
              <w:rPr>
                <w:sz w:val="22"/>
                <w:szCs w:val="22"/>
              </w:rPr>
              <w:t>1.195</w:t>
            </w:r>
          </w:p>
        </w:tc>
        <w:tc>
          <w:tcPr>
            <w:tcW w:w="1189" w:type="dxa"/>
            <w:tcMar>
              <w:top w:w="80" w:type="dxa"/>
              <w:left w:w="100" w:type="dxa"/>
              <w:bottom w:w="80" w:type="dxa"/>
              <w:right w:w="100" w:type="dxa"/>
            </w:tcMar>
          </w:tcPr>
          <w:p>
            <w:pPr>
              <w:keepNext/>
              <w:jc w:val="center"/>
            </w:pPr>
            <w:r>
              <w:rPr>
                <w:sz w:val="22"/>
                <w:szCs w:val="22"/>
              </w:rPr>
              <w:t>1.623</w:t>
            </w:r>
          </w:p>
        </w:tc>
        <w:tc>
          <w:tcPr>
            <w:tcW w:w="1189" w:type="dxa"/>
            <w:tcMar>
              <w:top w:w="80" w:type="dxa"/>
              <w:left w:w="100" w:type="dxa"/>
              <w:bottom w:w="80" w:type="dxa"/>
              <w:right w:w="100" w:type="dxa"/>
            </w:tcMar>
          </w:tcPr>
          <w:p>
            <w:pPr>
              <w:keepNext/>
              <w:jc w:val="center"/>
            </w:pPr>
            <w:r>
              <w:rPr>
                <w:sz w:val="22"/>
                <w:szCs w:val="22"/>
              </w:rPr>
              <w:t>2.522</w:t>
            </w:r>
          </w:p>
        </w:tc>
        <w:tc>
          <w:tcPr>
            <w:tcW w:w="1105" w:type="dxa"/>
            <w:tcMar>
              <w:top w:w="80" w:type="dxa"/>
              <w:left w:w="100" w:type="dxa"/>
              <w:bottom w:w="80" w:type="dxa"/>
              <w:right w:w="100" w:type="dxa"/>
            </w:tcMar>
          </w:tcPr>
          <w:p>
            <w:pPr>
              <w:keepNext/>
              <w:jc w:val="center"/>
            </w:pPr>
            <w:r>
              <w:rPr>
                <w:sz w:val="22"/>
                <w:szCs w:val="22"/>
              </w:rPr>
              <w:t>3.019</w:t>
            </w:r>
          </w:p>
        </w:tc>
        <w:tc>
          <w:tcPr>
            <w:tcW w:w="1107" w:type="dxa"/>
            <w:tcMar>
              <w:top w:w="80" w:type="dxa"/>
              <w:left w:w="100" w:type="dxa"/>
              <w:bottom w:w="80" w:type="dxa"/>
              <w:right w:w="100" w:type="dxa"/>
            </w:tcMar>
          </w:tcPr>
          <w:p>
            <w:pPr>
              <w:keepNext/>
              <w:jc w:val="center"/>
            </w:pPr>
            <w:r>
              <w:rPr>
                <w:sz w:val="22"/>
                <w:szCs w:val="22"/>
              </w:rPr>
              <w:t>3.077</w:t>
            </w:r>
          </w:p>
        </w:tc>
      </w:tr>
      <w:tr>
        <w:trPr>
          <w:cantSplit/>
        </w:trPr>
        <w:tc>
          <w:tcPr>
            <w:tcW w:w="1700" w:type="dxa"/>
            <w:tcMar>
              <w:top w:w="80" w:type="dxa"/>
              <w:left w:w="100" w:type="dxa"/>
              <w:bottom w:w="80" w:type="dxa"/>
              <w:right w:w="100" w:type="dxa"/>
            </w:tcMar>
          </w:tcPr>
          <w:p>
            <w:pPr>
              <w:keepNext/>
            </w:pPr>
            <w:r>
              <w:rPr>
                <w:b/>
                <w:bCs/>
                <w:sz w:val="22"/>
                <w:szCs w:val="22"/>
              </w:rPr>
              <w:t>El Niño</w:t>
            </w:r>
          </w:p>
        </w:tc>
        <w:tc>
          <w:tcPr>
            <w:tcW w:w="1105" w:type="dxa"/>
            <w:tcMar>
              <w:top w:w="80" w:type="dxa"/>
              <w:left w:w="100" w:type="dxa"/>
              <w:bottom w:w="80" w:type="dxa"/>
              <w:right w:w="100" w:type="dxa"/>
            </w:tcMar>
          </w:tcPr>
          <w:p>
            <w:pPr>
              <w:keepNext/>
              <w:jc w:val="center"/>
            </w:pPr>
            <w:r>
              <w:rPr>
                <w:b/>
                <w:bCs/>
                <w:sz w:val="22"/>
                <w:szCs w:val="22"/>
              </w:rPr>
              <w:t>7</w:t>
            </w:r>
          </w:p>
        </w:tc>
        <w:tc>
          <w:tcPr>
            <w:tcW w:w="1105" w:type="dxa"/>
            <w:tcMar>
              <w:top w:w="80" w:type="dxa"/>
              <w:left w:w="100" w:type="dxa"/>
              <w:bottom w:w="80" w:type="dxa"/>
              <w:right w:w="100" w:type="dxa"/>
            </w:tcMar>
          </w:tcPr>
          <w:p>
            <w:pPr>
              <w:keepNext/>
              <w:jc w:val="center"/>
            </w:pPr>
            <w:r>
              <w:rPr>
                <w:b/>
                <w:bCs/>
                <w:sz w:val="22"/>
                <w:szCs w:val="22"/>
              </w:rPr>
              <w:t>1.746</w:t>
            </w:r>
          </w:p>
        </w:tc>
        <w:tc>
          <w:tcPr>
            <w:tcW w:w="1189" w:type="dxa"/>
            <w:tcMar>
              <w:top w:w="80" w:type="dxa"/>
              <w:left w:w="100" w:type="dxa"/>
              <w:bottom w:w="80" w:type="dxa"/>
              <w:right w:w="100" w:type="dxa"/>
            </w:tcMar>
          </w:tcPr>
          <w:p>
            <w:pPr>
              <w:keepNext/>
              <w:jc w:val="center"/>
            </w:pPr>
            <w:r>
              <w:rPr>
                <w:b/>
                <w:bCs/>
                <w:sz w:val="22"/>
                <w:szCs w:val="22"/>
              </w:rPr>
              <w:t>2.218</w:t>
            </w:r>
          </w:p>
        </w:tc>
        <w:tc>
          <w:tcPr>
            <w:tcW w:w="1189" w:type="dxa"/>
            <w:tcMar>
              <w:top w:w="80" w:type="dxa"/>
              <w:left w:w="100" w:type="dxa"/>
              <w:bottom w:w="80" w:type="dxa"/>
              <w:right w:w="100" w:type="dxa"/>
            </w:tcMar>
          </w:tcPr>
          <w:p>
            <w:pPr>
              <w:keepNext/>
              <w:jc w:val="center"/>
            </w:pPr>
            <w:r>
              <w:rPr>
                <w:b/>
                <w:bCs/>
                <w:sz w:val="22"/>
                <w:szCs w:val="22"/>
              </w:rPr>
              <w:t>2.831</w:t>
            </w:r>
          </w:p>
        </w:tc>
        <w:tc>
          <w:tcPr>
            <w:tcW w:w="1105" w:type="dxa"/>
            <w:tcMar>
              <w:top w:w="80" w:type="dxa"/>
              <w:left w:w="100" w:type="dxa"/>
              <w:bottom w:w="80" w:type="dxa"/>
              <w:right w:w="100" w:type="dxa"/>
            </w:tcMar>
          </w:tcPr>
          <w:p>
            <w:pPr>
              <w:keepNext/>
              <w:jc w:val="center"/>
            </w:pPr>
            <w:r>
              <w:rPr>
                <w:b/>
                <w:bCs/>
                <w:sz w:val="22"/>
                <w:szCs w:val="22"/>
              </w:rPr>
              <w:t>3.066</w:t>
            </w:r>
          </w:p>
        </w:tc>
        <w:tc>
          <w:tcPr>
            <w:tcW w:w="1107" w:type="dxa"/>
            <w:tcMar>
              <w:top w:w="80" w:type="dxa"/>
              <w:left w:w="100" w:type="dxa"/>
              <w:bottom w:w="80" w:type="dxa"/>
              <w:right w:w="100" w:type="dxa"/>
            </w:tcMar>
          </w:tcPr>
          <w:p>
            <w:pPr>
              <w:keepNext/>
              <w:jc w:val="center"/>
            </w:pPr>
            <w:r>
              <w:rPr>
                <w:b/>
                <w:bCs/>
                <w:sz w:val="22"/>
                <w:szCs w:val="22"/>
              </w:rPr>
              <w:t>3.077</w:t>
            </w:r>
          </w:p>
        </w:tc>
      </w:tr>
      <w:tr>
        <w:trPr>
          <w:cantSplit/>
        </w:trPr>
        <w:tc>
          <w:tcPr>
            <w:tcW w:w="1700" w:type="dxa"/>
            <w:tcMar>
              <w:top w:w="80" w:type="dxa"/>
              <w:left w:w="100" w:type="dxa"/>
              <w:bottom w:w="80" w:type="dxa"/>
              <w:right w:w="100" w:type="dxa"/>
            </w:tcMar>
          </w:tcPr>
          <w:p>
            <w:pPr>
              <w:keepNext/>
            </w:pPr>
            <w:r>
              <w:rPr>
                <w:sz w:val="22"/>
                <w:szCs w:val="22"/>
              </w:rPr>
              <w:t>Neutro</w:t>
            </w:r>
          </w:p>
        </w:tc>
        <w:tc>
          <w:tcPr>
            <w:tcW w:w="1105" w:type="dxa"/>
            <w:tcMar>
              <w:top w:w="80" w:type="dxa"/>
              <w:left w:w="100" w:type="dxa"/>
              <w:bottom w:w="80" w:type="dxa"/>
              <w:right w:w="100" w:type="dxa"/>
            </w:tcMar>
          </w:tcPr>
          <w:p>
            <w:pPr>
              <w:keepNext/>
              <w:jc w:val="center"/>
            </w:pPr>
            <w:r>
              <w:rPr>
                <w:sz w:val="22"/>
                <w:szCs w:val="22"/>
              </w:rPr>
              <w:t>5</w:t>
            </w:r>
          </w:p>
        </w:tc>
        <w:tc>
          <w:tcPr>
            <w:tcW w:w="1105" w:type="dxa"/>
            <w:tcMar>
              <w:top w:w="80" w:type="dxa"/>
              <w:left w:w="100" w:type="dxa"/>
              <w:bottom w:w="80" w:type="dxa"/>
              <w:right w:w="100" w:type="dxa"/>
            </w:tcMar>
          </w:tcPr>
          <w:p>
            <w:pPr>
              <w:keepNext/>
              <w:jc w:val="center"/>
            </w:pPr>
            <w:r>
              <w:rPr>
                <w:sz w:val="22"/>
                <w:szCs w:val="22"/>
              </w:rPr>
              <w:t>1.897</w:t>
            </w:r>
          </w:p>
        </w:tc>
        <w:tc>
          <w:tcPr>
            <w:tcW w:w="1189" w:type="dxa"/>
            <w:tcMar>
              <w:top w:w="80" w:type="dxa"/>
              <w:left w:w="100" w:type="dxa"/>
              <w:bottom w:w="80" w:type="dxa"/>
              <w:right w:w="100" w:type="dxa"/>
            </w:tcMar>
          </w:tcPr>
          <w:p>
            <w:pPr>
              <w:keepNext/>
              <w:jc w:val="center"/>
            </w:pPr>
            <w:r>
              <w:rPr>
                <w:sz w:val="22"/>
                <w:szCs w:val="22"/>
              </w:rPr>
              <w:t>1.989</w:t>
            </w:r>
          </w:p>
        </w:tc>
        <w:tc>
          <w:tcPr>
            <w:tcW w:w="1189" w:type="dxa"/>
            <w:tcMar>
              <w:top w:w="80" w:type="dxa"/>
              <w:left w:w="100" w:type="dxa"/>
              <w:bottom w:w="80" w:type="dxa"/>
              <w:right w:w="100" w:type="dxa"/>
            </w:tcMar>
          </w:tcPr>
          <w:p>
            <w:pPr>
              <w:keepNext/>
              <w:jc w:val="center"/>
            </w:pPr>
            <w:r>
              <w:rPr>
                <w:sz w:val="22"/>
                <w:szCs w:val="22"/>
              </w:rPr>
              <w:t>2.594</w:t>
            </w:r>
          </w:p>
        </w:tc>
        <w:tc>
          <w:tcPr>
            <w:tcW w:w="1105" w:type="dxa"/>
            <w:tcMar>
              <w:top w:w="80" w:type="dxa"/>
              <w:left w:w="100" w:type="dxa"/>
              <w:bottom w:w="80" w:type="dxa"/>
              <w:right w:w="100" w:type="dxa"/>
            </w:tcMar>
          </w:tcPr>
          <w:p>
            <w:pPr>
              <w:keepNext/>
              <w:jc w:val="center"/>
            </w:pPr>
            <w:r>
              <w:rPr>
                <w:sz w:val="22"/>
                <w:szCs w:val="22"/>
              </w:rPr>
              <w:t>2.884</w:t>
            </w:r>
          </w:p>
        </w:tc>
        <w:tc>
          <w:tcPr>
            <w:tcW w:w="1107" w:type="dxa"/>
            <w:tcMar>
              <w:top w:w="80" w:type="dxa"/>
              <w:left w:w="100" w:type="dxa"/>
              <w:bottom w:w="80" w:type="dxa"/>
              <w:right w:w="100" w:type="dxa"/>
            </w:tcMar>
          </w:tcPr>
          <w:p>
            <w:pPr>
              <w:keepNext/>
              <w:jc w:val="center"/>
            </w:pPr>
            <w:r>
              <w:rPr>
                <w:sz w:val="22"/>
                <w:szCs w:val="22"/>
              </w:rPr>
              <w:t>2.977</w:t>
            </w:r>
          </w:p>
        </w:tc>
      </w:tr>
      <w:tr>
        <w:trPr>
          <w:cantSplit/>
        </w:trPr>
        <w:tc>
          <w:tcPr>
            <w:tcW w:w="1700" w:type="dxa"/>
            <w:tcMar>
              <w:top w:w="80" w:type="dxa"/>
              <w:left w:w="100" w:type="dxa"/>
              <w:bottom w:w="80" w:type="dxa"/>
              <w:right w:w="100" w:type="dxa"/>
            </w:tcMar>
          </w:tcPr>
          <w:p>
            <w:pPr>
              <w:keepNext/>
            </w:pPr>
            <w:r>
              <w:rPr>
                <w:sz w:val="22"/>
                <w:szCs w:val="22"/>
              </w:rPr>
              <w:t>La Niña</w:t>
            </w:r>
          </w:p>
        </w:tc>
        <w:tc>
          <w:tcPr>
            <w:tcW w:w="1105" w:type="dxa"/>
            <w:tcMar>
              <w:top w:w="80" w:type="dxa"/>
              <w:left w:w="100" w:type="dxa"/>
              <w:bottom w:w="80" w:type="dxa"/>
              <w:right w:w="100" w:type="dxa"/>
            </w:tcMar>
          </w:tcPr>
          <w:p>
            <w:pPr>
              <w:keepNext/>
              <w:jc w:val="center"/>
            </w:pPr>
            <w:r>
              <w:rPr>
                <w:sz w:val="22"/>
                <w:szCs w:val="22"/>
              </w:rPr>
              <w:t>9</w:t>
            </w:r>
          </w:p>
        </w:tc>
        <w:tc>
          <w:tcPr>
            <w:tcW w:w="1105" w:type="dxa"/>
            <w:tcMar>
              <w:top w:w="80" w:type="dxa"/>
              <w:left w:w="100" w:type="dxa"/>
              <w:bottom w:w="80" w:type="dxa"/>
              <w:right w:w="100" w:type="dxa"/>
            </w:tcMar>
          </w:tcPr>
          <w:p>
            <w:pPr>
              <w:keepNext/>
              <w:jc w:val="center"/>
            </w:pPr>
            <w:r>
              <w:rPr>
                <w:sz w:val="22"/>
                <w:szCs w:val="22"/>
              </w:rPr>
              <w:t>1.195</w:t>
            </w:r>
          </w:p>
        </w:tc>
        <w:tc>
          <w:tcPr>
            <w:tcW w:w="1189" w:type="dxa"/>
            <w:tcMar>
              <w:top w:w="80" w:type="dxa"/>
              <w:left w:w="100" w:type="dxa"/>
              <w:bottom w:w="80" w:type="dxa"/>
              <w:right w:w="100" w:type="dxa"/>
            </w:tcMar>
          </w:tcPr>
          <w:p>
            <w:pPr>
              <w:keepNext/>
              <w:jc w:val="center"/>
            </w:pPr>
            <w:r>
              <w:rPr>
                <w:sz w:val="22"/>
                <w:szCs w:val="22"/>
              </w:rPr>
              <w:t>1.230</w:t>
            </w:r>
          </w:p>
        </w:tc>
        <w:tc>
          <w:tcPr>
            <w:tcW w:w="1189" w:type="dxa"/>
            <w:tcMar>
              <w:top w:w="80" w:type="dxa"/>
              <w:left w:w="100" w:type="dxa"/>
              <w:bottom w:w="80" w:type="dxa"/>
              <w:right w:w="100" w:type="dxa"/>
            </w:tcMar>
          </w:tcPr>
          <w:p>
            <w:pPr>
              <w:keepNext/>
              <w:jc w:val="center"/>
            </w:pPr>
            <w:r>
              <w:rPr>
                <w:sz w:val="22"/>
                <w:szCs w:val="22"/>
              </w:rPr>
              <w:t>2.271</w:t>
            </w:r>
          </w:p>
        </w:tc>
        <w:tc>
          <w:tcPr>
            <w:tcW w:w="1105" w:type="dxa"/>
            <w:tcMar>
              <w:top w:w="80" w:type="dxa"/>
              <w:left w:w="100" w:type="dxa"/>
              <w:bottom w:w="80" w:type="dxa"/>
              <w:right w:w="100" w:type="dxa"/>
            </w:tcMar>
          </w:tcPr>
          <w:p>
            <w:pPr>
              <w:keepNext/>
              <w:jc w:val="center"/>
            </w:pPr>
            <w:r>
              <w:rPr>
                <w:sz w:val="22"/>
                <w:szCs w:val="22"/>
              </w:rPr>
              <w:t>2.600</w:t>
            </w:r>
          </w:p>
        </w:tc>
        <w:tc>
          <w:tcPr>
            <w:tcW w:w="1107" w:type="dxa"/>
            <w:tcMar>
              <w:top w:w="80" w:type="dxa"/>
              <w:left w:w="100" w:type="dxa"/>
              <w:bottom w:w="80" w:type="dxa"/>
              <w:right w:w="100" w:type="dxa"/>
            </w:tcMar>
          </w:tcPr>
          <w:p>
            <w:pPr>
              <w:keepNext/>
              <w:jc w:val="center"/>
            </w:pPr>
            <w:r>
              <w:rPr>
                <w:sz w:val="22"/>
                <w:szCs w:val="22"/>
              </w:rPr>
              <w:t>2.912</w:t>
            </w:r>
          </w:p>
        </w:tc>
      </w:tr>
    </w:tbl>
    <w:p>
      <w:pPr>
        <w:keepNext/>
        <w:spacing w:before="280" w:after="160"/>
      </w:pPr>
      <w:bookmarkStart w:id="34" w:name="_Toc244263412"/>
      <w:r>
        <w:rPr>
          <w:b/>
          <w:bCs/>
          <w:sz w:val="24"/>
          <w:szCs w:val="24"/>
        </w:rPr>
        <w:t>7.3 Perspectiva por mesorregião</w:t>
      </w:r>
      <w:bookmarkEnd w:id="34"/>
    </w:p>
    <w:p>
      <w:pPr>
        <w:spacing w:after="200" w:line="276" w:lineRule="auto"/>
        <w:ind w:firstLine="720"/>
        <w:jc w:val="both"/>
      </w:pPr>
      <w:r>
        <w:rPr>
          <w:sz w:val="24"/>
          <w:szCs w:val="24"/>
        </w:rPr>
        <w:t>Sob El Niño, todas as mesorregiões ficam acima do patamar, com maior ganho relativo no Sudoeste (+35%) e no Centro Ocidental (+31%) (Tabela 17). A perspectiva por município está no arquivo perspectiva_safra_2027_municipio.csv.</w:t>
      </w:r>
    </w:p>
    <w:p>
      <w:pPr>
        <w:keepNext/>
        <w:spacing w:before="120" w:after="300"/>
        <w:jc w:val="center"/>
      </w:pPr>
      <w:r>
        <w:rPr>
          <w:i/>
          <w:iCs/>
          <w:sz w:val="22"/>
          <w:szCs w:val="22"/>
        </w:rPr>
        <w:t xml:space="preserve">Tabela 17 – Perspectiva da safra 2027 por mesorregião (kg/ha). Fonte: elaboração própria a partir de NASA POWER, IBGE e NOAA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635"/>
        <w:gridCol w:w="1189"/>
        <w:gridCol w:w="1189"/>
        <w:gridCol w:w="1105"/>
        <w:gridCol w:w="1189"/>
        <w:gridCol w:w="1193"/>
      </w:tblGrid>
      <w:tr>
        <w:trPr>
          <w:cantSplit/>
          <w:tblHeader/>
        </w:trPr>
        <w:tc>
          <w:tcPr>
            <w:tcW w:w="2635" w:type="dxa"/>
            <w:shd w:val="clear" w:color="auto" w:fill="D9D9D9"/>
            <w:tcMar>
              <w:top w:w="80" w:type="dxa"/>
              <w:left w:w="100" w:type="dxa"/>
              <w:bottom w:w="80" w:type="dxa"/>
              <w:right w:w="100" w:type="dxa"/>
            </w:tcMar>
          </w:tcPr>
          <w:p>
            <w:pPr>
              <w:keepNext/>
              <w:jc w:val="center"/>
            </w:pPr>
            <w:r>
              <w:rPr>
                <w:b/>
                <w:bCs/>
                <w:sz w:val="22"/>
                <w:szCs w:val="22"/>
              </w:rPr>
              <w:t>Mesorregião</w:t>
            </w:r>
          </w:p>
        </w:tc>
        <w:tc>
          <w:tcPr>
            <w:tcW w:w="1189" w:type="dxa"/>
            <w:shd w:val="clear" w:color="auto" w:fill="D9D9D9"/>
            <w:tcMar>
              <w:top w:w="80" w:type="dxa"/>
              <w:left w:w="100" w:type="dxa"/>
              <w:bottom w:w="80" w:type="dxa"/>
              <w:right w:w="100" w:type="dxa"/>
            </w:tcMar>
          </w:tcPr>
          <w:p>
            <w:pPr>
              <w:keepNext/>
              <w:jc w:val="center"/>
            </w:pPr>
            <w:r>
              <w:rPr>
                <w:b/>
                <w:bCs/>
                <w:sz w:val="22"/>
                <w:szCs w:val="22"/>
              </w:rPr>
              <w:t>Patamar 2021–2025</w:t>
            </w:r>
          </w:p>
        </w:tc>
        <w:tc>
          <w:tcPr>
            <w:tcW w:w="1189" w:type="dxa"/>
            <w:shd w:val="clear" w:color="auto" w:fill="D9D9D9"/>
            <w:tcMar>
              <w:top w:w="80" w:type="dxa"/>
              <w:left w:w="100" w:type="dxa"/>
              <w:bottom w:w="80" w:type="dxa"/>
              <w:right w:w="100" w:type="dxa"/>
            </w:tcMar>
          </w:tcPr>
          <w:p>
            <w:pPr>
              <w:keepNext/>
              <w:jc w:val="center"/>
            </w:pPr>
            <w:r>
              <w:rPr>
                <w:b/>
                <w:bCs/>
                <w:sz w:val="22"/>
                <w:szCs w:val="22"/>
              </w:rPr>
              <w:t>Todos: percentil 10</w:t>
            </w:r>
          </w:p>
        </w:tc>
        <w:tc>
          <w:tcPr>
            <w:tcW w:w="1105" w:type="dxa"/>
            <w:shd w:val="clear" w:color="auto" w:fill="D9D9D9"/>
            <w:tcMar>
              <w:top w:w="80" w:type="dxa"/>
              <w:left w:w="100" w:type="dxa"/>
              <w:bottom w:w="80" w:type="dxa"/>
              <w:right w:w="100" w:type="dxa"/>
            </w:tcMar>
          </w:tcPr>
          <w:p>
            <w:pPr>
              <w:keepNext/>
              <w:jc w:val="center"/>
            </w:pPr>
            <w:r>
              <w:rPr>
                <w:b/>
                <w:bCs/>
                <w:sz w:val="22"/>
                <w:szCs w:val="22"/>
              </w:rPr>
              <w:t>Todos: mediana</w:t>
            </w:r>
          </w:p>
        </w:tc>
        <w:tc>
          <w:tcPr>
            <w:tcW w:w="1189" w:type="dxa"/>
            <w:shd w:val="clear" w:color="auto" w:fill="D9D9D9"/>
            <w:tcMar>
              <w:top w:w="80" w:type="dxa"/>
              <w:left w:w="100" w:type="dxa"/>
              <w:bottom w:w="80" w:type="dxa"/>
              <w:right w:w="100" w:type="dxa"/>
            </w:tcMar>
          </w:tcPr>
          <w:p>
            <w:pPr>
              <w:keepNext/>
              <w:jc w:val="center"/>
            </w:pPr>
            <w:r>
              <w:rPr>
                <w:b/>
                <w:bCs/>
                <w:sz w:val="22"/>
                <w:szCs w:val="22"/>
              </w:rPr>
              <w:t>Todos: percentil 90</w:t>
            </w:r>
          </w:p>
        </w:tc>
        <w:tc>
          <w:tcPr>
            <w:tcW w:w="1193" w:type="dxa"/>
            <w:shd w:val="clear" w:color="auto" w:fill="D9D9D9"/>
            <w:tcMar>
              <w:top w:w="80" w:type="dxa"/>
              <w:left w:w="100" w:type="dxa"/>
              <w:bottom w:w="80" w:type="dxa"/>
              <w:right w:w="100" w:type="dxa"/>
            </w:tcMar>
          </w:tcPr>
          <w:p>
            <w:pPr>
              <w:keepNext/>
              <w:jc w:val="center"/>
            </w:pPr>
            <w:r>
              <w:rPr>
                <w:b/>
                <w:bCs/>
                <w:sz w:val="22"/>
                <w:szCs w:val="22"/>
              </w:rPr>
              <w:t>El Niño: mediana</w:t>
            </w:r>
          </w:p>
        </w:tc>
      </w:tr>
      <w:tr>
        <w:trPr>
          <w:cantSplit/>
        </w:trPr>
        <w:tc>
          <w:tcPr>
            <w:tcW w:w="2635" w:type="dxa"/>
            <w:tcMar>
              <w:top w:w="80" w:type="dxa"/>
              <w:left w:w="100" w:type="dxa"/>
              <w:bottom w:w="80" w:type="dxa"/>
              <w:right w:w="100" w:type="dxa"/>
            </w:tcMar>
          </w:tcPr>
          <w:p>
            <w:pPr>
              <w:keepNext/>
            </w:pPr>
            <w:r>
              <w:rPr>
                <w:sz w:val="22"/>
                <w:szCs w:val="22"/>
              </w:rPr>
              <w:t>Noroeste</w:t>
            </w:r>
          </w:p>
        </w:tc>
        <w:tc>
          <w:tcPr>
            <w:tcW w:w="1189" w:type="dxa"/>
            <w:tcMar>
              <w:top w:w="80" w:type="dxa"/>
              <w:left w:w="100" w:type="dxa"/>
              <w:bottom w:w="80" w:type="dxa"/>
              <w:right w:w="100" w:type="dxa"/>
            </w:tcMar>
          </w:tcPr>
          <w:p>
            <w:pPr>
              <w:keepNext/>
              <w:jc w:val="center"/>
            </w:pPr>
            <w:r>
              <w:rPr>
                <w:sz w:val="22"/>
                <w:szCs w:val="22"/>
              </w:rPr>
              <w:t>2.464</w:t>
            </w:r>
          </w:p>
        </w:tc>
        <w:tc>
          <w:tcPr>
            <w:tcW w:w="1189" w:type="dxa"/>
            <w:tcMar>
              <w:top w:w="80" w:type="dxa"/>
              <w:left w:w="100" w:type="dxa"/>
              <w:bottom w:w="80" w:type="dxa"/>
              <w:right w:w="100" w:type="dxa"/>
            </w:tcMar>
          </w:tcPr>
          <w:p>
            <w:pPr>
              <w:keepNext/>
              <w:jc w:val="center"/>
            </w:pPr>
            <w:r>
              <w:rPr>
                <w:sz w:val="22"/>
                <w:szCs w:val="22"/>
              </w:rPr>
              <w:t>1.730</w:t>
            </w:r>
          </w:p>
        </w:tc>
        <w:tc>
          <w:tcPr>
            <w:tcW w:w="1105" w:type="dxa"/>
            <w:tcMar>
              <w:top w:w="80" w:type="dxa"/>
              <w:left w:w="100" w:type="dxa"/>
              <w:bottom w:w="80" w:type="dxa"/>
              <w:right w:w="100" w:type="dxa"/>
            </w:tcMar>
          </w:tcPr>
          <w:p>
            <w:pPr>
              <w:keepNext/>
              <w:jc w:val="center"/>
            </w:pPr>
            <w:r>
              <w:rPr>
                <w:sz w:val="22"/>
                <w:szCs w:val="22"/>
              </w:rPr>
              <w:t>2.726</w:t>
            </w:r>
          </w:p>
        </w:tc>
        <w:tc>
          <w:tcPr>
            <w:tcW w:w="1189" w:type="dxa"/>
            <w:tcMar>
              <w:top w:w="80" w:type="dxa"/>
              <w:left w:w="100" w:type="dxa"/>
              <w:bottom w:w="80" w:type="dxa"/>
              <w:right w:w="100" w:type="dxa"/>
            </w:tcMar>
          </w:tcPr>
          <w:p>
            <w:pPr>
              <w:keepNext/>
              <w:jc w:val="center"/>
            </w:pPr>
            <w:r>
              <w:rPr>
                <w:sz w:val="22"/>
                <w:szCs w:val="22"/>
              </w:rPr>
              <w:t>3.306</w:t>
            </w:r>
          </w:p>
        </w:tc>
        <w:tc>
          <w:tcPr>
            <w:tcW w:w="1193" w:type="dxa"/>
            <w:tcMar>
              <w:top w:w="80" w:type="dxa"/>
              <w:left w:w="100" w:type="dxa"/>
              <w:bottom w:w="80" w:type="dxa"/>
              <w:right w:w="100" w:type="dxa"/>
            </w:tcMar>
          </w:tcPr>
          <w:p>
            <w:pPr>
              <w:keepNext/>
              <w:jc w:val="center"/>
            </w:pPr>
            <w:r>
              <w:rPr>
                <w:sz w:val="22"/>
                <w:szCs w:val="22"/>
              </w:rPr>
              <w:t>3.102</w:t>
            </w:r>
          </w:p>
        </w:tc>
      </w:tr>
      <w:tr>
        <w:trPr>
          <w:cantSplit/>
        </w:trPr>
        <w:tc>
          <w:tcPr>
            <w:tcW w:w="2635" w:type="dxa"/>
            <w:tcMar>
              <w:top w:w="80" w:type="dxa"/>
              <w:left w:w="100" w:type="dxa"/>
              <w:bottom w:w="80" w:type="dxa"/>
              <w:right w:w="100" w:type="dxa"/>
            </w:tcMar>
          </w:tcPr>
          <w:p>
            <w:pPr>
              <w:keepNext/>
            </w:pPr>
            <w:r>
              <w:rPr>
                <w:sz w:val="22"/>
                <w:szCs w:val="22"/>
              </w:rPr>
              <w:t>Sudoeste</w:t>
            </w:r>
          </w:p>
        </w:tc>
        <w:tc>
          <w:tcPr>
            <w:tcW w:w="1189" w:type="dxa"/>
            <w:tcMar>
              <w:top w:w="80" w:type="dxa"/>
              <w:left w:w="100" w:type="dxa"/>
              <w:bottom w:w="80" w:type="dxa"/>
              <w:right w:w="100" w:type="dxa"/>
            </w:tcMar>
          </w:tcPr>
          <w:p>
            <w:pPr>
              <w:keepNext/>
              <w:jc w:val="center"/>
            </w:pPr>
            <w:r>
              <w:rPr>
                <w:sz w:val="22"/>
                <w:szCs w:val="22"/>
              </w:rPr>
              <w:t>1.749</w:t>
            </w:r>
          </w:p>
        </w:tc>
        <w:tc>
          <w:tcPr>
            <w:tcW w:w="1189" w:type="dxa"/>
            <w:tcMar>
              <w:top w:w="80" w:type="dxa"/>
              <w:left w:w="100" w:type="dxa"/>
              <w:bottom w:w="80" w:type="dxa"/>
              <w:right w:w="100" w:type="dxa"/>
            </w:tcMar>
          </w:tcPr>
          <w:p>
            <w:pPr>
              <w:keepNext/>
              <w:jc w:val="center"/>
            </w:pPr>
            <w:r>
              <w:rPr>
                <w:sz w:val="22"/>
                <w:szCs w:val="22"/>
              </w:rPr>
              <w:t>554</w:t>
            </w:r>
          </w:p>
        </w:tc>
        <w:tc>
          <w:tcPr>
            <w:tcW w:w="1105" w:type="dxa"/>
            <w:tcMar>
              <w:top w:w="80" w:type="dxa"/>
              <w:left w:w="100" w:type="dxa"/>
              <w:bottom w:w="80" w:type="dxa"/>
              <w:right w:w="100" w:type="dxa"/>
            </w:tcMar>
          </w:tcPr>
          <w:p>
            <w:pPr>
              <w:keepNext/>
              <w:jc w:val="center"/>
            </w:pPr>
            <w:r>
              <w:rPr>
                <w:sz w:val="22"/>
                <w:szCs w:val="22"/>
              </w:rPr>
              <w:t>1.756</w:t>
            </w:r>
          </w:p>
        </w:tc>
        <w:tc>
          <w:tcPr>
            <w:tcW w:w="1189" w:type="dxa"/>
            <w:tcMar>
              <w:top w:w="80" w:type="dxa"/>
              <w:left w:w="100" w:type="dxa"/>
              <w:bottom w:w="80" w:type="dxa"/>
              <w:right w:w="100" w:type="dxa"/>
            </w:tcMar>
          </w:tcPr>
          <w:p>
            <w:pPr>
              <w:keepNext/>
              <w:jc w:val="center"/>
            </w:pPr>
            <w:r>
              <w:rPr>
                <w:sz w:val="22"/>
                <w:szCs w:val="22"/>
              </w:rPr>
              <w:t>2.475</w:t>
            </w:r>
          </w:p>
        </w:tc>
        <w:tc>
          <w:tcPr>
            <w:tcW w:w="1193" w:type="dxa"/>
            <w:tcMar>
              <w:top w:w="80" w:type="dxa"/>
              <w:left w:w="100" w:type="dxa"/>
              <w:bottom w:w="80" w:type="dxa"/>
              <w:right w:w="100" w:type="dxa"/>
            </w:tcMar>
          </w:tcPr>
          <w:p>
            <w:pPr>
              <w:keepNext/>
              <w:jc w:val="center"/>
            </w:pPr>
            <w:r>
              <w:rPr>
                <w:sz w:val="22"/>
                <w:szCs w:val="22"/>
              </w:rPr>
              <w:t>2.358</w:t>
            </w:r>
          </w:p>
        </w:tc>
      </w:tr>
      <w:tr>
        <w:trPr>
          <w:cantSplit/>
        </w:trPr>
        <w:tc>
          <w:tcPr>
            <w:tcW w:w="2635" w:type="dxa"/>
            <w:tcMar>
              <w:top w:w="80" w:type="dxa"/>
              <w:left w:w="100" w:type="dxa"/>
              <w:bottom w:w="80" w:type="dxa"/>
              <w:right w:w="100" w:type="dxa"/>
            </w:tcMar>
          </w:tcPr>
          <w:p>
            <w:pPr>
              <w:keepNext/>
            </w:pPr>
            <w:r>
              <w:rPr>
                <w:sz w:val="22"/>
                <w:szCs w:val="22"/>
              </w:rPr>
              <w:t>Centro Ocidental</w:t>
            </w:r>
          </w:p>
        </w:tc>
        <w:tc>
          <w:tcPr>
            <w:tcW w:w="1189" w:type="dxa"/>
            <w:tcMar>
              <w:top w:w="80" w:type="dxa"/>
              <w:left w:w="100" w:type="dxa"/>
              <w:bottom w:w="80" w:type="dxa"/>
              <w:right w:w="100" w:type="dxa"/>
            </w:tcMar>
          </w:tcPr>
          <w:p>
            <w:pPr>
              <w:keepNext/>
              <w:jc w:val="center"/>
            </w:pPr>
            <w:r>
              <w:rPr>
                <w:sz w:val="22"/>
                <w:szCs w:val="22"/>
              </w:rPr>
              <w:t>1.999</w:t>
            </w:r>
          </w:p>
        </w:tc>
        <w:tc>
          <w:tcPr>
            <w:tcW w:w="1189" w:type="dxa"/>
            <w:tcMar>
              <w:top w:w="80" w:type="dxa"/>
              <w:left w:w="100" w:type="dxa"/>
              <w:bottom w:w="80" w:type="dxa"/>
              <w:right w:w="100" w:type="dxa"/>
            </w:tcMar>
          </w:tcPr>
          <w:p>
            <w:pPr>
              <w:keepNext/>
              <w:jc w:val="center"/>
            </w:pPr>
            <w:r>
              <w:rPr>
                <w:sz w:val="22"/>
                <w:szCs w:val="22"/>
              </w:rPr>
              <w:t>953</w:t>
            </w:r>
          </w:p>
        </w:tc>
        <w:tc>
          <w:tcPr>
            <w:tcW w:w="1105" w:type="dxa"/>
            <w:tcMar>
              <w:top w:w="80" w:type="dxa"/>
              <w:left w:w="100" w:type="dxa"/>
              <w:bottom w:w="80" w:type="dxa"/>
              <w:right w:w="100" w:type="dxa"/>
            </w:tcMar>
          </w:tcPr>
          <w:p>
            <w:pPr>
              <w:keepNext/>
              <w:jc w:val="center"/>
            </w:pPr>
            <w:r>
              <w:rPr>
                <w:sz w:val="22"/>
                <w:szCs w:val="22"/>
              </w:rPr>
              <w:t>2.198</w:t>
            </w:r>
          </w:p>
        </w:tc>
        <w:tc>
          <w:tcPr>
            <w:tcW w:w="1189" w:type="dxa"/>
            <w:tcMar>
              <w:top w:w="80" w:type="dxa"/>
              <w:left w:w="100" w:type="dxa"/>
              <w:bottom w:w="80" w:type="dxa"/>
              <w:right w:w="100" w:type="dxa"/>
            </w:tcMar>
          </w:tcPr>
          <w:p>
            <w:pPr>
              <w:keepNext/>
              <w:jc w:val="center"/>
            </w:pPr>
            <w:r>
              <w:rPr>
                <w:sz w:val="22"/>
                <w:szCs w:val="22"/>
              </w:rPr>
              <w:t>2.765</w:t>
            </w:r>
          </w:p>
        </w:tc>
        <w:tc>
          <w:tcPr>
            <w:tcW w:w="1193" w:type="dxa"/>
            <w:tcMar>
              <w:top w:w="80" w:type="dxa"/>
              <w:left w:w="100" w:type="dxa"/>
              <w:bottom w:w="80" w:type="dxa"/>
              <w:right w:w="100" w:type="dxa"/>
            </w:tcMar>
          </w:tcPr>
          <w:p>
            <w:pPr>
              <w:keepNext/>
              <w:jc w:val="center"/>
            </w:pPr>
            <w:r>
              <w:rPr>
                <w:sz w:val="22"/>
                <w:szCs w:val="22"/>
              </w:rPr>
              <w:t>2.610</w:t>
            </w:r>
          </w:p>
        </w:tc>
      </w:tr>
      <w:tr>
        <w:trPr>
          <w:cantSplit/>
        </w:trPr>
        <w:tc>
          <w:tcPr>
            <w:tcW w:w="2635" w:type="dxa"/>
            <w:tcMar>
              <w:top w:w="80" w:type="dxa"/>
              <w:left w:w="100" w:type="dxa"/>
              <w:bottom w:w="80" w:type="dxa"/>
              <w:right w:w="100" w:type="dxa"/>
            </w:tcMar>
          </w:tcPr>
          <w:p>
            <w:pPr>
              <w:keepNext/>
            </w:pPr>
            <w:r>
              <w:rPr>
                <w:sz w:val="22"/>
                <w:szCs w:val="22"/>
              </w:rPr>
              <w:t>Sudeste</w:t>
            </w:r>
          </w:p>
        </w:tc>
        <w:tc>
          <w:tcPr>
            <w:tcW w:w="1189" w:type="dxa"/>
            <w:tcMar>
              <w:top w:w="80" w:type="dxa"/>
              <w:left w:w="100" w:type="dxa"/>
              <w:bottom w:w="80" w:type="dxa"/>
              <w:right w:w="100" w:type="dxa"/>
            </w:tcMar>
          </w:tcPr>
          <w:p>
            <w:pPr>
              <w:keepNext/>
              <w:jc w:val="center"/>
            </w:pPr>
            <w:r>
              <w:rPr>
                <w:sz w:val="22"/>
                <w:szCs w:val="22"/>
              </w:rPr>
              <w:t>2.295</w:t>
            </w:r>
          </w:p>
        </w:tc>
        <w:tc>
          <w:tcPr>
            <w:tcW w:w="1189" w:type="dxa"/>
            <w:tcMar>
              <w:top w:w="80" w:type="dxa"/>
              <w:left w:w="100" w:type="dxa"/>
              <w:bottom w:w="80" w:type="dxa"/>
              <w:right w:w="100" w:type="dxa"/>
            </w:tcMar>
          </w:tcPr>
          <w:p>
            <w:pPr>
              <w:keepNext/>
              <w:jc w:val="center"/>
            </w:pPr>
            <w:r>
              <w:rPr>
                <w:sz w:val="22"/>
                <w:szCs w:val="22"/>
              </w:rPr>
              <w:t>1.328</w:t>
            </w:r>
          </w:p>
        </w:tc>
        <w:tc>
          <w:tcPr>
            <w:tcW w:w="1105" w:type="dxa"/>
            <w:tcMar>
              <w:top w:w="80" w:type="dxa"/>
              <w:left w:w="100" w:type="dxa"/>
              <w:bottom w:w="80" w:type="dxa"/>
              <w:right w:w="100" w:type="dxa"/>
            </w:tcMar>
          </w:tcPr>
          <w:p>
            <w:pPr>
              <w:keepNext/>
              <w:jc w:val="center"/>
            </w:pPr>
            <w:r>
              <w:rPr>
                <w:sz w:val="22"/>
                <w:szCs w:val="22"/>
              </w:rPr>
              <w:t>2.344</w:t>
            </w:r>
          </w:p>
        </w:tc>
        <w:tc>
          <w:tcPr>
            <w:tcW w:w="1189" w:type="dxa"/>
            <w:tcMar>
              <w:top w:w="80" w:type="dxa"/>
              <w:left w:w="100" w:type="dxa"/>
              <w:bottom w:w="80" w:type="dxa"/>
              <w:right w:w="100" w:type="dxa"/>
            </w:tcMar>
          </w:tcPr>
          <w:p>
            <w:pPr>
              <w:keepNext/>
              <w:jc w:val="center"/>
            </w:pPr>
            <w:r>
              <w:rPr>
                <w:sz w:val="22"/>
                <w:szCs w:val="22"/>
              </w:rPr>
              <w:t>2.819</w:t>
            </w:r>
          </w:p>
        </w:tc>
        <w:tc>
          <w:tcPr>
            <w:tcW w:w="1193" w:type="dxa"/>
            <w:tcMar>
              <w:top w:w="80" w:type="dxa"/>
              <w:left w:w="100" w:type="dxa"/>
              <w:bottom w:w="80" w:type="dxa"/>
              <w:right w:w="100" w:type="dxa"/>
            </w:tcMar>
          </w:tcPr>
          <w:p>
            <w:pPr>
              <w:keepNext/>
              <w:jc w:val="center"/>
            </w:pPr>
            <w:r>
              <w:rPr>
                <w:sz w:val="22"/>
                <w:szCs w:val="22"/>
              </w:rPr>
              <w:t>2.560</w:t>
            </w:r>
          </w:p>
        </w:tc>
      </w:tr>
      <w:tr>
        <w:trPr>
          <w:cantSplit/>
        </w:trPr>
        <w:tc>
          <w:tcPr>
            <w:tcW w:w="2635" w:type="dxa"/>
            <w:tcMar>
              <w:top w:w="80" w:type="dxa"/>
              <w:left w:w="100" w:type="dxa"/>
              <w:bottom w:w="80" w:type="dxa"/>
              <w:right w:w="100" w:type="dxa"/>
            </w:tcMar>
          </w:tcPr>
          <w:p>
            <w:pPr>
              <w:keepNext/>
            </w:pPr>
            <w:r>
              <w:rPr>
                <w:sz w:val="22"/>
                <w:szCs w:val="22"/>
              </w:rPr>
              <w:t>Nordeste</w:t>
            </w:r>
          </w:p>
        </w:tc>
        <w:tc>
          <w:tcPr>
            <w:tcW w:w="1189" w:type="dxa"/>
            <w:tcMar>
              <w:top w:w="80" w:type="dxa"/>
              <w:left w:w="100" w:type="dxa"/>
              <w:bottom w:w="80" w:type="dxa"/>
              <w:right w:w="100" w:type="dxa"/>
            </w:tcMar>
          </w:tcPr>
          <w:p>
            <w:pPr>
              <w:keepNext/>
              <w:jc w:val="center"/>
            </w:pPr>
            <w:r>
              <w:rPr>
                <w:sz w:val="22"/>
                <w:szCs w:val="22"/>
              </w:rPr>
              <w:t>3.121</w:t>
            </w:r>
          </w:p>
        </w:tc>
        <w:tc>
          <w:tcPr>
            <w:tcW w:w="1189" w:type="dxa"/>
            <w:tcMar>
              <w:top w:w="80" w:type="dxa"/>
              <w:left w:w="100" w:type="dxa"/>
              <w:bottom w:w="80" w:type="dxa"/>
              <w:right w:w="100" w:type="dxa"/>
            </w:tcMar>
          </w:tcPr>
          <w:p>
            <w:pPr>
              <w:keepNext/>
              <w:jc w:val="center"/>
            </w:pPr>
            <w:r>
              <w:rPr>
                <w:sz w:val="22"/>
                <w:szCs w:val="22"/>
              </w:rPr>
              <w:t>2.928</w:t>
            </w:r>
          </w:p>
        </w:tc>
        <w:tc>
          <w:tcPr>
            <w:tcW w:w="1105" w:type="dxa"/>
            <w:tcMar>
              <w:top w:w="80" w:type="dxa"/>
              <w:left w:w="100" w:type="dxa"/>
              <w:bottom w:w="80" w:type="dxa"/>
              <w:right w:w="100" w:type="dxa"/>
            </w:tcMar>
          </w:tcPr>
          <w:p>
            <w:pPr>
              <w:keepNext/>
              <w:jc w:val="center"/>
            </w:pPr>
            <w:r>
              <w:rPr>
                <w:sz w:val="22"/>
                <w:szCs w:val="22"/>
              </w:rPr>
              <w:t>3.455</w:t>
            </w:r>
          </w:p>
        </w:tc>
        <w:tc>
          <w:tcPr>
            <w:tcW w:w="1189" w:type="dxa"/>
            <w:tcMar>
              <w:top w:w="80" w:type="dxa"/>
              <w:left w:w="100" w:type="dxa"/>
              <w:bottom w:w="80" w:type="dxa"/>
              <w:right w:w="100" w:type="dxa"/>
            </w:tcMar>
          </w:tcPr>
          <w:p>
            <w:pPr>
              <w:keepNext/>
              <w:jc w:val="center"/>
            </w:pPr>
            <w:r>
              <w:rPr>
                <w:sz w:val="22"/>
                <w:szCs w:val="22"/>
              </w:rPr>
              <w:t>3.959</w:t>
            </w:r>
          </w:p>
        </w:tc>
        <w:tc>
          <w:tcPr>
            <w:tcW w:w="1193" w:type="dxa"/>
            <w:tcMar>
              <w:top w:w="80" w:type="dxa"/>
              <w:left w:w="100" w:type="dxa"/>
              <w:bottom w:w="80" w:type="dxa"/>
              <w:right w:w="100" w:type="dxa"/>
            </w:tcMar>
          </w:tcPr>
          <w:p>
            <w:pPr>
              <w:keepNext/>
              <w:jc w:val="center"/>
            </w:pPr>
            <w:r>
              <w:rPr>
                <w:sz w:val="22"/>
                <w:szCs w:val="22"/>
              </w:rPr>
              <w:t>3.824</w:t>
            </w:r>
          </w:p>
        </w:tc>
      </w:tr>
      <w:tr>
        <w:trPr>
          <w:cantSplit/>
        </w:trPr>
        <w:tc>
          <w:tcPr>
            <w:tcW w:w="2635" w:type="dxa"/>
            <w:tcMar>
              <w:top w:w="80" w:type="dxa"/>
              <w:left w:w="100" w:type="dxa"/>
              <w:bottom w:w="80" w:type="dxa"/>
              <w:right w:w="100" w:type="dxa"/>
            </w:tcMar>
          </w:tcPr>
          <w:p>
            <w:pPr>
              <w:keepNext/>
            </w:pPr>
            <w:r>
              <w:rPr>
                <w:sz w:val="22"/>
                <w:szCs w:val="22"/>
              </w:rPr>
              <w:t>Centro Oriental</w:t>
            </w:r>
          </w:p>
        </w:tc>
        <w:tc>
          <w:tcPr>
            <w:tcW w:w="1189" w:type="dxa"/>
            <w:tcMar>
              <w:top w:w="80" w:type="dxa"/>
              <w:left w:w="100" w:type="dxa"/>
              <w:bottom w:w="80" w:type="dxa"/>
              <w:right w:w="100" w:type="dxa"/>
            </w:tcMar>
          </w:tcPr>
          <w:p>
            <w:pPr>
              <w:keepNext/>
              <w:jc w:val="center"/>
            </w:pPr>
            <w:r>
              <w:rPr>
                <w:sz w:val="22"/>
                <w:szCs w:val="22"/>
              </w:rPr>
              <w:t>2.276</w:t>
            </w:r>
          </w:p>
        </w:tc>
        <w:tc>
          <w:tcPr>
            <w:tcW w:w="1189" w:type="dxa"/>
            <w:tcMar>
              <w:top w:w="80" w:type="dxa"/>
              <w:left w:w="100" w:type="dxa"/>
              <w:bottom w:w="80" w:type="dxa"/>
              <w:right w:w="100" w:type="dxa"/>
            </w:tcMar>
          </w:tcPr>
          <w:p>
            <w:pPr>
              <w:keepNext/>
              <w:jc w:val="center"/>
            </w:pPr>
            <w:r>
              <w:rPr>
                <w:sz w:val="22"/>
                <w:szCs w:val="22"/>
              </w:rPr>
              <w:t>1.517</w:t>
            </w:r>
          </w:p>
        </w:tc>
        <w:tc>
          <w:tcPr>
            <w:tcW w:w="1105" w:type="dxa"/>
            <w:tcMar>
              <w:top w:w="80" w:type="dxa"/>
              <w:left w:w="100" w:type="dxa"/>
              <w:bottom w:w="80" w:type="dxa"/>
              <w:right w:w="100" w:type="dxa"/>
            </w:tcMar>
          </w:tcPr>
          <w:p>
            <w:pPr>
              <w:keepNext/>
              <w:jc w:val="center"/>
            </w:pPr>
            <w:r>
              <w:rPr>
                <w:sz w:val="22"/>
                <w:szCs w:val="22"/>
              </w:rPr>
              <w:t>2.358</w:t>
            </w:r>
          </w:p>
        </w:tc>
        <w:tc>
          <w:tcPr>
            <w:tcW w:w="1189" w:type="dxa"/>
            <w:tcMar>
              <w:top w:w="80" w:type="dxa"/>
              <w:left w:w="100" w:type="dxa"/>
              <w:bottom w:w="80" w:type="dxa"/>
              <w:right w:w="100" w:type="dxa"/>
            </w:tcMar>
          </w:tcPr>
          <w:p>
            <w:pPr>
              <w:keepNext/>
              <w:jc w:val="center"/>
            </w:pPr>
            <w:r>
              <w:rPr>
                <w:sz w:val="22"/>
                <w:szCs w:val="22"/>
              </w:rPr>
              <w:t>2.993</w:t>
            </w:r>
          </w:p>
        </w:tc>
        <w:tc>
          <w:tcPr>
            <w:tcW w:w="1193" w:type="dxa"/>
            <w:tcMar>
              <w:top w:w="80" w:type="dxa"/>
              <w:left w:w="100" w:type="dxa"/>
              <w:bottom w:w="80" w:type="dxa"/>
              <w:right w:w="100" w:type="dxa"/>
            </w:tcMar>
          </w:tcPr>
          <w:p>
            <w:pPr>
              <w:keepNext/>
              <w:jc w:val="center"/>
            </w:pPr>
            <w:r>
              <w:rPr>
                <w:sz w:val="22"/>
                <w:szCs w:val="22"/>
              </w:rPr>
              <w:t>2.809</w:t>
            </w:r>
          </w:p>
        </w:tc>
      </w:tr>
      <w:tr>
        <w:trPr>
          <w:cantSplit/>
        </w:trPr>
        <w:tc>
          <w:tcPr>
            <w:tcW w:w="2635" w:type="dxa"/>
            <w:tcMar>
              <w:top w:w="80" w:type="dxa"/>
              <w:left w:w="100" w:type="dxa"/>
              <w:bottom w:w="80" w:type="dxa"/>
              <w:right w:w="100" w:type="dxa"/>
            </w:tcMar>
          </w:tcPr>
          <w:p>
            <w:pPr>
              <w:keepNext/>
            </w:pPr>
            <w:r>
              <w:rPr>
                <w:sz w:val="22"/>
                <w:szCs w:val="22"/>
              </w:rPr>
              <w:t>Metropolitana de Porto Alegre</w:t>
            </w:r>
          </w:p>
        </w:tc>
        <w:tc>
          <w:tcPr>
            <w:tcW w:w="1189" w:type="dxa"/>
            <w:tcMar>
              <w:top w:w="80" w:type="dxa"/>
              <w:left w:w="100" w:type="dxa"/>
              <w:bottom w:w="80" w:type="dxa"/>
              <w:right w:w="100" w:type="dxa"/>
            </w:tcMar>
          </w:tcPr>
          <w:p>
            <w:pPr>
              <w:keepNext/>
              <w:jc w:val="center"/>
            </w:pPr>
            <w:r>
              <w:rPr>
                <w:sz w:val="22"/>
                <w:szCs w:val="22"/>
              </w:rPr>
              <w:t>2.600</w:t>
            </w:r>
          </w:p>
        </w:tc>
        <w:tc>
          <w:tcPr>
            <w:tcW w:w="1189" w:type="dxa"/>
            <w:tcMar>
              <w:top w:w="80" w:type="dxa"/>
              <w:left w:w="100" w:type="dxa"/>
              <w:bottom w:w="80" w:type="dxa"/>
              <w:right w:w="100" w:type="dxa"/>
            </w:tcMar>
          </w:tcPr>
          <w:p>
            <w:pPr>
              <w:keepNext/>
              <w:jc w:val="center"/>
            </w:pPr>
            <w:r>
              <w:rPr>
                <w:sz w:val="22"/>
                <w:szCs w:val="22"/>
              </w:rPr>
              <w:t>2.025</w:t>
            </w:r>
          </w:p>
        </w:tc>
        <w:tc>
          <w:tcPr>
            <w:tcW w:w="1105" w:type="dxa"/>
            <w:tcMar>
              <w:top w:w="80" w:type="dxa"/>
              <w:left w:w="100" w:type="dxa"/>
              <w:bottom w:w="80" w:type="dxa"/>
              <w:right w:w="100" w:type="dxa"/>
            </w:tcMar>
          </w:tcPr>
          <w:p>
            <w:pPr>
              <w:keepNext/>
              <w:jc w:val="center"/>
            </w:pPr>
            <w:r>
              <w:rPr>
                <w:sz w:val="22"/>
                <w:szCs w:val="22"/>
              </w:rPr>
              <w:t>2.704</w:t>
            </w:r>
          </w:p>
        </w:tc>
        <w:tc>
          <w:tcPr>
            <w:tcW w:w="1189" w:type="dxa"/>
            <w:tcMar>
              <w:top w:w="80" w:type="dxa"/>
              <w:left w:w="100" w:type="dxa"/>
              <w:bottom w:w="80" w:type="dxa"/>
              <w:right w:w="100" w:type="dxa"/>
            </w:tcMar>
          </w:tcPr>
          <w:p>
            <w:pPr>
              <w:keepNext/>
              <w:jc w:val="center"/>
            </w:pPr>
            <w:r>
              <w:rPr>
                <w:sz w:val="22"/>
                <w:szCs w:val="22"/>
              </w:rPr>
              <w:t>3.167</w:t>
            </w:r>
          </w:p>
        </w:tc>
        <w:tc>
          <w:tcPr>
            <w:tcW w:w="1193" w:type="dxa"/>
            <w:tcMar>
              <w:top w:w="80" w:type="dxa"/>
              <w:left w:w="100" w:type="dxa"/>
              <w:bottom w:w="80" w:type="dxa"/>
              <w:right w:w="100" w:type="dxa"/>
            </w:tcMar>
          </w:tcPr>
          <w:p>
            <w:pPr>
              <w:keepNext/>
              <w:jc w:val="center"/>
            </w:pPr>
            <w:r>
              <w:rPr>
                <w:sz w:val="22"/>
                <w:szCs w:val="22"/>
              </w:rPr>
              <w:t>2.961</w:t>
            </w:r>
          </w:p>
        </w:tc>
      </w:tr>
    </w:tbl>
    <w:p>
      <w:pPr>
        <w:keepNext/>
        <w:spacing w:before="280" w:after="160"/>
      </w:pPr>
      <w:bookmarkStart w:id="35" w:name="_Toc244263413"/>
      <w:r>
        <w:rPr>
          <w:b/>
          <w:bCs/>
          <w:sz w:val="24"/>
          <w:szCs w:val="24"/>
        </w:rPr>
        <w:t>7.4 Da perspectiva à previsão</w:t>
      </w:r>
      <w:bookmarkEnd w:id="35"/>
    </w:p>
    <w:p>
      <w:pPr>
        <w:spacing w:after="200" w:line="276" w:lineRule="auto"/>
        <w:ind w:firstLine="720"/>
        <w:jc w:val="both"/>
      </w:pPr>
      <w:r>
        <w:rPr>
          <w:sz w:val="24"/>
          <w:szCs w:val="24"/>
        </w:rPr>
        <w:t>A perspectiva de outubro será substituída pela previsão propriamente dita quando o clima da safra for conhecido. Os próximos marcos são:</w:t>
      </w:r>
    </w:p>
    <w:p>
      <w:pPr>
        <w:pStyle w:val="PargrafodaLista"/>
        <w:numPr>
          <w:ilvl w:val="0"/>
          <w:numId w:val="3"/>
        </w:numPr>
        <w:spacing w:after="120" w:line="276" w:lineRule="auto"/>
        <w:jc w:val="both"/>
      </w:pPr>
      <w:r>
        <w:rPr>
          <w:b/>
          <w:bCs/>
          <w:sz w:val="24"/>
          <w:szCs w:val="24"/>
        </w:rPr>
        <w:t>Antes de março de 2027:</w:t>
      </w:r>
      <w:r>
        <w:rPr>
          <w:sz w:val="24"/>
          <w:szCs w:val="24"/>
        </w:rPr>
        <w:t xml:space="preserve"> conferir o clima de 2026 do NASA POWER com as estações do INMET e com outra reanálise, para entender a subestimação de 2026 e, se for o caso, corrigir o clima de entrada.</w:t>
      </w:r>
    </w:p>
    <w:p>
      <w:pPr>
        <w:pStyle w:val="PargrafodaLista"/>
        <w:numPr>
          <w:ilvl w:val="0"/>
          <w:numId w:val="3"/>
        </w:numPr>
        <w:spacing w:after="120" w:line="276" w:lineRule="auto"/>
        <w:jc w:val="both"/>
      </w:pPr>
      <w:r>
        <w:rPr>
          <w:b/>
          <w:bCs/>
          <w:sz w:val="24"/>
          <w:szCs w:val="24"/>
        </w:rPr>
        <w:t>Dezembro de 2026 a fevereiro de 2027:</w:t>
      </w:r>
      <w:r>
        <w:rPr>
          <w:sz w:val="24"/>
          <w:szCs w:val="24"/>
        </w:rPr>
        <w:t xml:space="preserve"> acompanhar a chuva e a umidade mínima do período crítico, que respondem pela maior parte do desvio previsto.</w:t>
      </w:r>
    </w:p>
    <w:p>
      <w:pPr>
        <w:pStyle w:val="PargrafodaLista"/>
        <w:numPr>
          <w:ilvl w:val="0"/>
          <w:numId w:val="3"/>
        </w:numPr>
        <w:spacing w:after="120" w:line="276" w:lineRule="auto"/>
        <w:jc w:val="both"/>
      </w:pPr>
      <w:r>
        <w:rPr>
          <w:b/>
          <w:bCs/>
          <w:sz w:val="24"/>
          <w:szCs w:val="24"/>
        </w:rPr>
        <w:t>31 de março de 2027:</w:t>
      </w:r>
      <w:r>
        <w:rPr>
          <w:sz w:val="24"/>
          <w:szCs w:val="24"/>
        </w:rPr>
        <w:t xml:space="preserve"> baixar o clima de outubro de 2026 a março de 2027 do NASA POWER e emitir a previsão da safra 2027 por município, com o patamar 2021–2025.</w:t>
      </w:r>
    </w:p>
    <w:p>
      <w:pPr>
        <w:pStyle w:val="PargrafodaLista"/>
        <w:numPr>
          <w:ilvl w:val="0"/>
          <w:numId w:val="3"/>
        </w:numPr>
        <w:spacing w:after="120" w:line="276" w:lineRule="auto"/>
        <w:jc w:val="both"/>
      </w:pPr>
      <w:r>
        <w:rPr>
          <w:b/>
          <w:bCs/>
          <w:sz w:val="24"/>
          <w:szCs w:val="24"/>
        </w:rPr>
        <w:t>Setembro de 2027:</w:t>
      </w:r>
      <w:r>
        <w:rPr>
          <w:sz w:val="24"/>
          <w:szCs w:val="24"/>
        </w:rPr>
        <w:t xml:space="preserve"> comparar a previsão de 2027 com o LSPA de setembro e avaliar a previsão de 2026 por município com a PAM de 2026.</w:t>
      </w:r>
    </w:p>
    <w:p>
      <w:pPr>
        <w:pStyle w:val="PargrafodaLista"/>
        <w:numPr>
          <w:ilvl w:val="0"/>
          <w:numId w:val="3"/>
        </w:numPr>
        <w:spacing w:after="120" w:line="276" w:lineRule="auto"/>
        <w:jc w:val="both"/>
      </w:pPr>
      <w:r>
        <w:rPr>
          <w:b/>
          <w:bCs/>
          <w:sz w:val="24"/>
          <w:szCs w:val="24"/>
        </w:rPr>
        <w:t>Setembro de 2028:</w:t>
      </w:r>
      <w:r>
        <w:rPr>
          <w:sz w:val="24"/>
          <w:szCs w:val="24"/>
        </w:rPr>
        <w:t xml:space="preserve"> resultado oficial da safra 2027 (PAM).</w:t>
      </w:r>
    </w:p>
    <w:p>
      <w:pPr>
        <w:keepNext/>
      </w:pPr>
      <w:bookmarkStart w:id="36" w:name="_Toc244263414"/>
      <w:r>
        <w:rPr>
          <w:b/>
          <w:bCs/>
          <w:sz w:val="28"/>
          <w:szCs w:val="28"/>
        </w:rPr>
        <w:t>8. Discussão e limitações</w:t>
      </w:r>
      <w:bookmarkEnd w:id="36"/>
    </w:p>
    <w:p>
      <w:pPr>
        <w:spacing w:after="200" w:line="276" w:lineRule="auto"/>
        <w:ind w:firstLine="720"/>
        <w:jc w:val="both"/>
      </w:pPr>
      <w:r>
        <w:rPr>
          <w:sz w:val="24"/>
          <w:szCs w:val="24"/>
        </w:rPr>
        <w:t>Ao contrário do que sugerem estudos com bases maiores [Jeong et al. 2016, von Bloh et al. 2023], a regressão linear superou Random Forest e Gradient Boosting. Dois fatores explicam o resultado: a base tem de 5 a 8 mil linhas e 20 safras, pouco para modelos mais flexíveis; e as secas recentes foram mais extremas que qualquer safra do treino – 2022 teve 44 dias de calor em dezembro–fevereiro nas estações do INMET, contra no máximo 33 até 2020 –, e modelos de árvores não extrapolam além dos valores vistos no t</w:t>
      </w:r>
      <w:r>
        <w:rPr>
          <w:sz w:val="24"/>
          <w:szCs w:val="24"/>
        </w:rPr>
        <w:t>reino. A não linearidade relevante, a perda que se acelera na seca extrema, foi capturada por um termo de limiar explícito, mantendo o modelo interpretável.</w:t>
      </w:r>
    </w:p>
    <w:p>
      <w:pPr>
        <w:spacing w:after="200" w:line="276" w:lineRule="auto"/>
        <w:ind w:firstLine="720"/>
        <w:jc w:val="both"/>
      </w:pPr>
      <w:r>
        <w:rPr>
          <w:sz w:val="24"/>
          <w:szCs w:val="24"/>
        </w:rPr>
        <w:t>Respeitar a data de publicação da PAM reduz os números, mas dá uma medida realista do desempenho no uso operacional. A troca para o clima em grade foi o que mais reduziu o erro em todo o trabalho, e a previsão de 2026 mostra que a qualidade desse clima de entrada é hoje o ponto mais sensível. As principais limitações são:</w:t>
      </w:r>
    </w:p>
    <w:p>
      <w:pPr>
        <w:pStyle w:val="PargrafodaLista"/>
        <w:numPr>
          <w:ilvl w:val="0"/>
          <w:numId w:val="2"/>
        </w:numPr>
        <w:spacing w:after="120" w:line="276" w:lineRule="auto"/>
        <w:jc w:val="both"/>
      </w:pPr>
      <w:r>
        <w:rPr>
          <w:sz w:val="24"/>
          <w:szCs w:val="24"/>
        </w:rPr>
        <w:t>o erro remanescente (≈19% por município, chegando a 29% no Sudoeste) reflete limites de informação: a grade representa a média de uma área de ≈50 km, e não a lavoura; chuvas concentradas em poucos eventos não aparecem nos totais; pragas, doenças, data de semeadura e manejo não estão nos dados;</w:t>
      </w:r>
    </w:p>
    <w:p>
      <w:pPr>
        <w:pStyle w:val="PargrafodaLista"/>
        <w:numPr>
          <w:ilvl w:val="0"/>
          <w:numId w:val="2"/>
        </w:numPr>
        <w:spacing w:after="120" w:line="276" w:lineRule="auto"/>
        <w:jc w:val="both"/>
      </w:pPr>
      <w:r>
        <w:rPr>
          <w:sz w:val="24"/>
          <w:szCs w:val="24"/>
        </w:rPr>
        <w:t>o modelo não antecipa quebras que não aparecem nas variáveis climáticas, como a de 2020, e subestimou a safra 2026 em 23% em relação ao LSPA;</w:t>
      </w:r>
    </w:p>
    <w:p>
      <w:pPr>
        <w:pStyle w:val="PargrafodaLista"/>
        <w:numPr>
          <w:ilvl w:val="0"/>
          <w:numId w:val="2"/>
        </w:numPr>
        <w:spacing w:after="120" w:line="276" w:lineRule="auto"/>
        <w:jc w:val="both"/>
      </w:pPr>
      <w:r>
        <w:rPr>
          <w:sz w:val="24"/>
          <w:szCs w:val="24"/>
        </w:rPr>
        <w:t>o próprio rendimento municipal da PAM é uma estimativa, e alguns municípios apresentam valores idênticos em safras consecutivas;</w:t>
      </w:r>
    </w:p>
    <w:p>
      <w:pPr>
        <w:pStyle w:val="PargrafodaLista"/>
        <w:numPr>
          <w:ilvl w:val="0"/>
          <w:numId w:val="2"/>
        </w:numPr>
        <w:spacing w:after="120" w:line="276" w:lineRule="auto"/>
        <w:jc w:val="both"/>
      </w:pPr>
      <w:r>
        <w:rPr>
          <w:sz w:val="24"/>
          <w:szCs w:val="24"/>
        </w:rPr>
        <w:t>hipóteses do balanço hídrico: CAD única de 75 mm para todo o estado e coeficiente de cultura igual a 1;</w:t>
      </w:r>
    </w:p>
    <w:p>
      <w:pPr>
        <w:pStyle w:val="PargrafodaLista"/>
        <w:numPr>
          <w:ilvl w:val="0"/>
          <w:numId w:val="2"/>
        </w:numPr>
        <w:spacing w:after="120" w:line="276" w:lineRule="auto"/>
        <w:jc w:val="both"/>
      </w:pPr>
      <w:r>
        <w:rPr>
          <w:sz w:val="24"/>
          <w:szCs w:val="24"/>
        </w:rPr>
        <w:t>a escolha do FL foi feita depois de testar seis variações nos mesmos dados; o ganho sobre o F é modesto (≈3,5% no RMSE médio), mas consistente nas duas validações e reconfirmado na Etapa 6;</w:t>
      </w:r>
    </w:p>
    <w:p>
      <w:pPr>
        <w:pStyle w:val="PargrafodaLista"/>
        <w:numPr>
          <w:ilvl w:val="0"/>
          <w:numId w:val="2"/>
        </w:numPr>
        <w:spacing w:after="120" w:line="276" w:lineRule="auto"/>
        <w:jc w:val="both"/>
      </w:pPr>
      <w:r>
        <w:rPr>
          <w:sz w:val="24"/>
          <w:szCs w:val="24"/>
        </w:rPr>
        <w:t>os p-valores dos coeficientes tendem a ser otimistas, pois os municípios de uma mesma safra compartilham o mesmo ano climático.</w:t>
      </w:r>
    </w:p>
    <w:p>
      <w:pPr>
        <w:spacing w:after="200" w:line="276" w:lineRule="auto"/>
        <w:ind w:firstLine="720"/>
        <w:jc w:val="both"/>
      </w:pPr>
      <w:r>
        <w:rPr>
          <w:sz w:val="24"/>
          <w:szCs w:val="24"/>
        </w:rPr>
        <w:t>Quanto ao uso responsável: o projeto usa apenas dados públicos agregados por município, sem dados pessoais, em conformidade com a LGPD. O indicador não deve ser tomado como decisão automática de crédito, seguro ou plantio; decisões com impacto econômico devem envolver avaliação agronômica humana, e a previsão deve ser comunicada sempre com o seu intervalo. Código, versões das bases e parâmetros estão versionados no repositório do projeto para permitir auditoria e reprodução.</w:t>
      </w:r>
    </w:p>
    <w:p>
      <w:pPr>
        <w:keepNext/>
      </w:pPr>
      <w:bookmarkStart w:id="37" w:name="_Toc244263415"/>
      <w:r>
        <w:rPr>
          <w:b/>
          <w:bCs/>
          <w:sz w:val="28"/>
          <w:szCs w:val="28"/>
        </w:rPr>
        <w:t>9. Conclusões e próximos passos</w:t>
      </w:r>
      <w:bookmarkEnd w:id="37"/>
    </w:p>
    <w:p>
      <w:pPr>
        <w:spacing w:after="200" w:line="276" w:lineRule="auto"/>
        <w:ind w:firstLine="720"/>
        <w:jc w:val="both"/>
      </w:pPr>
      <w:r>
        <w:rPr>
          <w:sz w:val="24"/>
          <w:szCs w:val="24"/>
        </w:rPr>
        <w:t xml:space="preserve">O trabalho construiu uma base municipal integrada e reprodutível e um modelo que prevê, em 31 de março e apenas com dados já publicados, o rendimento da soja de cada município do RS. Ao longo de seis etapas, os ganhos vieram da forma de representar o clima e o patamar – resumir a chuva por subperíodo, calcular o patamar só com as safras publicadas, usar clima em grade e representar a seca extrema –, e não da troca de algoritmo. O modelo final, FL, erra ≈19% por município e ≈244 kg/ha na média estadual, com </w:t>
      </w:r>
      <w:r>
        <w:rPr>
          <w:sz w:val="24"/>
          <w:szCs w:val="24"/>
        </w:rPr>
        <w:t>erro 31% menor que o da média histórica deixando uma safra de fora e 11% menor no período de secas 2021–2025. A chuva e a umidade de dezembro a fevereiro e a seca extrema são as variáveis mais associadas ao desvio do rendimento.</w:t>
      </w:r>
    </w:p>
    <w:p>
      <w:pPr>
        <w:spacing w:after="200" w:line="276" w:lineRule="auto"/>
        <w:ind w:firstLine="720"/>
        <w:jc w:val="both"/>
      </w:pPr>
      <w:r>
        <w:rPr>
          <w:sz w:val="24"/>
          <w:szCs w:val="24"/>
        </w:rPr>
        <w:t xml:space="preserve">Para a </w:t>
      </w:r>
      <w:r>
        <w:rPr>
          <w:b/>
          <w:bCs/>
          <w:sz w:val="24"/>
          <w:szCs w:val="24"/>
        </w:rPr>
        <w:t>safra 2026</w:t>
      </w:r>
      <w:r>
        <w:rPr>
          <w:sz w:val="24"/>
          <w:szCs w:val="24"/>
        </w:rPr>
        <w:t xml:space="preserve">, o modelo previu 2.097 kg/ha, 23% abaixo da estimativa de setembro do IBGE (2.734 kg/ha); a PAM de setembro de 2027 dará o resultado oficial. Para a </w:t>
      </w:r>
      <w:r>
        <w:rPr>
          <w:b/>
          <w:bCs/>
          <w:sz w:val="24"/>
          <w:szCs w:val="24"/>
        </w:rPr>
        <w:t>safra 2027</w:t>
      </w:r>
      <w:r>
        <w:rPr>
          <w:sz w:val="24"/>
          <w:szCs w:val="24"/>
        </w:rPr>
        <w:t>, sob o El Niño esperado, a perspectiva é de 2.831 kg/ha, acima do patamar de 2.300 kg/ha, com a previsão formal em 31 de março de 2027. Como próximos passos, recomenda-se validar o clima de entrada antes da previsão de 2027, testar índices de vegetação por satélite (NDVI) para captar perdas que o clima não explica, como as de 2020 e 2026, e buscar uma estimativa antecipada do rendimento da safra anterior por município, que reduziria a defasagem do patamar.</w:t>
      </w:r>
    </w:p>
    <w:p>
      <w:pPr>
        <w:spacing w:after="300" w:line="276" w:lineRule="auto"/>
        <w:jc w:val="both"/>
      </w:pPr>
      <w:r>
        <w:rPr>
          <w:b/>
          <w:bCs/>
          <w:sz w:val="24"/>
          <w:szCs w:val="24"/>
        </w:rPr>
        <w:t xml:space="preserve">Repositório: </w:t>
      </w:r>
      <w:hyperlink r:id="rId12" w:history="1">
        <w:r>
          <w:rPr>
            <w:b/>
            <w:bCs/>
            <w:sz w:val="24"/>
            <w:szCs w:val="24"/>
          </w:rPr>
          <w:t>https://github.com/isah5/Projeto_Safra_de_Soja</w:t>
        </w:r>
      </w:hyperlink>
    </w:p>
    <w:p>
      <w:pPr>
        <w:keepNext/>
      </w:pPr>
      <w:bookmarkStart w:id="38" w:name="_Toc244263416"/>
      <w:r>
        <w:rPr>
          <w:b/>
          <w:bCs/>
          <w:sz w:val="28"/>
          <w:szCs w:val="28"/>
        </w:rPr>
        <w:t>Referências</w:t>
      </w:r>
      <w:bookmarkEnd w:id="38"/>
    </w:p>
    <w:p>
      <w:pPr>
        <w:spacing w:after="160" w:line="276" w:lineRule="auto"/>
        <w:ind w:left="431" w:hanging="431"/>
        <w:jc w:val="left"/>
      </w:pPr>
      <w:r>
        <w:rPr>
          <w:sz w:val="22"/>
          <w:szCs w:val="22"/>
        </w:rPr>
        <w:t>Allen, R. G., Pereira, L. S., Raes, D. e Smith, M. (1998). Crop evapotranspiration: guidelines for computing crop water requirements. FAO Irrigation and Drainage Paper 56. FAO, Roma.</w:t>
      </w:r>
    </w:p>
    <w:p>
      <w:pPr>
        <w:spacing w:after="160" w:line="276" w:lineRule="auto"/>
        <w:ind w:left="431" w:hanging="431"/>
        <w:jc w:val="left"/>
      </w:pPr>
      <w:r>
        <w:rPr>
          <w:sz w:val="22"/>
          <w:szCs w:val="22"/>
        </w:rPr>
        <w:t>Breiman, L. (2001). Random forests. Machine Learning, 45:5–32.</w:t>
      </w:r>
    </w:p>
    <w:p>
      <w:pPr>
        <w:spacing w:after="160" w:line="276" w:lineRule="auto"/>
        <w:ind w:left="431" w:hanging="431"/>
        <w:jc w:val="left"/>
      </w:pPr>
      <w:r>
        <w:rPr>
          <w:sz w:val="22"/>
          <w:szCs w:val="22"/>
        </w:rPr>
        <w:t>Friedman, J. H. (2001). Greedy function approximation: a gradient boosting machine. The Annals of Statistics, 29(5):1189–1232.</w:t>
      </w:r>
    </w:p>
    <w:p>
      <w:pPr>
        <w:spacing w:after="160" w:line="276" w:lineRule="auto"/>
        <w:ind w:left="431" w:hanging="431"/>
        <w:jc w:val="left"/>
      </w:pPr>
      <w:r>
        <w:rPr>
          <w:sz w:val="22"/>
          <w:szCs w:val="22"/>
        </w:rPr>
        <w:t>Hargreaves, G. H. e Samani, Z. A. (1985). Reference crop evapotranspiration from temperature. Applied Engineering in Agriculture, 1(2):96–99.</w:t>
      </w:r>
    </w:p>
    <w:p>
      <w:pPr>
        <w:spacing w:after="160" w:line="276" w:lineRule="auto"/>
        <w:ind w:left="431" w:hanging="431"/>
        <w:jc w:val="left"/>
      </w:pPr>
      <w:r>
        <w:rPr>
          <w:sz w:val="22"/>
          <w:szCs w:val="22"/>
        </w:rPr>
        <w:t>IBGE (2025). PAM 2024: com queda nos preços e na safra de grãos, valor da produção agrícola cai pelo segundo ano seguido. Agência IBGE Notícias, 11 set. 2025. https://agenciadenoticias.ibge.gov.br/pt/agencia-noticias/44465-pam-2024-com-queda-nos-precos-e-na-safra-de-graos-valor-da-producao-agricola-cai-pelo-segundo-ano-seguido.html. Acesso em: 24 out. 2026.</w:t>
      </w:r>
    </w:p>
    <w:p>
      <w:pPr>
        <w:spacing w:after="160" w:line="276" w:lineRule="auto"/>
        <w:ind w:left="431" w:hanging="431"/>
        <w:jc w:val="left"/>
      </w:pPr>
      <w:r>
        <w:rPr>
          <w:sz w:val="22"/>
          <w:szCs w:val="22"/>
        </w:rPr>
        <w:t>IBGE (2026a). Produção Agrícola Municipal: tabela 1612 – lavouras temporárias. IBGE/SIDRA. https://sidra.ibge.gov.br/tabela/1612. Acesso em: 25 set. 2026.</w:t>
      </w:r>
    </w:p>
    <w:p>
      <w:pPr>
        <w:spacing w:after="160" w:line="276" w:lineRule="auto"/>
        <w:ind w:left="431" w:hanging="431"/>
        <w:jc w:val="left"/>
      </w:pPr>
      <w:r>
        <w:rPr>
          <w:sz w:val="22"/>
          <w:szCs w:val="22"/>
        </w:rPr>
        <w:t>IBGE (2026b). API de Localidades: municípios do Rio Grande do Sul. https://servicodados.ibge.gov.br/api/v1/localidades/estados/43/municipios. Acesso em: 22 out. 2026.</w:t>
      </w:r>
    </w:p>
    <w:p>
      <w:pPr>
        <w:spacing w:after="160" w:line="276" w:lineRule="auto"/>
        <w:ind w:left="431" w:hanging="431"/>
        <w:jc w:val="left"/>
      </w:pPr>
      <w:r>
        <w:rPr>
          <w:sz w:val="22"/>
          <w:szCs w:val="22"/>
        </w:rPr>
        <w:t>IBGE (2026c). Levantamento Sistemático da Produção Agrícola: tabela 6588. IBGE/SIDRA. https://sidra.ibge.gov.br/tabela/6588. Acesso em: 29 out. 2026.</w:t>
      </w:r>
    </w:p>
    <w:p>
      <w:pPr>
        <w:spacing w:after="160" w:line="276" w:lineRule="auto"/>
        <w:ind w:left="431" w:hanging="431"/>
        <w:jc w:val="left"/>
      </w:pPr>
      <w:r>
        <w:rPr>
          <w:sz w:val="22"/>
          <w:szCs w:val="22"/>
        </w:rPr>
        <w:t>INMET (2026). BDMEP – Banco de Dados Meteorológicos. Instituto Nacional de Meteorologia. https://bdmep.inmet.gov.br/. Acesso em: 25 set. 2026.</w:t>
      </w:r>
    </w:p>
    <w:p>
      <w:pPr>
        <w:spacing w:after="160" w:line="276" w:lineRule="auto"/>
        <w:ind w:left="431" w:hanging="431"/>
        <w:jc w:val="left"/>
      </w:pPr>
      <w:r>
        <w:rPr>
          <w:sz w:val="22"/>
          <w:szCs w:val="22"/>
        </w:rPr>
        <w:t>Jeong, J. H. et al. (2016). Random forests for global and regional crop yield predictions. PLOS ONE, 11(6):e0156571.</w:t>
      </w:r>
    </w:p>
    <w:p>
      <w:pPr>
        <w:spacing w:after="160" w:line="276" w:lineRule="auto"/>
        <w:ind w:left="431" w:hanging="431"/>
        <w:jc w:val="left"/>
      </w:pPr>
      <w:r>
        <w:rPr>
          <w:sz w:val="22"/>
          <w:szCs w:val="22"/>
        </w:rPr>
        <w:t>Lundberg, S. M. e Lee, S.-I. (2017). A unified approach to interpreting model predictions. In Advances in Neural Information Processing Systems 30 (NIPS 2017), p. 4765–4774.</w:t>
      </w:r>
    </w:p>
    <w:p>
      <w:pPr>
        <w:spacing w:after="160" w:line="276" w:lineRule="auto"/>
        <w:ind w:left="431" w:hanging="431"/>
        <w:jc w:val="left"/>
      </w:pPr>
      <w:r>
        <w:rPr>
          <w:sz w:val="22"/>
          <w:szCs w:val="22"/>
        </w:rPr>
        <w:t>NASA (2026). POWER – Prediction Of Worldwide Energy Resources: daily data, community AG. NASA Langley Research Center. https://power.larc.nasa.gov/. Acesso em: 29 out. 2026.</w:t>
      </w:r>
    </w:p>
    <w:p>
      <w:pPr>
        <w:spacing w:after="160" w:line="276" w:lineRule="auto"/>
        <w:ind w:left="431" w:hanging="431"/>
        <w:jc w:val="left"/>
      </w:pPr>
      <w:r>
        <w:rPr>
          <w:sz w:val="22"/>
          <w:szCs w:val="22"/>
        </w:rPr>
        <w:t>NOAA (2026). Oceanic Niño Index (ONI): cold &amp; warm episodes by season. Climate Prediction Center. https://origin.cpc.ncep.noaa.gov/products/analysis_monitoring/ensostuff/ONI_v5.php. Acesso em: 25 set. 2026.</w:t>
      </w:r>
    </w:p>
    <w:p>
      <w:pPr>
        <w:spacing w:after="160" w:line="276" w:lineRule="auto"/>
        <w:ind w:left="431" w:hanging="431"/>
        <w:jc w:val="left"/>
      </w:pPr>
      <w:r>
        <w:rPr>
          <w:sz w:val="22"/>
          <w:szCs w:val="22"/>
        </w:rPr>
        <w:t>Nóia Júnior, R. S. et al. (2020). Effects of the El Niño Southern Oscillation phenomenon and sowing dates on soybean yield and on the occurrence of extreme weather events in southern Brazil. Agricultural and Forest Meteorology, 290:108038.</w:t>
      </w:r>
    </w:p>
    <w:p>
      <w:pPr>
        <w:spacing w:after="160" w:line="276" w:lineRule="auto"/>
        <w:ind w:left="431" w:hanging="431"/>
        <w:jc w:val="left"/>
      </w:pPr>
      <w:r>
        <w:rPr>
          <w:sz w:val="22"/>
          <w:szCs w:val="22"/>
        </w:rPr>
        <w:t>Pedregosa, F. et al. (2011). Scikit-learn: machine learning in Python. Journal of Machine Learning Research, 12:2825–2830.</w:t>
      </w:r>
    </w:p>
    <w:p>
      <w:pPr>
        <w:spacing w:after="160" w:line="276" w:lineRule="auto"/>
        <w:ind w:left="431" w:hanging="431"/>
        <w:jc w:val="left"/>
      </w:pPr>
      <w:r>
        <w:rPr>
          <w:sz w:val="22"/>
          <w:szCs w:val="22"/>
        </w:rPr>
        <w:t>Pilau, F. G. et al. (2022). Impact of ENSO-related rainfall variability on soybean yield in the state of Rio Grande do Sul, Brazil. Agrometeoros, 30:e027115.</w:t>
      </w:r>
    </w:p>
    <w:p>
      <w:pPr>
        <w:spacing w:after="160" w:line="276" w:lineRule="auto"/>
        <w:ind w:left="431" w:hanging="431"/>
        <w:jc w:val="left"/>
      </w:pPr>
      <w:r>
        <w:rPr>
          <w:sz w:val="22"/>
          <w:szCs w:val="22"/>
        </w:rPr>
        <w:t>Reunião de Pesquisa de Soja da Região Sul (2014). Indicações técnicas para a cultura da soja no Rio Grande do Sul e em Santa Catarina, safras 2014/2015 e 2015/2016. https://www.infoteca.cnptia.embrapa.br/infoteca/handle/doc/1011192. Acesso em: 22 out. 2026.</w:t>
      </w:r>
    </w:p>
    <w:p>
      <w:pPr>
        <w:spacing w:after="160" w:line="276" w:lineRule="auto"/>
        <w:ind w:left="431" w:hanging="431"/>
        <w:jc w:val="left"/>
      </w:pPr>
      <w:r>
        <w:rPr>
          <w:sz w:val="22"/>
          <w:szCs w:val="22"/>
        </w:rPr>
        <w:t>SBCS/CQFS-RS/SC (2016). Manual de Calagem e Adubação para os Estados do Rio Grande do Sul e de Santa Catarina. Sociedade Brasileira de Ciência do Solo – Núcleo Regional Sul, Comissão de Química e Fertilidade do Solo – RS/SC, Porto Alegre.</w:t>
      </w:r>
    </w:p>
    <w:p>
      <w:pPr>
        <w:spacing w:after="160" w:line="276" w:lineRule="auto"/>
        <w:ind w:left="431" w:hanging="431"/>
        <w:jc w:val="left"/>
      </w:pPr>
      <w:r>
        <w:rPr>
          <w:sz w:val="22"/>
          <w:szCs w:val="22"/>
        </w:rPr>
        <w:t>van Klompenburg, T., Kassahun, A. e Catal, C. (2020). Crop yield prediction using machine learning: a systematic literature review. Computers and Electronics in Agriculture, 177:105709.</w:t>
      </w:r>
    </w:p>
    <w:p>
      <w:pPr>
        <w:spacing w:after="160" w:line="276" w:lineRule="auto"/>
        <w:ind w:left="431" w:hanging="431"/>
        <w:jc w:val="left"/>
      </w:pPr>
      <w:r>
        <w:rPr>
          <w:sz w:val="22"/>
          <w:szCs w:val="22"/>
        </w:rPr>
        <w:t>von Bloh, M. et al. (2023). Machine learning for soybean yield forecasting in Brazil. Agricultural and Forest Meteorology, 341:109670.</w:t>
      </w:r>
    </w:p>
    <w:p>
      <w:pPr>
        <w:keepNext/>
      </w:pPr>
      <w:bookmarkStart w:id="39" w:name="_Toc244263417"/>
      <w:r>
        <w:rPr>
          <w:b/>
          <w:bCs/>
          <w:sz w:val="28"/>
          <w:szCs w:val="28"/>
        </w:rPr>
        <w:t>Apêndice A – Aplicação: recomendação de adubação</w:t>
      </w:r>
      <w:bookmarkEnd w:id="39"/>
    </w:p>
    <w:p>
      <w:pPr>
        <w:spacing w:after="200" w:line="276" w:lineRule="auto"/>
        <w:ind w:firstLine="720"/>
        <w:jc w:val="both"/>
      </w:pPr>
      <w:r>
        <w:rPr>
          <w:sz w:val="24"/>
          <w:szCs w:val="24"/>
        </w:rPr>
        <w:t>Como aplicação complementar, o rendimento esperado foi combinado com as tabelas da Embrapa/CQFS-RS/SC [Reunião de Pesquisa de Soja da Região Sul 2014, SBCS/CQFS-RS/SC 2016] para gerar a dose recomendada de P₂O₅ e K₂O. A adubação é decidida no plantio, antes do clima do verão, por isso o rendimento esperado usado é o patamar do município (para a safra 2026, a média de 2020–2024). A tabela indica a dose por classe de teor do nutriente no solo para 2 t/ha, acrescida de 15 kg/ha de P₂O₅ e 25 kg/ha de K₂O por to</w:t>
      </w:r>
      <w:r>
        <w:rPr>
          <w:sz w:val="24"/>
          <w:szCs w:val="24"/>
        </w:rPr>
        <w:t>nelada adicional; rendimentos esperados abaixo de 2 t/ha usam a dose da tabela, e doses zero (classe “Muito alto”) foram mantidas. As doses são a recomendação normativa aplicada ao rendimento esperado, e não a adubação efetivamente usada pelos produtores; o produtor identifica a sua classe pela análise de solo. O resultado, para 429 municípios, está em recomendacao_adubacao_safra2026.csv; a Tabela 18 ilustra três mesorregiões.</w:t>
      </w:r>
    </w:p>
    <w:p>
      <w:pPr>
        <w:keepNext/>
        <w:spacing w:before="120" w:after="300"/>
        <w:jc w:val="center"/>
      </w:pPr>
      <w:r>
        <w:rPr>
          <w:i/>
          <w:iCs/>
          <w:sz w:val="22"/>
          <w:szCs w:val="22"/>
        </w:rPr>
        <w:t xml:space="preserve">Tabela 18 – Dose recomendada no 1º cultivo (kg/ha) para o rendimento esperado mediano de três mesorregiões, por classe de teor do solo. Fonte: elaboração própria a partir de Embrapa/CQFS-RS/SC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550"/>
        <w:gridCol w:w="1189"/>
        <w:gridCol w:w="951"/>
        <w:gridCol w:w="951"/>
        <w:gridCol w:w="951"/>
        <w:gridCol w:w="951"/>
        <w:gridCol w:w="957"/>
      </w:tblGrid>
      <w:tr>
        <w:trPr>
          <w:cantSplit/>
          <w:tblHeader/>
        </w:trPr>
        <w:tc>
          <w:tcPr>
            <w:tcW w:w="2550" w:type="dxa"/>
            <w:shd w:val="clear" w:color="auto" w:fill="D9D9D9"/>
            <w:tcMar>
              <w:top w:w="80" w:type="dxa"/>
              <w:left w:w="100" w:type="dxa"/>
              <w:bottom w:w="80" w:type="dxa"/>
              <w:right w:w="100" w:type="dxa"/>
            </w:tcMar>
          </w:tcPr>
          <w:p>
            <w:pPr>
              <w:keepNext/>
              <w:jc w:val="center"/>
            </w:pPr>
            <w:r>
              <w:rPr>
                <w:b/>
                <w:bCs/>
                <w:sz w:val="22"/>
                <w:szCs w:val="22"/>
              </w:rPr>
              <w:t>Mesorregião (rend. esperado)</w:t>
            </w:r>
          </w:p>
        </w:tc>
        <w:tc>
          <w:tcPr>
            <w:tcW w:w="1189" w:type="dxa"/>
            <w:shd w:val="clear" w:color="auto" w:fill="D9D9D9"/>
            <w:tcMar>
              <w:top w:w="80" w:type="dxa"/>
              <w:left w:w="100" w:type="dxa"/>
              <w:bottom w:w="80" w:type="dxa"/>
              <w:right w:w="100" w:type="dxa"/>
            </w:tcMar>
          </w:tcPr>
          <w:p>
            <w:pPr>
              <w:keepNext/>
              <w:jc w:val="center"/>
            </w:pPr>
            <w:r>
              <w:rPr>
                <w:b/>
                <w:bCs/>
                <w:sz w:val="22"/>
                <w:szCs w:val="22"/>
              </w:rPr>
              <w:t>Nutriente</w:t>
            </w:r>
          </w:p>
        </w:tc>
        <w:tc>
          <w:tcPr>
            <w:tcW w:w="951" w:type="dxa"/>
            <w:shd w:val="clear" w:color="auto" w:fill="D9D9D9"/>
            <w:tcMar>
              <w:top w:w="80" w:type="dxa"/>
              <w:left w:w="100" w:type="dxa"/>
              <w:bottom w:w="80" w:type="dxa"/>
              <w:right w:w="100" w:type="dxa"/>
            </w:tcMar>
          </w:tcPr>
          <w:p>
            <w:pPr>
              <w:keepNext/>
              <w:jc w:val="center"/>
            </w:pPr>
            <w:r>
              <w:rPr>
                <w:b/>
                <w:bCs/>
                <w:sz w:val="22"/>
                <w:szCs w:val="22"/>
              </w:rPr>
              <w:t>M. baixo</w:t>
            </w:r>
          </w:p>
        </w:tc>
        <w:tc>
          <w:tcPr>
            <w:tcW w:w="951" w:type="dxa"/>
            <w:shd w:val="clear" w:color="auto" w:fill="D9D9D9"/>
            <w:tcMar>
              <w:top w:w="80" w:type="dxa"/>
              <w:left w:w="100" w:type="dxa"/>
              <w:bottom w:w="80" w:type="dxa"/>
              <w:right w:w="100" w:type="dxa"/>
            </w:tcMar>
          </w:tcPr>
          <w:p>
            <w:pPr>
              <w:keepNext/>
              <w:jc w:val="center"/>
            </w:pPr>
            <w:r>
              <w:rPr>
                <w:b/>
                <w:bCs/>
                <w:sz w:val="22"/>
                <w:szCs w:val="22"/>
              </w:rPr>
              <w:t>Baixo</w:t>
            </w:r>
          </w:p>
        </w:tc>
        <w:tc>
          <w:tcPr>
            <w:tcW w:w="951" w:type="dxa"/>
            <w:shd w:val="clear" w:color="auto" w:fill="D9D9D9"/>
            <w:tcMar>
              <w:top w:w="80" w:type="dxa"/>
              <w:left w:w="100" w:type="dxa"/>
              <w:bottom w:w="80" w:type="dxa"/>
              <w:right w:w="100" w:type="dxa"/>
            </w:tcMar>
          </w:tcPr>
          <w:p>
            <w:pPr>
              <w:keepNext/>
              <w:jc w:val="center"/>
            </w:pPr>
            <w:r>
              <w:rPr>
                <w:b/>
                <w:bCs/>
                <w:sz w:val="22"/>
                <w:szCs w:val="22"/>
              </w:rPr>
              <w:t>Médio</w:t>
            </w:r>
          </w:p>
        </w:tc>
        <w:tc>
          <w:tcPr>
            <w:tcW w:w="951" w:type="dxa"/>
            <w:shd w:val="clear" w:color="auto" w:fill="D9D9D9"/>
            <w:tcMar>
              <w:top w:w="80" w:type="dxa"/>
              <w:left w:w="100" w:type="dxa"/>
              <w:bottom w:w="80" w:type="dxa"/>
              <w:right w:w="100" w:type="dxa"/>
            </w:tcMar>
          </w:tcPr>
          <w:p>
            <w:pPr>
              <w:keepNext/>
              <w:jc w:val="center"/>
            </w:pPr>
            <w:r>
              <w:rPr>
                <w:b/>
                <w:bCs/>
                <w:sz w:val="22"/>
                <w:szCs w:val="22"/>
              </w:rPr>
              <w:t>Alto</w:t>
            </w:r>
          </w:p>
        </w:tc>
        <w:tc>
          <w:tcPr>
            <w:tcW w:w="957" w:type="dxa"/>
            <w:shd w:val="clear" w:color="auto" w:fill="D9D9D9"/>
            <w:tcMar>
              <w:top w:w="80" w:type="dxa"/>
              <w:left w:w="100" w:type="dxa"/>
              <w:bottom w:w="80" w:type="dxa"/>
              <w:right w:w="100" w:type="dxa"/>
            </w:tcMar>
          </w:tcPr>
          <w:p>
            <w:pPr>
              <w:keepNext/>
              <w:jc w:val="center"/>
            </w:pPr>
            <w:r>
              <w:rPr>
                <w:b/>
                <w:bCs/>
                <w:sz w:val="22"/>
                <w:szCs w:val="22"/>
              </w:rPr>
              <w:t>M. alto</w:t>
            </w:r>
          </w:p>
        </w:tc>
      </w:tr>
      <w:tr>
        <w:trPr>
          <w:cantSplit/>
        </w:trPr>
        <w:tc>
          <w:tcPr>
            <w:tcW w:w="2550" w:type="dxa"/>
            <w:tcMar>
              <w:top w:w="80" w:type="dxa"/>
              <w:left w:w="100" w:type="dxa"/>
              <w:bottom w:w="80" w:type="dxa"/>
              <w:right w:w="100" w:type="dxa"/>
            </w:tcMar>
          </w:tcPr>
          <w:p>
            <w:pPr>
              <w:keepNext/>
            </w:pPr>
            <w:r>
              <w:rPr>
                <w:sz w:val="22"/>
                <w:szCs w:val="22"/>
              </w:rPr>
              <w:t>Nordeste (2.774 kg/ha)</w:t>
            </w:r>
          </w:p>
        </w:tc>
        <w:tc>
          <w:tcPr>
            <w:tcW w:w="1189" w:type="dxa"/>
            <w:tcMar>
              <w:top w:w="80" w:type="dxa"/>
              <w:left w:w="100" w:type="dxa"/>
              <w:bottom w:w="80" w:type="dxa"/>
              <w:right w:w="100" w:type="dxa"/>
            </w:tcMar>
          </w:tcPr>
          <w:p>
            <w:pPr>
              <w:keepNext/>
            </w:pPr>
            <w:r>
              <w:rPr>
                <w:sz w:val="22"/>
                <w:szCs w:val="22"/>
              </w:rPr>
              <w:t>P₂O₅</w:t>
            </w:r>
          </w:p>
        </w:tc>
        <w:tc>
          <w:tcPr>
            <w:tcW w:w="951" w:type="dxa"/>
            <w:tcMar>
              <w:top w:w="80" w:type="dxa"/>
              <w:left w:w="100" w:type="dxa"/>
              <w:bottom w:w="80" w:type="dxa"/>
              <w:right w:w="100" w:type="dxa"/>
            </w:tcMar>
          </w:tcPr>
          <w:p>
            <w:pPr>
              <w:keepNext/>
              <w:jc w:val="center"/>
            </w:pPr>
            <w:r>
              <w:rPr>
                <w:sz w:val="22"/>
                <w:szCs w:val="22"/>
              </w:rPr>
              <w:t>122</w:t>
            </w:r>
          </w:p>
        </w:tc>
        <w:tc>
          <w:tcPr>
            <w:tcW w:w="951" w:type="dxa"/>
            <w:tcMar>
              <w:top w:w="80" w:type="dxa"/>
              <w:left w:w="100" w:type="dxa"/>
              <w:bottom w:w="80" w:type="dxa"/>
              <w:right w:w="100" w:type="dxa"/>
            </w:tcMar>
          </w:tcPr>
          <w:p>
            <w:pPr>
              <w:keepNext/>
              <w:jc w:val="center"/>
            </w:pPr>
            <w:r>
              <w:rPr>
                <w:sz w:val="22"/>
                <w:szCs w:val="22"/>
              </w:rPr>
              <w:t>82</w:t>
            </w:r>
          </w:p>
        </w:tc>
        <w:tc>
          <w:tcPr>
            <w:tcW w:w="951" w:type="dxa"/>
            <w:tcMar>
              <w:top w:w="80" w:type="dxa"/>
              <w:left w:w="100" w:type="dxa"/>
              <w:bottom w:w="80" w:type="dxa"/>
              <w:right w:w="100" w:type="dxa"/>
            </w:tcMar>
          </w:tcPr>
          <w:p>
            <w:pPr>
              <w:keepNext/>
              <w:jc w:val="center"/>
            </w:pPr>
            <w:r>
              <w:rPr>
                <w:sz w:val="22"/>
                <w:szCs w:val="22"/>
              </w:rPr>
              <w:t>72</w:t>
            </w:r>
          </w:p>
        </w:tc>
        <w:tc>
          <w:tcPr>
            <w:tcW w:w="951" w:type="dxa"/>
            <w:tcMar>
              <w:top w:w="80" w:type="dxa"/>
              <w:left w:w="100" w:type="dxa"/>
              <w:bottom w:w="80" w:type="dxa"/>
              <w:right w:w="100" w:type="dxa"/>
            </w:tcMar>
          </w:tcPr>
          <w:p>
            <w:pPr>
              <w:keepNext/>
              <w:jc w:val="center"/>
            </w:pPr>
            <w:r>
              <w:rPr>
                <w:sz w:val="22"/>
                <w:szCs w:val="22"/>
              </w:rPr>
              <w:t>42</w:t>
            </w:r>
          </w:p>
        </w:tc>
        <w:tc>
          <w:tcPr>
            <w:tcW w:w="957" w:type="dxa"/>
            <w:tcMar>
              <w:top w:w="80" w:type="dxa"/>
              <w:left w:w="100" w:type="dxa"/>
              <w:bottom w:w="80" w:type="dxa"/>
              <w:right w:w="100" w:type="dxa"/>
            </w:tcMar>
          </w:tcPr>
          <w:p>
            <w:pPr>
              <w:keepNext/>
              <w:jc w:val="center"/>
            </w:pPr>
            <w:r>
              <w:rPr>
                <w:sz w:val="22"/>
                <w:szCs w:val="22"/>
              </w:rPr>
              <w:t>0</w:t>
            </w:r>
          </w:p>
        </w:tc>
      </w:tr>
      <w:tr>
        <w:trPr>
          <w:cantSplit/>
        </w:trPr>
        <w:tc>
          <w:tcPr>
            <w:tcW w:w="2550" w:type="dxa"/>
            <w:tcMar>
              <w:top w:w="80" w:type="dxa"/>
              <w:left w:w="100" w:type="dxa"/>
              <w:bottom w:w="80" w:type="dxa"/>
              <w:right w:w="100" w:type="dxa"/>
            </w:tcMar>
          </w:tcPr>
          <w:p>
            <w:pPr>
              <w:keepNext/>
            </w:pPr>
          </w:p>
        </w:tc>
        <w:tc>
          <w:tcPr>
            <w:tcW w:w="1189" w:type="dxa"/>
            <w:tcMar>
              <w:top w:w="80" w:type="dxa"/>
              <w:left w:w="100" w:type="dxa"/>
              <w:bottom w:w="80" w:type="dxa"/>
              <w:right w:w="100" w:type="dxa"/>
            </w:tcMar>
          </w:tcPr>
          <w:p>
            <w:pPr>
              <w:keepNext/>
            </w:pPr>
            <w:r>
              <w:rPr>
                <w:sz w:val="22"/>
                <w:szCs w:val="22"/>
              </w:rPr>
              <w:t>K₂O</w:t>
            </w:r>
          </w:p>
        </w:tc>
        <w:tc>
          <w:tcPr>
            <w:tcW w:w="951" w:type="dxa"/>
            <w:tcMar>
              <w:top w:w="80" w:type="dxa"/>
              <w:left w:w="100" w:type="dxa"/>
              <w:bottom w:w="80" w:type="dxa"/>
              <w:right w:w="100" w:type="dxa"/>
            </w:tcMar>
          </w:tcPr>
          <w:p>
            <w:pPr>
              <w:keepNext/>
              <w:jc w:val="center"/>
            </w:pPr>
            <w:r>
              <w:rPr>
                <w:sz w:val="22"/>
                <w:szCs w:val="22"/>
              </w:rPr>
              <w:t>144</w:t>
            </w:r>
          </w:p>
        </w:tc>
        <w:tc>
          <w:tcPr>
            <w:tcW w:w="951" w:type="dxa"/>
            <w:tcMar>
              <w:top w:w="80" w:type="dxa"/>
              <w:left w:w="100" w:type="dxa"/>
              <w:bottom w:w="80" w:type="dxa"/>
              <w:right w:w="100" w:type="dxa"/>
            </w:tcMar>
          </w:tcPr>
          <w:p>
            <w:pPr>
              <w:keepNext/>
              <w:jc w:val="center"/>
            </w:pPr>
            <w:r>
              <w:rPr>
                <w:sz w:val="22"/>
                <w:szCs w:val="22"/>
              </w:rPr>
              <w:t>104</w:t>
            </w:r>
          </w:p>
        </w:tc>
        <w:tc>
          <w:tcPr>
            <w:tcW w:w="951" w:type="dxa"/>
            <w:tcMar>
              <w:top w:w="80" w:type="dxa"/>
              <w:left w:w="100" w:type="dxa"/>
              <w:bottom w:w="80" w:type="dxa"/>
              <w:right w:w="100" w:type="dxa"/>
            </w:tcMar>
          </w:tcPr>
          <w:p>
            <w:pPr>
              <w:keepNext/>
              <w:jc w:val="center"/>
            </w:pPr>
            <w:r>
              <w:rPr>
                <w:sz w:val="22"/>
                <w:szCs w:val="22"/>
              </w:rPr>
              <w:t>94</w:t>
            </w:r>
          </w:p>
        </w:tc>
        <w:tc>
          <w:tcPr>
            <w:tcW w:w="951" w:type="dxa"/>
            <w:tcMar>
              <w:top w:w="80" w:type="dxa"/>
              <w:left w:w="100" w:type="dxa"/>
              <w:bottom w:w="80" w:type="dxa"/>
              <w:right w:w="100" w:type="dxa"/>
            </w:tcMar>
          </w:tcPr>
          <w:p>
            <w:pPr>
              <w:keepNext/>
              <w:jc w:val="center"/>
            </w:pPr>
            <w:r>
              <w:rPr>
                <w:sz w:val="22"/>
                <w:szCs w:val="22"/>
              </w:rPr>
              <w:t>64</w:t>
            </w:r>
          </w:p>
        </w:tc>
        <w:tc>
          <w:tcPr>
            <w:tcW w:w="957" w:type="dxa"/>
            <w:tcMar>
              <w:top w:w="80" w:type="dxa"/>
              <w:left w:w="100" w:type="dxa"/>
              <w:bottom w:w="80" w:type="dxa"/>
              <w:right w:w="100" w:type="dxa"/>
            </w:tcMar>
          </w:tcPr>
          <w:p>
            <w:pPr>
              <w:keepNext/>
              <w:jc w:val="center"/>
            </w:pPr>
            <w:r>
              <w:rPr>
                <w:sz w:val="22"/>
                <w:szCs w:val="22"/>
              </w:rPr>
              <w:t>0</w:t>
            </w:r>
          </w:p>
        </w:tc>
      </w:tr>
      <w:tr>
        <w:trPr>
          <w:cantSplit/>
        </w:trPr>
        <w:tc>
          <w:tcPr>
            <w:tcW w:w="2550" w:type="dxa"/>
            <w:tcMar>
              <w:top w:w="80" w:type="dxa"/>
              <w:left w:w="100" w:type="dxa"/>
              <w:bottom w:w="80" w:type="dxa"/>
              <w:right w:w="100" w:type="dxa"/>
            </w:tcMar>
          </w:tcPr>
          <w:p>
            <w:pPr>
              <w:keepNext/>
            </w:pPr>
            <w:r>
              <w:rPr>
                <w:sz w:val="22"/>
                <w:szCs w:val="22"/>
              </w:rPr>
              <w:t>Noroeste (2.544 kg/ha)</w:t>
            </w:r>
          </w:p>
        </w:tc>
        <w:tc>
          <w:tcPr>
            <w:tcW w:w="1189" w:type="dxa"/>
            <w:tcMar>
              <w:top w:w="80" w:type="dxa"/>
              <w:left w:w="100" w:type="dxa"/>
              <w:bottom w:w="80" w:type="dxa"/>
              <w:right w:w="100" w:type="dxa"/>
            </w:tcMar>
          </w:tcPr>
          <w:p>
            <w:pPr>
              <w:keepNext/>
            </w:pPr>
            <w:r>
              <w:rPr>
                <w:sz w:val="22"/>
                <w:szCs w:val="22"/>
              </w:rPr>
              <w:t>P₂O₅</w:t>
            </w:r>
          </w:p>
        </w:tc>
        <w:tc>
          <w:tcPr>
            <w:tcW w:w="951" w:type="dxa"/>
            <w:tcMar>
              <w:top w:w="80" w:type="dxa"/>
              <w:left w:w="100" w:type="dxa"/>
              <w:bottom w:w="80" w:type="dxa"/>
              <w:right w:w="100" w:type="dxa"/>
            </w:tcMar>
          </w:tcPr>
          <w:p>
            <w:pPr>
              <w:keepNext/>
              <w:jc w:val="center"/>
            </w:pPr>
            <w:r>
              <w:rPr>
                <w:sz w:val="22"/>
                <w:szCs w:val="22"/>
              </w:rPr>
              <w:t>118</w:t>
            </w:r>
          </w:p>
        </w:tc>
        <w:tc>
          <w:tcPr>
            <w:tcW w:w="951" w:type="dxa"/>
            <w:tcMar>
              <w:top w:w="80" w:type="dxa"/>
              <w:left w:w="100" w:type="dxa"/>
              <w:bottom w:w="80" w:type="dxa"/>
              <w:right w:w="100" w:type="dxa"/>
            </w:tcMar>
          </w:tcPr>
          <w:p>
            <w:pPr>
              <w:keepNext/>
              <w:jc w:val="center"/>
            </w:pPr>
            <w:r>
              <w:rPr>
                <w:sz w:val="22"/>
                <w:szCs w:val="22"/>
              </w:rPr>
              <w:t>78</w:t>
            </w:r>
          </w:p>
        </w:tc>
        <w:tc>
          <w:tcPr>
            <w:tcW w:w="951" w:type="dxa"/>
            <w:tcMar>
              <w:top w:w="80" w:type="dxa"/>
              <w:left w:w="100" w:type="dxa"/>
              <w:bottom w:w="80" w:type="dxa"/>
              <w:right w:w="100" w:type="dxa"/>
            </w:tcMar>
          </w:tcPr>
          <w:p>
            <w:pPr>
              <w:keepNext/>
              <w:jc w:val="center"/>
            </w:pPr>
            <w:r>
              <w:rPr>
                <w:sz w:val="22"/>
                <w:szCs w:val="22"/>
              </w:rPr>
              <w:t>68</w:t>
            </w:r>
          </w:p>
        </w:tc>
        <w:tc>
          <w:tcPr>
            <w:tcW w:w="951" w:type="dxa"/>
            <w:tcMar>
              <w:top w:w="80" w:type="dxa"/>
              <w:left w:w="100" w:type="dxa"/>
              <w:bottom w:w="80" w:type="dxa"/>
              <w:right w:w="100" w:type="dxa"/>
            </w:tcMar>
          </w:tcPr>
          <w:p>
            <w:pPr>
              <w:keepNext/>
              <w:jc w:val="center"/>
            </w:pPr>
            <w:r>
              <w:rPr>
                <w:sz w:val="22"/>
                <w:szCs w:val="22"/>
              </w:rPr>
              <w:t>38</w:t>
            </w:r>
          </w:p>
        </w:tc>
        <w:tc>
          <w:tcPr>
            <w:tcW w:w="957" w:type="dxa"/>
            <w:tcMar>
              <w:top w:w="80" w:type="dxa"/>
              <w:left w:w="100" w:type="dxa"/>
              <w:bottom w:w="80" w:type="dxa"/>
              <w:right w:w="100" w:type="dxa"/>
            </w:tcMar>
          </w:tcPr>
          <w:p>
            <w:pPr>
              <w:keepNext/>
              <w:jc w:val="center"/>
            </w:pPr>
            <w:r>
              <w:rPr>
                <w:sz w:val="22"/>
                <w:szCs w:val="22"/>
              </w:rPr>
              <w:t>0</w:t>
            </w:r>
          </w:p>
        </w:tc>
      </w:tr>
      <w:tr>
        <w:trPr>
          <w:cantSplit/>
        </w:trPr>
        <w:tc>
          <w:tcPr>
            <w:tcW w:w="2550" w:type="dxa"/>
            <w:tcMar>
              <w:top w:w="80" w:type="dxa"/>
              <w:left w:w="100" w:type="dxa"/>
              <w:bottom w:w="80" w:type="dxa"/>
              <w:right w:w="100" w:type="dxa"/>
            </w:tcMar>
          </w:tcPr>
          <w:p>
            <w:pPr>
              <w:keepNext/>
            </w:pPr>
          </w:p>
        </w:tc>
        <w:tc>
          <w:tcPr>
            <w:tcW w:w="1189" w:type="dxa"/>
            <w:tcMar>
              <w:top w:w="80" w:type="dxa"/>
              <w:left w:w="100" w:type="dxa"/>
              <w:bottom w:w="80" w:type="dxa"/>
              <w:right w:w="100" w:type="dxa"/>
            </w:tcMar>
          </w:tcPr>
          <w:p>
            <w:pPr>
              <w:keepNext/>
            </w:pPr>
            <w:r>
              <w:rPr>
                <w:sz w:val="22"/>
                <w:szCs w:val="22"/>
              </w:rPr>
              <w:t>K₂O</w:t>
            </w:r>
          </w:p>
        </w:tc>
        <w:tc>
          <w:tcPr>
            <w:tcW w:w="951" w:type="dxa"/>
            <w:tcMar>
              <w:top w:w="80" w:type="dxa"/>
              <w:left w:w="100" w:type="dxa"/>
              <w:bottom w:w="80" w:type="dxa"/>
              <w:right w:w="100" w:type="dxa"/>
            </w:tcMar>
          </w:tcPr>
          <w:p>
            <w:pPr>
              <w:keepNext/>
              <w:jc w:val="center"/>
            </w:pPr>
            <w:r>
              <w:rPr>
                <w:sz w:val="22"/>
                <w:szCs w:val="22"/>
              </w:rPr>
              <w:t>139</w:t>
            </w:r>
          </w:p>
        </w:tc>
        <w:tc>
          <w:tcPr>
            <w:tcW w:w="951" w:type="dxa"/>
            <w:tcMar>
              <w:top w:w="80" w:type="dxa"/>
              <w:left w:w="100" w:type="dxa"/>
              <w:bottom w:w="80" w:type="dxa"/>
              <w:right w:w="100" w:type="dxa"/>
            </w:tcMar>
          </w:tcPr>
          <w:p>
            <w:pPr>
              <w:keepNext/>
              <w:jc w:val="center"/>
            </w:pPr>
            <w:r>
              <w:rPr>
                <w:sz w:val="22"/>
                <w:szCs w:val="22"/>
              </w:rPr>
              <w:t>99</w:t>
            </w:r>
          </w:p>
        </w:tc>
        <w:tc>
          <w:tcPr>
            <w:tcW w:w="951" w:type="dxa"/>
            <w:tcMar>
              <w:top w:w="80" w:type="dxa"/>
              <w:left w:w="100" w:type="dxa"/>
              <w:bottom w:w="80" w:type="dxa"/>
              <w:right w:w="100" w:type="dxa"/>
            </w:tcMar>
          </w:tcPr>
          <w:p>
            <w:pPr>
              <w:keepNext/>
              <w:jc w:val="center"/>
            </w:pPr>
            <w:r>
              <w:rPr>
                <w:sz w:val="22"/>
                <w:szCs w:val="22"/>
              </w:rPr>
              <w:t>89</w:t>
            </w:r>
          </w:p>
        </w:tc>
        <w:tc>
          <w:tcPr>
            <w:tcW w:w="951" w:type="dxa"/>
            <w:tcMar>
              <w:top w:w="80" w:type="dxa"/>
              <w:left w:w="100" w:type="dxa"/>
              <w:bottom w:w="80" w:type="dxa"/>
              <w:right w:w="100" w:type="dxa"/>
            </w:tcMar>
          </w:tcPr>
          <w:p>
            <w:pPr>
              <w:keepNext/>
              <w:jc w:val="center"/>
            </w:pPr>
            <w:r>
              <w:rPr>
                <w:sz w:val="22"/>
                <w:szCs w:val="22"/>
              </w:rPr>
              <w:t>59</w:t>
            </w:r>
          </w:p>
        </w:tc>
        <w:tc>
          <w:tcPr>
            <w:tcW w:w="957" w:type="dxa"/>
            <w:tcMar>
              <w:top w:w="80" w:type="dxa"/>
              <w:left w:w="100" w:type="dxa"/>
              <w:bottom w:w="80" w:type="dxa"/>
              <w:right w:w="100" w:type="dxa"/>
            </w:tcMar>
          </w:tcPr>
          <w:p>
            <w:pPr>
              <w:keepNext/>
              <w:jc w:val="center"/>
            </w:pPr>
            <w:r>
              <w:rPr>
                <w:sz w:val="22"/>
                <w:szCs w:val="22"/>
              </w:rPr>
              <w:t>0</w:t>
            </w:r>
          </w:p>
        </w:tc>
      </w:tr>
      <w:tr>
        <w:trPr>
          <w:cantSplit/>
        </w:trPr>
        <w:tc>
          <w:tcPr>
            <w:tcW w:w="2550" w:type="dxa"/>
            <w:tcMar>
              <w:top w:w="80" w:type="dxa"/>
              <w:left w:w="100" w:type="dxa"/>
              <w:bottom w:w="80" w:type="dxa"/>
              <w:right w:w="100" w:type="dxa"/>
            </w:tcMar>
          </w:tcPr>
          <w:p>
            <w:pPr>
              <w:keepNext/>
            </w:pPr>
            <w:r>
              <w:rPr>
                <w:sz w:val="22"/>
                <w:szCs w:val="22"/>
              </w:rPr>
              <w:t>Sudoeste (1.760 kg/ha)</w:t>
            </w:r>
          </w:p>
        </w:tc>
        <w:tc>
          <w:tcPr>
            <w:tcW w:w="1189" w:type="dxa"/>
            <w:tcMar>
              <w:top w:w="80" w:type="dxa"/>
              <w:left w:w="100" w:type="dxa"/>
              <w:bottom w:w="80" w:type="dxa"/>
              <w:right w:w="100" w:type="dxa"/>
            </w:tcMar>
          </w:tcPr>
          <w:p>
            <w:pPr>
              <w:keepNext/>
            </w:pPr>
            <w:r>
              <w:rPr>
                <w:sz w:val="22"/>
                <w:szCs w:val="22"/>
              </w:rPr>
              <w:t>P₂O₅</w:t>
            </w:r>
          </w:p>
        </w:tc>
        <w:tc>
          <w:tcPr>
            <w:tcW w:w="951" w:type="dxa"/>
            <w:tcMar>
              <w:top w:w="80" w:type="dxa"/>
              <w:left w:w="100" w:type="dxa"/>
              <w:bottom w:w="80" w:type="dxa"/>
              <w:right w:w="100" w:type="dxa"/>
            </w:tcMar>
          </w:tcPr>
          <w:p>
            <w:pPr>
              <w:keepNext/>
              <w:jc w:val="center"/>
            </w:pPr>
            <w:r>
              <w:rPr>
                <w:sz w:val="22"/>
                <w:szCs w:val="22"/>
              </w:rPr>
              <w:t>110</w:t>
            </w:r>
          </w:p>
        </w:tc>
        <w:tc>
          <w:tcPr>
            <w:tcW w:w="951" w:type="dxa"/>
            <w:tcMar>
              <w:top w:w="80" w:type="dxa"/>
              <w:left w:w="100" w:type="dxa"/>
              <w:bottom w:w="80" w:type="dxa"/>
              <w:right w:w="100" w:type="dxa"/>
            </w:tcMar>
          </w:tcPr>
          <w:p>
            <w:pPr>
              <w:keepNext/>
              <w:jc w:val="center"/>
            </w:pPr>
            <w:r>
              <w:rPr>
                <w:sz w:val="22"/>
                <w:szCs w:val="22"/>
              </w:rPr>
              <w:t>70</w:t>
            </w:r>
          </w:p>
        </w:tc>
        <w:tc>
          <w:tcPr>
            <w:tcW w:w="951" w:type="dxa"/>
            <w:tcMar>
              <w:top w:w="80" w:type="dxa"/>
              <w:left w:w="100" w:type="dxa"/>
              <w:bottom w:w="80" w:type="dxa"/>
              <w:right w:w="100" w:type="dxa"/>
            </w:tcMar>
          </w:tcPr>
          <w:p>
            <w:pPr>
              <w:keepNext/>
              <w:jc w:val="center"/>
            </w:pPr>
            <w:r>
              <w:rPr>
                <w:sz w:val="22"/>
                <w:szCs w:val="22"/>
              </w:rPr>
              <w:t>60</w:t>
            </w:r>
          </w:p>
        </w:tc>
        <w:tc>
          <w:tcPr>
            <w:tcW w:w="951" w:type="dxa"/>
            <w:tcMar>
              <w:top w:w="80" w:type="dxa"/>
              <w:left w:w="100" w:type="dxa"/>
              <w:bottom w:w="80" w:type="dxa"/>
              <w:right w:w="100" w:type="dxa"/>
            </w:tcMar>
          </w:tcPr>
          <w:p>
            <w:pPr>
              <w:keepNext/>
              <w:jc w:val="center"/>
            </w:pPr>
            <w:r>
              <w:rPr>
                <w:sz w:val="22"/>
                <w:szCs w:val="22"/>
              </w:rPr>
              <w:t>30</w:t>
            </w:r>
          </w:p>
        </w:tc>
        <w:tc>
          <w:tcPr>
            <w:tcW w:w="957" w:type="dxa"/>
            <w:tcMar>
              <w:top w:w="80" w:type="dxa"/>
              <w:left w:w="100" w:type="dxa"/>
              <w:bottom w:w="80" w:type="dxa"/>
              <w:right w:w="100" w:type="dxa"/>
            </w:tcMar>
          </w:tcPr>
          <w:p>
            <w:pPr>
              <w:keepNext/>
              <w:jc w:val="center"/>
            </w:pPr>
            <w:r>
              <w:rPr>
                <w:sz w:val="22"/>
                <w:szCs w:val="22"/>
              </w:rPr>
              <w:t>0</w:t>
            </w:r>
          </w:p>
        </w:tc>
      </w:tr>
      <w:tr>
        <w:trPr>
          <w:cantSplit/>
        </w:trPr>
        <w:tc>
          <w:tcPr>
            <w:tcW w:w="2550" w:type="dxa"/>
            <w:tcMar>
              <w:top w:w="80" w:type="dxa"/>
              <w:left w:w="100" w:type="dxa"/>
              <w:bottom w:w="80" w:type="dxa"/>
              <w:right w:w="100" w:type="dxa"/>
            </w:tcMar>
          </w:tcPr>
          <w:p>
            <w:pPr>
              <w:keepNext/>
            </w:pPr>
          </w:p>
        </w:tc>
        <w:tc>
          <w:tcPr>
            <w:tcW w:w="1189" w:type="dxa"/>
            <w:tcMar>
              <w:top w:w="80" w:type="dxa"/>
              <w:left w:w="100" w:type="dxa"/>
              <w:bottom w:w="80" w:type="dxa"/>
              <w:right w:w="100" w:type="dxa"/>
            </w:tcMar>
          </w:tcPr>
          <w:p>
            <w:pPr>
              <w:keepNext/>
            </w:pPr>
            <w:r>
              <w:rPr>
                <w:sz w:val="22"/>
                <w:szCs w:val="22"/>
              </w:rPr>
              <w:t>K₂O</w:t>
            </w:r>
          </w:p>
        </w:tc>
        <w:tc>
          <w:tcPr>
            <w:tcW w:w="951" w:type="dxa"/>
            <w:tcMar>
              <w:top w:w="80" w:type="dxa"/>
              <w:left w:w="100" w:type="dxa"/>
              <w:bottom w:w="80" w:type="dxa"/>
              <w:right w:w="100" w:type="dxa"/>
            </w:tcMar>
          </w:tcPr>
          <w:p>
            <w:pPr>
              <w:keepNext/>
              <w:jc w:val="center"/>
            </w:pPr>
            <w:r>
              <w:rPr>
                <w:sz w:val="22"/>
                <w:szCs w:val="22"/>
              </w:rPr>
              <w:t>125</w:t>
            </w:r>
          </w:p>
        </w:tc>
        <w:tc>
          <w:tcPr>
            <w:tcW w:w="951" w:type="dxa"/>
            <w:tcMar>
              <w:top w:w="80" w:type="dxa"/>
              <w:left w:w="100" w:type="dxa"/>
              <w:bottom w:w="80" w:type="dxa"/>
              <w:right w:w="100" w:type="dxa"/>
            </w:tcMar>
          </w:tcPr>
          <w:p>
            <w:pPr>
              <w:keepNext/>
              <w:jc w:val="center"/>
            </w:pPr>
            <w:r>
              <w:rPr>
                <w:sz w:val="22"/>
                <w:szCs w:val="22"/>
              </w:rPr>
              <w:t>85</w:t>
            </w:r>
          </w:p>
        </w:tc>
        <w:tc>
          <w:tcPr>
            <w:tcW w:w="951" w:type="dxa"/>
            <w:tcMar>
              <w:top w:w="80" w:type="dxa"/>
              <w:left w:w="100" w:type="dxa"/>
              <w:bottom w:w="80" w:type="dxa"/>
              <w:right w:w="100" w:type="dxa"/>
            </w:tcMar>
          </w:tcPr>
          <w:p>
            <w:pPr>
              <w:keepNext/>
              <w:jc w:val="center"/>
            </w:pPr>
            <w:r>
              <w:rPr>
                <w:sz w:val="22"/>
                <w:szCs w:val="22"/>
              </w:rPr>
              <w:t>75</w:t>
            </w:r>
          </w:p>
        </w:tc>
        <w:tc>
          <w:tcPr>
            <w:tcW w:w="951" w:type="dxa"/>
            <w:tcMar>
              <w:top w:w="80" w:type="dxa"/>
              <w:left w:w="100" w:type="dxa"/>
              <w:bottom w:w="80" w:type="dxa"/>
              <w:right w:w="100" w:type="dxa"/>
            </w:tcMar>
          </w:tcPr>
          <w:p>
            <w:pPr>
              <w:keepNext/>
              <w:jc w:val="center"/>
            </w:pPr>
            <w:r>
              <w:rPr>
                <w:sz w:val="22"/>
                <w:szCs w:val="22"/>
              </w:rPr>
              <w:t>45</w:t>
            </w:r>
          </w:p>
        </w:tc>
        <w:tc>
          <w:tcPr>
            <w:tcW w:w="957" w:type="dxa"/>
            <w:tcMar>
              <w:top w:w="80" w:type="dxa"/>
              <w:left w:w="100" w:type="dxa"/>
              <w:bottom w:w="80" w:type="dxa"/>
              <w:right w:w="100" w:type="dxa"/>
            </w:tcMar>
          </w:tcPr>
          <w:p>
            <w:pPr>
              <w:keepNext/>
              <w:jc w:val="center"/>
            </w:pPr>
            <w:r>
              <w:rPr>
                <w:sz w:val="22"/>
                <w:szCs w:val="22"/>
              </w:rPr>
              <w:t>0</w:t>
            </w:r>
          </w:p>
        </w:tc>
      </w:tr>
    </w:tbl>
    <w:p>
      <w:pPr>
        <w:keepNext/>
      </w:pPr>
      <w:bookmarkStart w:id="40" w:name="_Toc244263418"/>
      <w:r>
        <w:rPr>
          <w:b/>
          <w:bCs/>
          <w:sz w:val="28"/>
          <w:szCs w:val="28"/>
        </w:rPr>
        <w:t>Apêndice B – Reprodutibilidade</w:t>
      </w:r>
      <w:bookmarkEnd w:id="40"/>
    </w:p>
    <w:p>
      <w:pPr>
        <w:spacing w:after="200" w:line="276" w:lineRule="auto"/>
        <w:ind w:firstLine="720"/>
        <w:jc w:val="both"/>
      </w:pPr>
      <w:r>
        <w:rPr>
          <w:sz w:val="24"/>
          <w:szCs w:val="24"/>
        </w:rPr>
        <w:t>Os notebooks estão na pasta notebooks/ do repositório e devem ser executados nesta ordem, no ambiente Python 3.13 com as versões de notebooks/requirements.txt (Tabela 19).</w:t>
      </w:r>
    </w:p>
    <w:p>
      <w:pPr>
        <w:keepNext/>
        <w:spacing w:before="120" w:after="300"/>
        <w:jc w:val="center"/>
      </w:pPr>
      <w:r>
        <w:rPr>
          <w:i/>
          <w:iCs/>
          <w:sz w:val="22"/>
          <w:szCs w:val="22"/>
        </w:rPr>
        <w:t xml:space="preserve">Tabela 19 – Notebooks e saídas. Fonte: elaboração própria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3586"/>
        <w:gridCol w:w="969"/>
        <w:gridCol w:w="3945"/>
      </w:tblGrid>
      <w:tr>
        <w:trPr>
          <w:cantSplit/>
          <w:tblHeader/>
        </w:trPr>
        <w:tc>
          <w:tcPr>
            <w:tcW w:w="3586" w:type="dxa"/>
            <w:shd w:val="clear" w:color="auto" w:fill="D9D9D9"/>
            <w:tcMar>
              <w:top w:w="80" w:type="dxa"/>
              <w:left w:w="100" w:type="dxa"/>
              <w:bottom w:w="80" w:type="dxa"/>
              <w:right w:w="100" w:type="dxa"/>
            </w:tcMar>
          </w:tcPr>
          <w:p>
            <w:pPr>
              <w:keepNext/>
              <w:jc w:val="center"/>
            </w:pPr>
            <w:r>
              <w:rPr>
                <w:b/>
                <w:bCs/>
                <w:sz w:val="22"/>
                <w:szCs w:val="22"/>
              </w:rPr>
              <w:t>Notebook</w:t>
            </w:r>
          </w:p>
        </w:tc>
        <w:tc>
          <w:tcPr>
            <w:tcW w:w="969" w:type="dxa"/>
            <w:shd w:val="clear" w:color="auto" w:fill="D9D9D9"/>
            <w:tcMar>
              <w:top w:w="80" w:type="dxa"/>
              <w:left w:w="100" w:type="dxa"/>
              <w:bottom w:w="80" w:type="dxa"/>
              <w:right w:w="100" w:type="dxa"/>
            </w:tcMar>
          </w:tcPr>
          <w:p>
            <w:pPr>
              <w:keepNext/>
              <w:jc w:val="center"/>
            </w:pPr>
            <w:r>
              <w:rPr>
                <w:b/>
                <w:bCs/>
                <w:sz w:val="22"/>
                <w:szCs w:val="22"/>
              </w:rPr>
              <w:t>Etapa</w:t>
            </w:r>
          </w:p>
        </w:tc>
        <w:tc>
          <w:tcPr>
            <w:tcW w:w="3945" w:type="dxa"/>
            <w:shd w:val="clear" w:color="auto" w:fill="D9D9D9"/>
            <w:tcMar>
              <w:top w:w="80" w:type="dxa"/>
              <w:left w:w="100" w:type="dxa"/>
              <w:bottom w:w="80" w:type="dxa"/>
              <w:right w:w="100" w:type="dxa"/>
            </w:tcMar>
          </w:tcPr>
          <w:p>
            <w:pPr>
              <w:keepNext/>
              <w:jc w:val="center"/>
            </w:pPr>
            <w:r>
              <w:rPr>
                <w:b/>
                <w:bCs/>
                <w:sz w:val="22"/>
                <w:szCs w:val="22"/>
              </w:rPr>
              <w:t>Principais saídas</w:t>
            </w:r>
          </w:p>
        </w:tc>
      </w:tr>
      <w:tr>
        <w:trPr>
          <w:cantSplit/>
        </w:trPr>
        <w:tc>
          <w:tcPr>
            <w:tcW w:w="3586" w:type="dxa"/>
            <w:tcMar>
              <w:top w:w="80" w:type="dxa"/>
              <w:left w:w="100" w:type="dxa"/>
              <w:bottom w:w="80" w:type="dxa"/>
              <w:right w:w="100" w:type="dxa"/>
            </w:tcMar>
          </w:tcPr>
          <w:p>
            <w:pPr>
              <w:keepNext/>
            </w:pPr>
            <w:r>
              <w:rPr>
                <w:sz w:val="22"/>
                <w:szCs w:val="22"/>
              </w:rPr>
              <w:t>analise_exploratoria.ipynb</w:t>
            </w:r>
          </w:p>
        </w:tc>
        <w:tc>
          <w:tcPr>
            <w:tcW w:w="969" w:type="dxa"/>
            <w:tcMar>
              <w:top w:w="80" w:type="dxa"/>
              <w:left w:w="100" w:type="dxa"/>
              <w:bottom w:w="80" w:type="dxa"/>
              <w:right w:w="100" w:type="dxa"/>
            </w:tcMar>
          </w:tcPr>
          <w:p>
            <w:pPr>
              <w:keepNext/>
              <w:jc w:val="center"/>
            </w:pPr>
            <w:r>
              <w:rPr>
                <w:sz w:val="22"/>
                <w:szCs w:val="22"/>
              </w:rPr>
              <w:t>–</w:t>
            </w:r>
          </w:p>
        </w:tc>
        <w:tc>
          <w:tcPr>
            <w:tcW w:w="3945" w:type="dxa"/>
            <w:tcMar>
              <w:top w:w="80" w:type="dxa"/>
              <w:left w:w="100" w:type="dxa"/>
              <w:bottom w:w="80" w:type="dxa"/>
              <w:right w:w="100" w:type="dxa"/>
            </w:tcMar>
          </w:tcPr>
          <w:p>
            <w:pPr>
              <w:keepNext/>
            </w:pPr>
            <w:r>
              <w:rPr>
                <w:sz w:val="22"/>
                <w:szCs w:val="22"/>
              </w:rPr>
              <w:t>painel_municipio_safra.csv; Figura 1</w:t>
            </w:r>
          </w:p>
        </w:tc>
      </w:tr>
      <w:tr>
        <w:trPr>
          <w:cantSplit/>
        </w:trPr>
        <w:tc>
          <w:tcPr>
            <w:tcW w:w="3586" w:type="dxa"/>
            <w:tcMar>
              <w:top w:w="80" w:type="dxa"/>
              <w:left w:w="100" w:type="dxa"/>
              <w:bottom w:w="80" w:type="dxa"/>
              <w:right w:w="100" w:type="dxa"/>
            </w:tcMar>
          </w:tcPr>
          <w:p>
            <w:pPr>
              <w:keepNext/>
            </w:pPr>
            <w:r>
              <w:rPr>
                <w:sz w:val="22"/>
                <w:szCs w:val="22"/>
              </w:rPr>
              <w:t>modelagem.ipynb</w:t>
            </w:r>
          </w:p>
        </w:tc>
        <w:tc>
          <w:tcPr>
            <w:tcW w:w="969" w:type="dxa"/>
            <w:tcMar>
              <w:top w:w="80" w:type="dxa"/>
              <w:left w:w="100" w:type="dxa"/>
              <w:bottom w:w="80" w:type="dxa"/>
              <w:right w:w="100" w:type="dxa"/>
            </w:tcMar>
          </w:tcPr>
          <w:p>
            <w:pPr>
              <w:keepNext/>
              <w:jc w:val="center"/>
            </w:pPr>
            <w:r>
              <w:rPr>
                <w:sz w:val="22"/>
                <w:szCs w:val="22"/>
              </w:rPr>
              <w:t>1</w:t>
            </w:r>
          </w:p>
        </w:tc>
        <w:tc>
          <w:tcPr>
            <w:tcW w:w="3945" w:type="dxa"/>
            <w:tcMar>
              <w:top w:w="80" w:type="dxa"/>
              <w:left w:w="100" w:type="dxa"/>
              <w:bottom w:w="80" w:type="dxa"/>
              <w:right w:w="100" w:type="dxa"/>
            </w:tcMar>
          </w:tcPr>
          <w:p>
            <w:pPr>
              <w:keepNext/>
            </w:pPr>
            <w:r>
              <w:rPr>
                <w:sz w:val="22"/>
                <w:szCs w:val="22"/>
              </w:rPr>
              <w:t>Comparação dos modelos com clima agregado</w:t>
            </w:r>
          </w:p>
        </w:tc>
      </w:tr>
      <w:tr>
        <w:trPr>
          <w:cantSplit/>
        </w:trPr>
        <w:tc>
          <w:tcPr>
            <w:tcW w:w="3586" w:type="dxa"/>
            <w:tcMar>
              <w:top w:w="80" w:type="dxa"/>
              <w:left w:w="100" w:type="dxa"/>
              <w:bottom w:w="80" w:type="dxa"/>
              <w:right w:w="100" w:type="dxa"/>
            </w:tcMar>
          </w:tcPr>
          <w:p>
            <w:pPr>
              <w:keepNext/>
            </w:pPr>
            <w:r>
              <w:rPr>
                <w:sz w:val="22"/>
                <w:szCs w:val="22"/>
              </w:rPr>
              <w:t>modelagem_etapa2.ipynb</w:t>
            </w:r>
          </w:p>
        </w:tc>
        <w:tc>
          <w:tcPr>
            <w:tcW w:w="969" w:type="dxa"/>
            <w:tcMar>
              <w:top w:w="80" w:type="dxa"/>
              <w:left w:w="100" w:type="dxa"/>
              <w:bottom w:w="80" w:type="dxa"/>
              <w:right w:w="100" w:type="dxa"/>
            </w:tcMar>
          </w:tcPr>
          <w:p>
            <w:pPr>
              <w:keepNext/>
              <w:jc w:val="center"/>
            </w:pPr>
            <w:r>
              <w:rPr>
                <w:sz w:val="22"/>
                <w:szCs w:val="22"/>
              </w:rPr>
              <w:t>2</w:t>
            </w:r>
          </w:p>
        </w:tc>
        <w:tc>
          <w:tcPr>
            <w:tcW w:w="3945" w:type="dxa"/>
            <w:tcMar>
              <w:top w:w="80" w:type="dxa"/>
              <w:left w:w="100" w:type="dxa"/>
              <w:bottom w:w="80" w:type="dxa"/>
              <w:right w:w="100" w:type="dxa"/>
            </w:tcMar>
          </w:tcPr>
          <w:p>
            <w:pPr>
              <w:keepNext/>
            </w:pPr>
            <w:r>
              <w:rPr>
                <w:sz w:val="22"/>
                <w:szCs w:val="22"/>
              </w:rPr>
              <w:t>clima_subperiodos_estacao_safra.csv</w:t>
            </w:r>
          </w:p>
        </w:tc>
      </w:tr>
      <w:tr>
        <w:trPr>
          <w:cantSplit/>
        </w:trPr>
        <w:tc>
          <w:tcPr>
            <w:tcW w:w="3586" w:type="dxa"/>
            <w:tcMar>
              <w:top w:w="80" w:type="dxa"/>
              <w:left w:w="100" w:type="dxa"/>
              <w:bottom w:w="80" w:type="dxa"/>
              <w:right w:w="100" w:type="dxa"/>
            </w:tcMar>
          </w:tcPr>
          <w:p>
            <w:pPr>
              <w:keepNext/>
            </w:pPr>
            <w:r>
              <w:rPr>
                <w:sz w:val="22"/>
                <w:szCs w:val="22"/>
              </w:rPr>
              <w:t>modelagem_etapa3.ipynb</w:t>
            </w:r>
          </w:p>
        </w:tc>
        <w:tc>
          <w:tcPr>
            <w:tcW w:w="969" w:type="dxa"/>
            <w:tcMar>
              <w:top w:w="80" w:type="dxa"/>
              <w:left w:w="100" w:type="dxa"/>
              <w:bottom w:w="80" w:type="dxa"/>
              <w:right w:w="100" w:type="dxa"/>
            </w:tcMar>
          </w:tcPr>
          <w:p>
            <w:pPr>
              <w:keepNext/>
              <w:jc w:val="center"/>
            </w:pPr>
            <w:r>
              <w:rPr>
                <w:sz w:val="22"/>
                <w:szCs w:val="22"/>
              </w:rPr>
              <w:t>3</w:t>
            </w:r>
          </w:p>
        </w:tc>
        <w:tc>
          <w:tcPr>
            <w:tcW w:w="3945" w:type="dxa"/>
            <w:tcMar>
              <w:top w:w="80" w:type="dxa"/>
              <w:left w:w="100" w:type="dxa"/>
              <w:bottom w:w="80" w:type="dxa"/>
              <w:right w:w="100" w:type="dxa"/>
            </w:tcMar>
          </w:tcPr>
          <w:p>
            <w:pPr>
              <w:keepNext/>
            </w:pPr>
            <w:r>
              <w:rPr>
                <w:sz w:val="22"/>
                <w:szCs w:val="22"/>
              </w:rPr>
              <w:t>Patamar com as safras publicadas; modelo F</w:t>
            </w:r>
          </w:p>
        </w:tc>
      </w:tr>
      <w:tr>
        <w:trPr>
          <w:cantSplit/>
        </w:trPr>
        <w:tc>
          <w:tcPr>
            <w:tcW w:w="3586" w:type="dxa"/>
            <w:tcMar>
              <w:top w:w="80" w:type="dxa"/>
              <w:left w:w="100" w:type="dxa"/>
              <w:bottom w:w="80" w:type="dxa"/>
              <w:right w:w="100" w:type="dxa"/>
            </w:tcMar>
          </w:tcPr>
          <w:p>
            <w:pPr>
              <w:keepNext/>
            </w:pPr>
            <w:r>
              <w:rPr>
                <w:sz w:val="22"/>
                <w:szCs w:val="22"/>
              </w:rPr>
              <w:t>modelagem_etapa4.ipynb</w:t>
            </w:r>
          </w:p>
        </w:tc>
        <w:tc>
          <w:tcPr>
            <w:tcW w:w="969" w:type="dxa"/>
            <w:tcMar>
              <w:top w:w="80" w:type="dxa"/>
              <w:left w:w="100" w:type="dxa"/>
              <w:bottom w:w="80" w:type="dxa"/>
              <w:right w:w="100" w:type="dxa"/>
            </w:tcMar>
          </w:tcPr>
          <w:p>
            <w:pPr>
              <w:keepNext/>
              <w:jc w:val="center"/>
            </w:pPr>
            <w:r>
              <w:rPr>
                <w:sz w:val="22"/>
                <w:szCs w:val="22"/>
              </w:rPr>
              <w:t>4</w:t>
            </w:r>
          </w:p>
        </w:tc>
        <w:tc>
          <w:tcPr>
            <w:tcW w:w="3945" w:type="dxa"/>
            <w:tcMar>
              <w:top w:w="80" w:type="dxa"/>
              <w:left w:w="100" w:type="dxa"/>
              <w:bottom w:w="80" w:type="dxa"/>
              <w:right w:w="100" w:type="dxa"/>
            </w:tcMar>
          </w:tcPr>
          <w:p>
            <w:pPr>
              <w:keepNext/>
            </w:pPr>
            <w:r>
              <w:rPr>
                <w:sz w:val="22"/>
                <w:szCs w:val="22"/>
              </w:rPr>
              <w:t>balanco_hidrico_estacao_safra.csv; recomendacao_adubacao_safra2026.csv</w:t>
            </w:r>
          </w:p>
        </w:tc>
      </w:tr>
      <w:tr>
        <w:trPr>
          <w:cantSplit/>
        </w:trPr>
        <w:tc>
          <w:tcPr>
            <w:tcW w:w="3586" w:type="dxa"/>
            <w:tcMar>
              <w:top w:w="80" w:type="dxa"/>
              <w:left w:w="100" w:type="dxa"/>
              <w:bottom w:w="80" w:type="dxa"/>
              <w:right w:w="100" w:type="dxa"/>
            </w:tcMar>
          </w:tcPr>
          <w:p>
            <w:pPr>
              <w:keepNext/>
            </w:pPr>
            <w:r>
              <w:rPr>
                <w:sz w:val="22"/>
                <w:szCs w:val="22"/>
              </w:rPr>
              <w:t>modelagem_etapa5_nasa_power.ipynb</w:t>
            </w:r>
          </w:p>
        </w:tc>
        <w:tc>
          <w:tcPr>
            <w:tcW w:w="969" w:type="dxa"/>
            <w:tcMar>
              <w:top w:w="80" w:type="dxa"/>
              <w:left w:w="100" w:type="dxa"/>
              <w:bottom w:w="80" w:type="dxa"/>
              <w:right w:w="100" w:type="dxa"/>
            </w:tcMar>
          </w:tcPr>
          <w:p>
            <w:pPr>
              <w:keepNext/>
              <w:jc w:val="center"/>
            </w:pPr>
            <w:r>
              <w:rPr>
                <w:sz w:val="22"/>
                <w:szCs w:val="22"/>
              </w:rPr>
              <w:t>5</w:t>
            </w:r>
          </w:p>
        </w:tc>
        <w:tc>
          <w:tcPr>
            <w:tcW w:w="3945" w:type="dxa"/>
            <w:tcMar>
              <w:top w:w="80" w:type="dxa"/>
              <w:left w:w="100" w:type="dxa"/>
              <w:bottom w:w="80" w:type="dxa"/>
              <w:right w:w="100" w:type="dxa"/>
            </w:tcMar>
          </w:tcPr>
          <w:p>
            <w:pPr>
              <w:keepNext/>
            </w:pPr>
            <w:r>
              <w:rPr>
                <w:sz w:val="22"/>
                <w:szCs w:val="22"/>
              </w:rPr>
              <w:t>clima_nasa_power_celula_safra.csv; Figuras 2 a 4</w:t>
            </w:r>
          </w:p>
        </w:tc>
      </w:tr>
      <w:tr>
        <w:trPr>
          <w:cantSplit/>
        </w:trPr>
        <w:tc>
          <w:tcPr>
            <w:tcW w:w="3586" w:type="dxa"/>
            <w:tcMar>
              <w:top w:w="80" w:type="dxa"/>
              <w:left w:w="100" w:type="dxa"/>
              <w:bottom w:w="80" w:type="dxa"/>
              <w:right w:w="100" w:type="dxa"/>
            </w:tcMar>
          </w:tcPr>
          <w:p>
            <w:pPr>
              <w:keepNext/>
            </w:pPr>
            <w:r>
              <w:rPr>
                <w:sz w:val="22"/>
                <w:szCs w:val="22"/>
              </w:rPr>
              <w:t>modelagem_etapa6_previsao_2026_2027.ipynb</w:t>
            </w:r>
          </w:p>
        </w:tc>
        <w:tc>
          <w:tcPr>
            <w:tcW w:w="969" w:type="dxa"/>
            <w:tcMar>
              <w:top w:w="80" w:type="dxa"/>
              <w:left w:w="100" w:type="dxa"/>
              <w:bottom w:w="80" w:type="dxa"/>
              <w:right w:w="100" w:type="dxa"/>
            </w:tcMar>
          </w:tcPr>
          <w:p>
            <w:pPr>
              <w:keepNext/>
              <w:jc w:val="center"/>
            </w:pPr>
            <w:r>
              <w:rPr>
                <w:sz w:val="22"/>
                <w:szCs w:val="22"/>
              </w:rPr>
              <w:t>6</w:t>
            </w:r>
          </w:p>
        </w:tc>
        <w:tc>
          <w:tcPr>
            <w:tcW w:w="3945" w:type="dxa"/>
            <w:tcMar>
              <w:top w:w="80" w:type="dxa"/>
              <w:left w:w="100" w:type="dxa"/>
              <w:bottom w:w="80" w:type="dxa"/>
              <w:right w:w="100" w:type="dxa"/>
            </w:tcMar>
          </w:tcPr>
          <w:p>
            <w:pPr>
              <w:keepNext/>
            </w:pPr>
            <w:r>
              <w:rPr>
                <w:sz w:val="22"/>
                <w:szCs w:val="22"/>
              </w:rPr>
              <w:t>previsao_safra_2026_municipio.csv; perspectiva_safra_2027_municipio.csv; Figura 5</w:t>
            </w:r>
          </w:p>
        </w:tc>
      </w:tr>
    </w:tbl>
    <w:sectPr w:rsidR="00137179">
      <w:headerReference w:type="default" r:id="rId13"/>
      <w:pgSz w:w="11906" w:h="16838"/>
      <w:pgMar w:top="1418" w:right="1701" w:bottom="1418"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BD079" w14:textId="77777777" w:rsidR="00584355" w:rsidRDefault="00584355">
      <w:r>
        <w:separator/>
      </w:r>
    </w:p>
  </w:endnote>
  <w:endnote w:type="continuationSeparator" w:id="0">
    <w:p w14:paraId="183916AF" w14:textId="77777777" w:rsidR="00584355" w:rsidRDefault="005843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DC46D" w14:textId="77777777" w:rsidR="00584355" w:rsidRDefault="00584355">
      <w:r>
        <w:separator/>
      </w:r>
    </w:p>
  </w:footnote>
  <w:footnote w:type="continuationSeparator" w:id="0">
    <w:p w14:paraId="7E922376" w14:textId="77777777" w:rsidR="00584355" w:rsidRDefault="005843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98EB1" w14:textId="77777777" w:rsidR="00137179" w:rsidRDefault="00000000">
    <w:pPr>
      <w:pBdr>
        <w:bottom w:val="single" w:sz="12" w:space="4" w:color="C00000"/>
      </w:pBdr>
    </w:pPr>
    <w:r>
      <w:rPr>
        <w:noProof/>
      </w:rPr>
      <w:drawing>
        <wp:inline distT="0" distB="0" distL="0" distR="0" wp14:anchorId="057A7C70" wp14:editId="47049400">
          <wp:extent cx="1809750" cy="400050"/>
          <wp:effectExtent l="0" t="0" r="0" b="0"/>
          <wp:docPr id="304085632" name="Imagem 30408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809750" cy="4000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546F0"/>
    <w:multiLevelType w:val="hybridMultilevel"/>
    <w:tmpl w:val="45F6810E"/>
    <w:lvl w:ilvl="0" w:tplc="7B0626DE">
      <w:start w:val="1"/>
      <w:numFmt w:val="decimal"/>
      <w:lvlText w:val="%1."/>
      <w:lvlJc w:val="left"/>
      <w:pPr>
        <w:ind w:left="720" w:hanging="360"/>
      </w:pPr>
    </w:lvl>
    <w:lvl w:ilvl="1" w:tplc="84E01E9C">
      <w:numFmt w:val="decimal"/>
      <w:lvlText w:val=""/>
      <w:lvlJc w:val="left"/>
    </w:lvl>
    <w:lvl w:ilvl="2" w:tplc="8632A51A">
      <w:numFmt w:val="decimal"/>
      <w:lvlText w:val=""/>
      <w:lvlJc w:val="left"/>
    </w:lvl>
    <w:lvl w:ilvl="3" w:tplc="70F603D6">
      <w:numFmt w:val="decimal"/>
      <w:lvlText w:val=""/>
      <w:lvlJc w:val="left"/>
    </w:lvl>
    <w:lvl w:ilvl="4" w:tplc="81229DD6">
      <w:numFmt w:val="decimal"/>
      <w:lvlText w:val=""/>
      <w:lvlJc w:val="left"/>
    </w:lvl>
    <w:lvl w:ilvl="5" w:tplc="959AA350">
      <w:numFmt w:val="decimal"/>
      <w:lvlText w:val=""/>
      <w:lvlJc w:val="left"/>
    </w:lvl>
    <w:lvl w:ilvl="6" w:tplc="DC426072">
      <w:numFmt w:val="decimal"/>
      <w:lvlText w:val=""/>
      <w:lvlJc w:val="left"/>
    </w:lvl>
    <w:lvl w:ilvl="7" w:tplc="535C56C6">
      <w:numFmt w:val="decimal"/>
      <w:lvlText w:val=""/>
      <w:lvlJc w:val="left"/>
    </w:lvl>
    <w:lvl w:ilvl="8" w:tplc="6902E8F6">
      <w:numFmt w:val="decimal"/>
      <w:lvlText w:val=""/>
      <w:lvlJc w:val="left"/>
    </w:lvl>
  </w:abstractNum>
  <w:abstractNum w:abstractNumId="1" w15:restartNumberingAfterBreak="0">
    <w:nsid w:val="53B80FC0"/>
    <w:multiLevelType w:val="hybridMultilevel"/>
    <w:tmpl w:val="A4B2D3A2"/>
    <w:lvl w:ilvl="0" w:tplc="A1049AA8">
      <w:start w:val="1"/>
      <w:numFmt w:val="bullet"/>
      <w:lvlText w:val="●"/>
      <w:lvlJc w:val="left"/>
      <w:pPr>
        <w:ind w:left="720" w:hanging="360"/>
      </w:pPr>
    </w:lvl>
    <w:lvl w:ilvl="1" w:tplc="BE72B896">
      <w:start w:val="1"/>
      <w:numFmt w:val="bullet"/>
      <w:lvlText w:val="○"/>
      <w:lvlJc w:val="left"/>
      <w:pPr>
        <w:ind w:left="1440" w:hanging="360"/>
      </w:pPr>
    </w:lvl>
    <w:lvl w:ilvl="2" w:tplc="CBE49FDE">
      <w:start w:val="1"/>
      <w:numFmt w:val="bullet"/>
      <w:lvlText w:val="■"/>
      <w:lvlJc w:val="left"/>
      <w:pPr>
        <w:ind w:left="2160" w:hanging="360"/>
      </w:pPr>
    </w:lvl>
    <w:lvl w:ilvl="3" w:tplc="78246EA2">
      <w:start w:val="1"/>
      <w:numFmt w:val="bullet"/>
      <w:lvlText w:val="●"/>
      <w:lvlJc w:val="left"/>
      <w:pPr>
        <w:ind w:left="2880" w:hanging="360"/>
      </w:pPr>
    </w:lvl>
    <w:lvl w:ilvl="4" w:tplc="A79C79B0">
      <w:start w:val="1"/>
      <w:numFmt w:val="bullet"/>
      <w:lvlText w:val="○"/>
      <w:lvlJc w:val="left"/>
      <w:pPr>
        <w:ind w:left="3600" w:hanging="360"/>
      </w:pPr>
    </w:lvl>
    <w:lvl w:ilvl="5" w:tplc="F62C82B8">
      <w:start w:val="1"/>
      <w:numFmt w:val="bullet"/>
      <w:lvlText w:val="■"/>
      <w:lvlJc w:val="left"/>
      <w:pPr>
        <w:ind w:left="4320" w:hanging="360"/>
      </w:pPr>
    </w:lvl>
    <w:lvl w:ilvl="6" w:tplc="5694DEDA">
      <w:start w:val="1"/>
      <w:numFmt w:val="bullet"/>
      <w:lvlText w:val="●"/>
      <w:lvlJc w:val="left"/>
      <w:pPr>
        <w:ind w:left="5040" w:hanging="360"/>
      </w:pPr>
    </w:lvl>
    <w:lvl w:ilvl="7" w:tplc="D10652EA">
      <w:start w:val="1"/>
      <w:numFmt w:val="bullet"/>
      <w:lvlText w:val="●"/>
      <w:lvlJc w:val="left"/>
      <w:pPr>
        <w:ind w:left="5760" w:hanging="360"/>
      </w:pPr>
    </w:lvl>
    <w:lvl w:ilvl="8" w:tplc="5CF82474">
      <w:start w:val="1"/>
      <w:numFmt w:val="bullet"/>
      <w:lvlText w:val="●"/>
      <w:lvlJc w:val="left"/>
      <w:pPr>
        <w:ind w:left="6480" w:hanging="360"/>
      </w:pPr>
    </w:lvl>
  </w:abstractNum>
  <w:abstractNum w:abstractNumId="2" w15:restartNumberingAfterBreak="0">
    <w:nsid w:val="6C803DAF"/>
    <w:multiLevelType w:val="hybridMultilevel"/>
    <w:tmpl w:val="669AA64E"/>
    <w:lvl w:ilvl="0" w:tplc="A3BA94B8">
      <w:start w:val="1"/>
      <w:numFmt w:val="bullet"/>
      <w:lvlText w:val="•"/>
      <w:lvlJc w:val="left"/>
      <w:pPr>
        <w:ind w:left="1080" w:hanging="360"/>
      </w:pPr>
    </w:lvl>
    <w:lvl w:ilvl="1" w:tplc="FB50F218">
      <w:numFmt w:val="decimal"/>
      <w:lvlText w:val=""/>
      <w:lvlJc w:val="left"/>
    </w:lvl>
    <w:lvl w:ilvl="2" w:tplc="17E2C2AE">
      <w:numFmt w:val="decimal"/>
      <w:lvlText w:val=""/>
      <w:lvlJc w:val="left"/>
    </w:lvl>
    <w:lvl w:ilvl="3" w:tplc="28E6878E">
      <w:numFmt w:val="decimal"/>
      <w:lvlText w:val=""/>
      <w:lvlJc w:val="left"/>
    </w:lvl>
    <w:lvl w:ilvl="4" w:tplc="EAC0749A">
      <w:numFmt w:val="decimal"/>
      <w:lvlText w:val=""/>
      <w:lvlJc w:val="left"/>
    </w:lvl>
    <w:lvl w:ilvl="5" w:tplc="9DDC7CBC">
      <w:numFmt w:val="decimal"/>
      <w:lvlText w:val=""/>
      <w:lvlJc w:val="left"/>
    </w:lvl>
    <w:lvl w:ilvl="6" w:tplc="B7863BAA">
      <w:numFmt w:val="decimal"/>
      <w:lvlText w:val=""/>
      <w:lvlJc w:val="left"/>
    </w:lvl>
    <w:lvl w:ilvl="7" w:tplc="3D264B72">
      <w:numFmt w:val="decimal"/>
      <w:lvlText w:val=""/>
      <w:lvlJc w:val="left"/>
    </w:lvl>
    <w:lvl w:ilvl="8" w:tplc="DFD445E8">
      <w:numFmt w:val="decimal"/>
      <w:lvlText w:val=""/>
      <w:lvlJc w:val="left"/>
    </w:lvl>
  </w:abstractNum>
  <w:num w:numId="1" w16cid:durableId="1954632075">
    <w:abstractNumId w:val="1"/>
    <w:lvlOverride w:ilvl="0">
      <w:startOverride w:val="1"/>
    </w:lvlOverride>
  </w:num>
  <w:num w:numId="2" w16cid:durableId="799499072">
    <w:abstractNumId w:val="2"/>
    <w:lvlOverride w:ilvl="0">
      <w:startOverride w:val="1"/>
    </w:lvlOverride>
  </w:num>
  <w:num w:numId="3" w16cid:durableId="2491180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281"/>
    <w:rsid w:val="000A2281"/>
    <w:rsid w:val="00584355"/>
    <w:rsid w:val="00723DB3"/>
    <w:rsid w:val="00BD6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7F76F"/>
  <w15:docId w15:val="{1F168DAF-3ACC-492C-852C-84B224DFE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style>
  <w:style w:type="character" w:customStyle="1" w:styleId="TextodenotadefimCarter">
    <w:name w:val="Texto de nota de fim Caráte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isah5/Projeto_Safra_de_Soja" TargetMode="External"/><Relationship Id="rId1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header_logo.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7083</Words>
  <Characters>38252</Characters>
  <Application>Microsoft Office Word</Application>
  <DocSecurity>0</DocSecurity>
  <Lines>318</Lines>
  <Paragraphs>90</Paragraphs>
  <ScaleCrop>false</ScaleCrop>
  <Company/>
  <LinksUpToDate>false</LinksUpToDate>
  <CharactersWithSpaces>45245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Previsão da safra de soja 2026 e perspectiva da safra 2027 no RS</dc:title>
  <dc:creator>Grupo do projeto</dc:creator>
  <dc:description>Relatório técnico das etapas de modelagem</dc:description>
  <cp:lastModifiedBy>Guilherme Princz Dias</cp:lastModifiedBy>
  <cp:revision>2</cp:revision>
  <dcterms:created xsi:type="dcterms:W3CDTF">2026-10-30T17:35:00Z</dcterms:created>
  <dcterms:modified xsi:type="dcterms:W3CDTF">2026-10-30T17:35:00Z</dcterms:modified>
</cp:coreProperties>
</file>