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600"/>
        <w:jc w:val="center"/>
      </w:pPr>
      <w:r>
        <w:rPr>
          <w:rFonts w:ascii="Calibri" w:cs="Calibri" w:eastAsia="Calibri" w:hAnsi="Calibri"/>
          <w:b/>
          <w:bCs/>
          <w:color w:val="1F3A5F"/>
          <w:sz w:val="40"/>
          <w:szCs w:val="40"/>
        </w:rPr>
        <w:t xml:space="preserve">Advanced Data Analysis and Visualization in Logistics</w:t>
      </w:r>
    </w:p>
    <w:p>
      <w:pPr>
        <w:spacing w:after="60"/>
        <w:jc w:val="center"/>
      </w:pPr>
      <w:r>
        <w:rPr>
          <w:rFonts w:ascii="Calibri" w:cs="Calibri" w:eastAsia="Calibri" w:hAnsi="Calibri"/>
          <w:color w:val="555555"/>
          <w:sz w:val="26"/>
          <w:szCs w:val="26"/>
        </w:rPr>
        <w:t xml:space="preserve">Week 3 Task — Exploratory Data Analysis of a Hypothetical Logistics Dataset</w:t>
      </w:r>
    </w:p>
    <w:p>
      <w:pPr>
        <w:spacing w:after="900"/>
        <w:jc w:val="center"/>
      </w:pPr>
      <w:r>
        <w:rPr>
          <w:rFonts w:ascii="Calibri" w:cs="Calibri" w:eastAsia="Calibri" w:hAnsi="Calibri"/>
          <w:color w:val="777777"/>
          <w:sz w:val="22"/>
          <w:szCs w:val="22"/>
        </w:rPr>
        <w:t xml:space="preserve">Prepared by: Abi  |  Final-Year CSE Student  |  September 2026</w:t>
      </w:r>
    </w:p>
    <w:p>
      <w:pPr>
        <w:jc w:val="center"/>
      </w:pPr>
      <w:r>
        <w:rPr>
          <w:rFonts w:ascii="Calibri" w:cs="Calibri" w:eastAsia="Calibri" w:hAnsi="Calibri"/>
          <w:i/>
          <w:iCs/>
          <w:color w:val="888888"/>
          <w:sz w:val="20"/>
          <w:szCs w:val="20"/>
        </w:rPr>
        <w:t xml:space="preserve">Tools used: Python 3 · pandas · numpy · matplotlib · seaborn</w:t>
      </w:r>
    </w:p>
    <w:p>
      <w:r>
        <w:br w:type="page"/>
      </w:r>
    </w:p>
    <w:p>
      <w:pPr>
        <w:pStyle w:val="Heading1"/>
        <w:spacing w:after="160" w:before="320"/>
      </w:pPr>
      <w:r>
        <w:t xml:space="preserve">1. Executive Summary</w:t>
      </w:r>
    </w:p>
    <w:p>
      <w:pPr>
        <w:spacing w:after="160"/>
      </w:pPr>
      <w:r>
        <w:rPr>
          <w:rFonts w:ascii="Calibri" w:cs="Calibri" w:eastAsia="Calibri" w:hAnsi="Calibri"/>
          <w:sz w:val="22"/>
          <w:szCs w:val="22"/>
        </w:rPr>
        <w:t xml:space="preserve">This report analyzes a hypothetical logistics dataset of 240 shipment records spanning January to August 2025, covering four regions (East, West, North, South) and three transport modes (Air, Road, Rail). The objective is to identify the drivers of delivery delay and cost, and to translate those patterns into operational recommendations.</w:t>
      </w:r>
    </w:p>
    <w:p>
      <w:pPr>
        <w:spacing w:after="160"/>
      </w:pPr>
      <w:r>
        <w:rPr>
          <w:rFonts w:ascii="Calibri" w:cs="Calibri" w:eastAsia="Calibri" w:hAnsi="Calibri"/>
          <w:sz w:val="22"/>
          <w:szCs w:val="22"/>
        </w:rPr>
        <w:t xml:space="preserve">The analysis finds that distance is the dominant cost and delay driver (correlation of 0.98 with transport cost and 0.83 with delivery delay), that 62.9% of all shipments in the dataset arrived delayed, and that customer satisfaction is very strongly and negatively related to delivery delay (r = -0.88) — far more than it is related to cost or mode. This points to delay reduction, not cost-cutting, as the highest-leverage improvement for customer experience.</w:t>
      </w:r>
    </w:p>
    <w:p>
      <w:pPr>
        <w:pStyle w:val="Heading1"/>
        <w:spacing w:after="160" w:before="320"/>
      </w:pPr>
      <w:r>
        <w:t xml:space="preserve">2. Objective and Methodology</w:t>
      </w:r>
    </w:p>
    <w:p>
      <w:pPr>
        <w:spacing w:after="160"/>
      </w:pPr>
      <w:r>
        <w:rPr>
          <w:rFonts w:ascii="Calibri" w:cs="Calibri" w:eastAsia="Calibri" w:hAnsi="Calibri"/>
          <w:sz w:val="22"/>
          <w:szCs w:val="22"/>
        </w:rPr>
        <w:t xml:space="preserve">The task simulates a real-world logistics analytics workflow: define a dataset, explore it statistically, visualize key relationships, and translate the findings into decision-ready insights. The methodology followed five steps:</w:t>
      </w:r>
    </w:p>
    <w:p>
      <w:pPr>
        <w:pStyle w:val="ListParagraph"/>
        <w:numPr>
          <w:ilvl w:val="0"/>
          <w:numId w:val="2"/>
        </w:numPr>
        <w:spacing w:after="80"/>
      </w:pPr>
      <w:r>
        <w:t xml:space="preserve">Data Simulation — define the structure and variables of a realistic logistics dataset.</w:t>
      </w:r>
    </w:p>
    <w:p>
      <w:pPr>
        <w:pStyle w:val="ListParagraph"/>
        <w:numPr>
          <w:ilvl w:val="0"/>
          <w:numId w:val="2"/>
        </w:numPr>
        <w:spacing w:after="80"/>
      </w:pPr>
      <w:r>
        <w:t xml:space="preserve">Exploratory Data Analysis (EDA) — compute central tendencies, distributions, and correlations using pandas.</w:t>
      </w:r>
    </w:p>
    <w:p>
      <w:pPr>
        <w:pStyle w:val="ListParagraph"/>
        <w:numPr>
          <w:ilvl w:val="0"/>
          <w:numId w:val="2"/>
        </w:numPr>
        <w:spacing w:after="80"/>
      </w:pPr>
      <w:r>
        <w:t xml:space="preserve">Visualization — build eight charts with matplotlib/seaborn, each chosen to answer a specific operational question.</w:t>
      </w:r>
    </w:p>
    <w:p>
      <w:pPr>
        <w:pStyle w:val="ListParagraph"/>
        <w:numPr>
          <w:ilvl w:val="0"/>
          <w:numId w:val="2"/>
        </w:numPr>
        <w:spacing w:after="80"/>
      </w:pPr>
      <w:r>
        <w:t xml:space="preserve">Analytical Insight — interpret each visualization in the context of logistics performance (efficiency, cost, bottlenecks).</w:t>
      </w:r>
    </w:p>
    <w:p>
      <w:pPr>
        <w:pStyle w:val="ListParagraph"/>
        <w:numPr>
          <w:ilvl w:val="0"/>
          <w:numId w:val="2"/>
        </w:numPr>
        <w:spacing w:after="80"/>
      </w:pPr>
      <w:r>
        <w:t xml:space="preserve">Documentation — compile methodology, code, charts, and recommendations into this report.</w:t>
      </w:r>
    </w:p>
    <w:p>
      <w:pPr>
        <w:pStyle w:val="Heading1"/>
        <w:spacing w:after="160" w:before="320"/>
      </w:pPr>
      <w:r>
        <w:t xml:space="preserve">3. Data Simulation: Dataset Structure</w:t>
      </w:r>
    </w:p>
    <w:p>
      <w:pPr>
        <w:spacing w:after="160"/>
      </w:pPr>
      <w:r>
        <w:rPr>
          <w:rFonts w:ascii="Calibri" w:cs="Calibri" w:eastAsia="Calibri" w:hAnsi="Calibri"/>
          <w:sz w:val="22"/>
          <w:szCs w:val="22"/>
        </w:rPr>
        <w:t xml:space="preserve">The dataset (hypothetical_logistics_dataset.csv) contains 240 shipment-level records with the following variables: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16"/>
        <w:gridCol w:w="3116"/>
        <w:gridCol w:w="3116"/>
      </w:tblGrid>
      <w:tr>
        <w:trPr>
          <w:tblHeader/>
        </w:trPr>
        <w:tc>
          <w:tcPr>
            <w:tcW w:type="dxa" w:w="3116"/>
            <w:shd w:fill="2F5C8A" w:val="clear"/>
            <w:tcMar>
              <w:top w:type="dxa" w:w="80"/>
              <w:left w:type="dxa" w:w="100"/>
              <w:bottom w:type="dxa" w:w="80"/>
              <w:right w:type="dxa" w:w="100"/>
            </w:tcMar>
          </w:tcPr>
          <w:p>
            <w:r>
              <w:rPr>
                <w:rFonts w:ascii="Calibri" w:cs="Calibri" w:eastAsia="Calibri" w:hAnsi="Calibri"/>
                <w:b/>
                <w:bCs/>
                <w:color w:val="FFFFFF"/>
                <w:sz w:val="19"/>
                <w:szCs w:val="19"/>
              </w:rPr>
              <w:t xml:space="preserve">Variable</w:t>
            </w:r>
          </w:p>
        </w:tc>
        <w:tc>
          <w:tcPr>
            <w:tcW w:type="dxa" w:w="3116"/>
            <w:shd w:fill="2F5C8A" w:val="clear"/>
            <w:tcMar>
              <w:top w:type="dxa" w:w="80"/>
              <w:left w:type="dxa" w:w="100"/>
              <w:bottom w:type="dxa" w:w="80"/>
              <w:right w:type="dxa" w:w="100"/>
            </w:tcMar>
          </w:tcPr>
          <w:p>
            <w:r>
              <w:rPr>
                <w:rFonts w:ascii="Calibri" w:cs="Calibri" w:eastAsia="Calibri" w:hAnsi="Calibri"/>
                <w:b/>
                <w:bCs/>
                <w:color w:val="FFFFFF"/>
                <w:sz w:val="19"/>
                <w:szCs w:val="19"/>
              </w:rPr>
              <w:t xml:space="preserve">Type</w:t>
            </w:r>
          </w:p>
        </w:tc>
        <w:tc>
          <w:tcPr>
            <w:tcW w:type="dxa" w:w="3116"/>
            <w:shd w:fill="2F5C8A" w:val="clear"/>
            <w:tcMar>
              <w:top w:type="dxa" w:w="80"/>
              <w:left w:type="dxa" w:w="100"/>
              <w:bottom w:type="dxa" w:w="80"/>
              <w:right w:type="dxa" w:w="100"/>
            </w:tcMar>
          </w:tcPr>
          <w:p>
            <w:r>
              <w:rPr>
                <w:rFonts w:ascii="Calibri" w:cs="Calibri" w:eastAsia="Calibri" w:hAnsi="Calibri"/>
                <w:b/>
                <w:bCs/>
                <w:color w:val="FFFFFF"/>
                <w:sz w:val="19"/>
                <w:szCs w:val="19"/>
              </w:rPr>
              <w:t xml:space="preserve">Description</w:t>
            </w:r>
          </w:p>
        </w:tc>
      </w:tr>
      <w:tr>
        <w:tc>
          <w:tcPr>
            <w:tcW w:type="dxa" w:w="3116"/>
            <w:shd w:fill="FFFFFF" w:val="clear"/>
            <w:tcMar>
              <w:top w:type="dxa" w:w="70"/>
              <w:left w:type="dxa" w:w="100"/>
              <w:bottom w:type="dxa" w:w="70"/>
              <w:right w:type="dxa" w:w="100"/>
            </w:tcMar>
          </w:tcPr>
          <w:p>
            <w:r>
              <w:rPr>
                <w:rFonts w:ascii="Calibri" w:cs="Calibri" w:eastAsia="Calibri" w:hAnsi="Calibri"/>
                <w:sz w:val="19"/>
                <w:szCs w:val="19"/>
              </w:rPr>
              <w:t xml:space="preserve">shipment_date</w:t>
            </w:r>
          </w:p>
        </w:tc>
        <w:tc>
          <w:tcPr>
            <w:tcW w:type="dxa" w:w="3116"/>
            <w:shd w:fill="FFFFFF" w:val="clear"/>
            <w:tcMar>
              <w:top w:type="dxa" w:w="70"/>
              <w:left w:type="dxa" w:w="100"/>
              <w:bottom w:type="dxa" w:w="70"/>
              <w:right w:type="dxa" w:w="100"/>
            </w:tcMar>
          </w:tcPr>
          <w:p>
            <w:r>
              <w:rPr>
                <w:rFonts w:ascii="Calibri" w:cs="Calibri" w:eastAsia="Calibri" w:hAnsi="Calibri"/>
                <w:sz w:val="19"/>
                <w:szCs w:val="19"/>
              </w:rPr>
              <w:t xml:space="preserve">Date</w:t>
            </w:r>
          </w:p>
        </w:tc>
        <w:tc>
          <w:tcPr>
            <w:tcW w:type="dxa" w:w="3116"/>
            <w:shd w:fill="FFFFFF" w:val="clear"/>
            <w:tcMar>
              <w:top w:type="dxa" w:w="70"/>
              <w:left w:type="dxa" w:w="100"/>
              <w:bottom w:type="dxa" w:w="70"/>
              <w:right w:type="dxa" w:w="100"/>
            </w:tcMar>
          </w:tcPr>
          <w:p>
            <w:r>
              <w:rPr>
                <w:rFonts w:ascii="Calibri" w:cs="Calibri" w:eastAsia="Calibri" w:hAnsi="Calibri"/>
                <w:sz w:val="19"/>
                <w:szCs w:val="19"/>
              </w:rPr>
              <w:t xml:space="preserve">Date the shipment was dispatched (Jan–Aug 2025)</w:t>
            </w:r>
          </w:p>
        </w:tc>
      </w:tr>
      <w:tr>
        <w:tc>
          <w:tcPr>
            <w:tcW w:type="dxa" w:w="3116"/>
            <w:shd w:fill="EEF3F8" w:val="clear"/>
            <w:tcMar>
              <w:top w:type="dxa" w:w="70"/>
              <w:left w:type="dxa" w:w="100"/>
              <w:bottom w:type="dxa" w:w="70"/>
              <w:right w:type="dxa" w:w="100"/>
            </w:tcMar>
          </w:tcPr>
          <w:p>
            <w:r>
              <w:rPr>
                <w:rFonts w:ascii="Calibri" w:cs="Calibri" w:eastAsia="Calibri" w:hAnsi="Calibri"/>
                <w:sz w:val="19"/>
                <w:szCs w:val="19"/>
              </w:rPr>
              <w:t xml:space="preserve">region</w:t>
            </w:r>
          </w:p>
        </w:tc>
        <w:tc>
          <w:tcPr>
            <w:tcW w:type="dxa" w:w="3116"/>
            <w:shd w:fill="EEF3F8" w:val="clear"/>
            <w:tcMar>
              <w:top w:type="dxa" w:w="70"/>
              <w:left w:type="dxa" w:w="100"/>
              <w:bottom w:type="dxa" w:w="70"/>
              <w:right w:type="dxa" w:w="100"/>
            </w:tcMar>
          </w:tcPr>
          <w:p>
            <w:r>
              <w:rPr>
                <w:rFonts w:ascii="Calibri" w:cs="Calibri" w:eastAsia="Calibri" w:hAnsi="Calibri"/>
                <w:sz w:val="19"/>
                <w:szCs w:val="19"/>
              </w:rPr>
              <w:t xml:space="preserve">Categorical</w:t>
            </w:r>
          </w:p>
        </w:tc>
        <w:tc>
          <w:tcPr>
            <w:tcW w:type="dxa" w:w="3116"/>
            <w:shd w:fill="EEF3F8" w:val="clear"/>
            <w:tcMar>
              <w:top w:type="dxa" w:w="70"/>
              <w:left w:type="dxa" w:w="100"/>
              <w:bottom w:type="dxa" w:w="70"/>
              <w:right w:type="dxa" w:w="100"/>
            </w:tcMar>
          </w:tcPr>
          <w:p>
            <w:r>
              <w:rPr>
                <w:rFonts w:ascii="Calibri" w:cs="Calibri" w:eastAsia="Calibri" w:hAnsi="Calibri"/>
                <w:sz w:val="19"/>
                <w:szCs w:val="19"/>
              </w:rPr>
              <w:t xml:space="preserve">Destination region: East, West, North, South</w:t>
            </w:r>
          </w:p>
        </w:tc>
      </w:tr>
      <w:tr>
        <w:tc>
          <w:tcPr>
            <w:tcW w:type="dxa" w:w="3116"/>
            <w:shd w:fill="FFFFFF" w:val="clear"/>
            <w:tcMar>
              <w:top w:type="dxa" w:w="70"/>
              <w:left w:type="dxa" w:w="100"/>
              <w:bottom w:type="dxa" w:w="70"/>
              <w:right w:type="dxa" w:w="100"/>
            </w:tcMar>
          </w:tcPr>
          <w:p>
            <w:r>
              <w:rPr>
                <w:rFonts w:ascii="Calibri" w:cs="Calibri" w:eastAsia="Calibri" w:hAnsi="Calibri"/>
                <w:sz w:val="19"/>
                <w:szCs w:val="19"/>
              </w:rPr>
              <w:t xml:space="preserve">transport_mode</w:t>
            </w:r>
          </w:p>
        </w:tc>
        <w:tc>
          <w:tcPr>
            <w:tcW w:type="dxa" w:w="3116"/>
            <w:shd w:fill="FFFFFF" w:val="clear"/>
            <w:tcMar>
              <w:top w:type="dxa" w:w="70"/>
              <w:left w:type="dxa" w:w="100"/>
              <w:bottom w:type="dxa" w:w="70"/>
              <w:right w:type="dxa" w:w="100"/>
            </w:tcMar>
          </w:tcPr>
          <w:p>
            <w:r>
              <w:rPr>
                <w:rFonts w:ascii="Calibri" w:cs="Calibri" w:eastAsia="Calibri" w:hAnsi="Calibri"/>
                <w:sz w:val="19"/>
                <w:szCs w:val="19"/>
              </w:rPr>
              <w:t xml:space="preserve">Categorical</w:t>
            </w:r>
          </w:p>
        </w:tc>
        <w:tc>
          <w:tcPr>
            <w:tcW w:type="dxa" w:w="3116"/>
            <w:shd w:fill="FFFFFF" w:val="clear"/>
            <w:tcMar>
              <w:top w:type="dxa" w:w="70"/>
              <w:left w:type="dxa" w:w="100"/>
              <w:bottom w:type="dxa" w:w="70"/>
              <w:right w:type="dxa" w:w="100"/>
            </w:tcMar>
          </w:tcPr>
          <w:p>
            <w:r>
              <w:rPr>
                <w:rFonts w:ascii="Calibri" w:cs="Calibri" w:eastAsia="Calibri" w:hAnsi="Calibri"/>
                <w:sz w:val="19"/>
                <w:szCs w:val="19"/>
              </w:rPr>
              <w:t xml:space="preserve">Mode used: Air, Road, Rail</w:t>
            </w:r>
          </w:p>
        </w:tc>
      </w:tr>
      <w:tr>
        <w:tc>
          <w:tcPr>
            <w:tcW w:type="dxa" w:w="3116"/>
            <w:shd w:fill="EEF3F8" w:val="clear"/>
            <w:tcMar>
              <w:top w:type="dxa" w:w="70"/>
              <w:left w:type="dxa" w:w="100"/>
              <w:bottom w:type="dxa" w:w="70"/>
              <w:right w:type="dxa" w:w="100"/>
            </w:tcMar>
          </w:tcPr>
          <w:p>
            <w:r>
              <w:rPr>
                <w:rFonts w:ascii="Calibri" w:cs="Calibri" w:eastAsia="Calibri" w:hAnsi="Calibri"/>
                <w:sz w:val="19"/>
                <w:szCs w:val="19"/>
              </w:rPr>
              <w:t xml:space="preserve">shipment_volume</w:t>
            </w:r>
          </w:p>
        </w:tc>
        <w:tc>
          <w:tcPr>
            <w:tcW w:type="dxa" w:w="3116"/>
            <w:shd w:fill="EEF3F8" w:val="clear"/>
            <w:tcMar>
              <w:top w:type="dxa" w:w="70"/>
              <w:left w:type="dxa" w:w="100"/>
              <w:bottom w:type="dxa" w:w="70"/>
              <w:right w:type="dxa" w:w="100"/>
            </w:tcMar>
          </w:tcPr>
          <w:p>
            <w:r>
              <w:rPr>
                <w:rFonts w:ascii="Calibri" w:cs="Calibri" w:eastAsia="Calibri" w:hAnsi="Calibri"/>
                <w:sz w:val="19"/>
                <w:szCs w:val="19"/>
              </w:rPr>
              <w:t xml:space="preserve">Numeric</w:t>
            </w:r>
          </w:p>
        </w:tc>
        <w:tc>
          <w:tcPr>
            <w:tcW w:type="dxa" w:w="3116"/>
            <w:shd w:fill="EEF3F8" w:val="clear"/>
            <w:tcMar>
              <w:top w:type="dxa" w:w="70"/>
              <w:left w:type="dxa" w:w="100"/>
              <w:bottom w:type="dxa" w:w="70"/>
              <w:right w:type="dxa" w:w="100"/>
            </w:tcMar>
          </w:tcPr>
          <w:p>
            <w:r>
              <w:rPr>
                <w:rFonts w:ascii="Calibri" w:cs="Calibri" w:eastAsia="Calibri" w:hAnsi="Calibri"/>
                <w:sz w:val="19"/>
                <w:szCs w:val="19"/>
              </w:rPr>
              <w:t xml:space="preserve">Units shipped (100–997)</w:t>
            </w:r>
          </w:p>
        </w:tc>
      </w:tr>
      <w:tr>
        <w:tc>
          <w:tcPr>
            <w:tcW w:type="dxa" w:w="3116"/>
            <w:shd w:fill="FFFFFF" w:val="clear"/>
            <w:tcMar>
              <w:top w:type="dxa" w:w="70"/>
              <w:left w:type="dxa" w:w="100"/>
              <w:bottom w:type="dxa" w:w="70"/>
              <w:right w:type="dxa" w:w="100"/>
            </w:tcMar>
          </w:tcPr>
          <w:p>
            <w:r>
              <w:rPr>
                <w:rFonts w:ascii="Calibri" w:cs="Calibri" w:eastAsia="Calibri" w:hAnsi="Calibri"/>
                <w:sz w:val="19"/>
                <w:szCs w:val="19"/>
              </w:rPr>
              <w:t xml:space="preserve">distance_km</w:t>
            </w:r>
          </w:p>
        </w:tc>
        <w:tc>
          <w:tcPr>
            <w:tcW w:type="dxa" w:w="3116"/>
            <w:shd w:fill="FFFFFF" w:val="clear"/>
            <w:tcMar>
              <w:top w:type="dxa" w:w="70"/>
              <w:left w:type="dxa" w:w="100"/>
              <w:bottom w:type="dxa" w:w="70"/>
              <w:right w:type="dxa" w:w="100"/>
            </w:tcMar>
          </w:tcPr>
          <w:p>
            <w:r>
              <w:rPr>
                <w:rFonts w:ascii="Calibri" w:cs="Calibri" w:eastAsia="Calibri" w:hAnsi="Calibri"/>
                <w:sz w:val="19"/>
                <w:szCs w:val="19"/>
              </w:rPr>
              <w:t xml:space="preserve">Numeric</w:t>
            </w:r>
          </w:p>
        </w:tc>
        <w:tc>
          <w:tcPr>
            <w:tcW w:type="dxa" w:w="3116"/>
            <w:shd w:fill="FFFFFF" w:val="clear"/>
            <w:tcMar>
              <w:top w:type="dxa" w:w="70"/>
              <w:left w:type="dxa" w:w="100"/>
              <w:bottom w:type="dxa" w:w="70"/>
              <w:right w:type="dxa" w:w="100"/>
            </w:tcMar>
          </w:tcPr>
          <w:p>
            <w:r>
              <w:rPr>
                <w:rFonts w:ascii="Calibri" w:cs="Calibri" w:eastAsia="Calibri" w:hAnsi="Calibri"/>
                <w:sz w:val="19"/>
                <w:szCs w:val="19"/>
              </w:rPr>
              <w:t xml:space="preserve">Distance travelled in kilometers (50–1,495)</w:t>
            </w:r>
          </w:p>
        </w:tc>
      </w:tr>
      <w:tr>
        <w:tc>
          <w:tcPr>
            <w:tcW w:type="dxa" w:w="3116"/>
            <w:shd w:fill="EEF3F8" w:val="clear"/>
            <w:tcMar>
              <w:top w:type="dxa" w:w="70"/>
              <w:left w:type="dxa" w:w="100"/>
              <w:bottom w:type="dxa" w:w="70"/>
              <w:right w:type="dxa" w:w="100"/>
            </w:tcMar>
          </w:tcPr>
          <w:p>
            <w:r>
              <w:rPr>
                <w:rFonts w:ascii="Calibri" w:cs="Calibri" w:eastAsia="Calibri" w:hAnsi="Calibri"/>
                <w:sz w:val="19"/>
                <w:szCs w:val="19"/>
              </w:rPr>
              <w:t xml:space="preserve">delivery_time_days</w:t>
            </w:r>
          </w:p>
        </w:tc>
        <w:tc>
          <w:tcPr>
            <w:tcW w:type="dxa" w:w="3116"/>
            <w:shd w:fill="EEF3F8" w:val="clear"/>
            <w:tcMar>
              <w:top w:type="dxa" w:w="70"/>
              <w:left w:type="dxa" w:w="100"/>
              <w:bottom w:type="dxa" w:w="70"/>
              <w:right w:type="dxa" w:w="100"/>
            </w:tcMar>
          </w:tcPr>
          <w:p>
            <w:r>
              <w:rPr>
                <w:rFonts w:ascii="Calibri" w:cs="Calibri" w:eastAsia="Calibri" w:hAnsi="Calibri"/>
                <w:sz w:val="19"/>
                <w:szCs w:val="19"/>
              </w:rPr>
              <w:t xml:space="preserve">Numeric</w:t>
            </w:r>
          </w:p>
        </w:tc>
        <w:tc>
          <w:tcPr>
            <w:tcW w:type="dxa" w:w="3116"/>
            <w:shd w:fill="EEF3F8" w:val="clear"/>
            <w:tcMar>
              <w:top w:type="dxa" w:w="70"/>
              <w:left w:type="dxa" w:w="100"/>
              <w:bottom w:type="dxa" w:w="70"/>
              <w:right w:type="dxa" w:w="100"/>
            </w:tcMar>
          </w:tcPr>
          <w:p>
            <w:r>
              <w:rPr>
                <w:rFonts w:ascii="Calibri" w:cs="Calibri" w:eastAsia="Calibri" w:hAnsi="Calibri"/>
                <w:sz w:val="19"/>
                <w:szCs w:val="19"/>
              </w:rPr>
              <w:t xml:space="preserve">Total time from dispatch to delivery (days)</w:t>
            </w:r>
          </w:p>
        </w:tc>
      </w:tr>
      <w:tr>
        <w:tc>
          <w:tcPr>
            <w:tcW w:type="dxa" w:w="3116"/>
            <w:shd w:fill="FFFFFF" w:val="clear"/>
            <w:tcMar>
              <w:top w:type="dxa" w:w="70"/>
              <w:left w:type="dxa" w:w="100"/>
              <w:bottom w:type="dxa" w:w="70"/>
              <w:right w:type="dxa" w:w="100"/>
            </w:tcMar>
          </w:tcPr>
          <w:p>
            <w:r>
              <w:rPr>
                <w:rFonts w:ascii="Calibri" w:cs="Calibri" w:eastAsia="Calibri" w:hAnsi="Calibri"/>
                <w:sz w:val="19"/>
                <w:szCs w:val="19"/>
              </w:rPr>
              <w:t xml:space="preserve">delivery_delay_days</w:t>
            </w:r>
          </w:p>
        </w:tc>
        <w:tc>
          <w:tcPr>
            <w:tcW w:type="dxa" w:w="3116"/>
            <w:shd w:fill="FFFFFF" w:val="clear"/>
            <w:tcMar>
              <w:top w:type="dxa" w:w="70"/>
              <w:left w:type="dxa" w:w="100"/>
              <w:bottom w:type="dxa" w:w="70"/>
              <w:right w:type="dxa" w:w="100"/>
            </w:tcMar>
          </w:tcPr>
          <w:p>
            <w:r>
              <w:rPr>
                <w:rFonts w:ascii="Calibri" w:cs="Calibri" w:eastAsia="Calibri" w:hAnsi="Calibri"/>
                <w:sz w:val="19"/>
                <w:szCs w:val="19"/>
              </w:rPr>
              <w:t xml:space="preserve">Numeric</w:t>
            </w:r>
          </w:p>
        </w:tc>
        <w:tc>
          <w:tcPr>
            <w:tcW w:type="dxa" w:w="3116"/>
            <w:shd w:fill="FFFFFF" w:val="clear"/>
            <w:tcMar>
              <w:top w:type="dxa" w:w="70"/>
              <w:left w:type="dxa" w:w="100"/>
              <w:bottom w:type="dxa" w:w="70"/>
              <w:right w:type="dxa" w:w="100"/>
            </w:tcMar>
          </w:tcPr>
          <w:p>
            <w:r>
              <w:rPr>
                <w:rFonts w:ascii="Calibri" w:cs="Calibri" w:eastAsia="Calibri" w:hAnsi="Calibri"/>
                <w:sz w:val="19"/>
                <w:szCs w:val="19"/>
              </w:rPr>
              <w:t xml:space="preserve">Days beyond the scheduled delivery window</w:t>
            </w:r>
          </w:p>
        </w:tc>
      </w:tr>
      <w:tr>
        <w:tc>
          <w:tcPr>
            <w:tcW w:type="dxa" w:w="3116"/>
            <w:shd w:fill="EEF3F8" w:val="clear"/>
            <w:tcMar>
              <w:top w:type="dxa" w:w="70"/>
              <w:left w:type="dxa" w:w="100"/>
              <w:bottom w:type="dxa" w:w="70"/>
              <w:right w:type="dxa" w:w="100"/>
            </w:tcMar>
          </w:tcPr>
          <w:p>
            <w:r>
              <w:rPr>
                <w:rFonts w:ascii="Calibri" w:cs="Calibri" w:eastAsia="Calibri" w:hAnsi="Calibri"/>
                <w:sz w:val="19"/>
                <w:szCs w:val="19"/>
              </w:rPr>
              <w:t xml:space="preserve">transport_cost</w:t>
            </w:r>
          </w:p>
        </w:tc>
        <w:tc>
          <w:tcPr>
            <w:tcW w:type="dxa" w:w="3116"/>
            <w:shd w:fill="EEF3F8" w:val="clear"/>
            <w:tcMar>
              <w:top w:type="dxa" w:w="70"/>
              <w:left w:type="dxa" w:w="100"/>
              <w:bottom w:type="dxa" w:w="70"/>
              <w:right w:type="dxa" w:w="100"/>
            </w:tcMar>
          </w:tcPr>
          <w:p>
            <w:r>
              <w:rPr>
                <w:rFonts w:ascii="Calibri" w:cs="Calibri" w:eastAsia="Calibri" w:hAnsi="Calibri"/>
                <w:sz w:val="19"/>
                <w:szCs w:val="19"/>
              </w:rPr>
              <w:t xml:space="preserve">Numeric</w:t>
            </w:r>
          </w:p>
        </w:tc>
        <w:tc>
          <w:tcPr>
            <w:tcW w:type="dxa" w:w="3116"/>
            <w:shd w:fill="EEF3F8" w:val="clear"/>
            <w:tcMar>
              <w:top w:type="dxa" w:w="70"/>
              <w:left w:type="dxa" w:w="100"/>
              <w:bottom w:type="dxa" w:w="70"/>
              <w:right w:type="dxa" w:w="100"/>
            </w:tcMar>
          </w:tcPr>
          <w:p>
            <w:r>
              <w:rPr>
                <w:rFonts w:ascii="Calibri" w:cs="Calibri" w:eastAsia="Calibri" w:hAnsi="Calibri"/>
                <w:sz w:val="19"/>
                <w:szCs w:val="19"/>
              </w:rPr>
              <w:t xml:space="preserve">Total cost of shipment transport (USD)</w:t>
            </w:r>
          </w:p>
        </w:tc>
      </w:tr>
      <w:tr>
        <w:tc>
          <w:tcPr>
            <w:tcW w:type="dxa" w:w="3116"/>
            <w:shd w:fill="FFFFFF" w:val="clear"/>
            <w:tcMar>
              <w:top w:type="dxa" w:w="70"/>
              <w:left w:type="dxa" w:w="100"/>
              <w:bottom w:type="dxa" w:w="70"/>
              <w:right w:type="dxa" w:w="100"/>
            </w:tcMar>
          </w:tcPr>
          <w:p>
            <w:r>
              <w:rPr>
                <w:rFonts w:ascii="Calibri" w:cs="Calibri" w:eastAsia="Calibri" w:hAnsi="Calibri"/>
                <w:sz w:val="19"/>
                <w:szCs w:val="19"/>
              </w:rPr>
              <w:t xml:space="preserve">customer_satisfaction</w:t>
            </w:r>
          </w:p>
        </w:tc>
        <w:tc>
          <w:tcPr>
            <w:tcW w:type="dxa" w:w="3116"/>
            <w:shd w:fill="FFFFFF" w:val="clear"/>
            <w:tcMar>
              <w:top w:type="dxa" w:w="70"/>
              <w:left w:type="dxa" w:w="100"/>
              <w:bottom w:type="dxa" w:w="70"/>
              <w:right w:type="dxa" w:w="100"/>
            </w:tcMar>
          </w:tcPr>
          <w:p>
            <w:r>
              <w:rPr>
                <w:rFonts w:ascii="Calibri" w:cs="Calibri" w:eastAsia="Calibri" w:hAnsi="Calibri"/>
                <w:sz w:val="19"/>
                <w:szCs w:val="19"/>
              </w:rPr>
              <w:t xml:space="preserve">Numeric</w:t>
            </w:r>
          </w:p>
        </w:tc>
        <w:tc>
          <w:tcPr>
            <w:tcW w:type="dxa" w:w="3116"/>
            <w:shd w:fill="FFFFFF" w:val="clear"/>
            <w:tcMar>
              <w:top w:type="dxa" w:w="70"/>
              <w:left w:type="dxa" w:w="100"/>
              <w:bottom w:type="dxa" w:w="70"/>
              <w:right w:type="dxa" w:w="100"/>
            </w:tcMar>
          </w:tcPr>
          <w:p>
            <w:r>
              <w:rPr>
                <w:rFonts w:ascii="Calibri" w:cs="Calibri" w:eastAsia="Calibri" w:hAnsi="Calibri"/>
                <w:sz w:val="19"/>
                <w:szCs w:val="19"/>
              </w:rPr>
              <w:t xml:space="preserve">Post-delivery rating, 1.0–5.0 scale</w:t>
            </w:r>
          </w:p>
        </w:tc>
      </w:tr>
      <w:tr>
        <w:tc>
          <w:tcPr>
            <w:tcW w:type="dxa" w:w="3116"/>
            <w:shd w:fill="EEF3F8" w:val="clear"/>
            <w:tcMar>
              <w:top w:type="dxa" w:w="70"/>
              <w:left w:type="dxa" w:w="100"/>
              <w:bottom w:type="dxa" w:w="70"/>
              <w:right w:type="dxa" w:w="100"/>
            </w:tcMar>
          </w:tcPr>
          <w:p>
            <w:r>
              <w:rPr>
                <w:rFonts w:ascii="Calibri" w:cs="Calibri" w:eastAsia="Calibri" w:hAnsi="Calibri"/>
                <w:sz w:val="19"/>
                <w:szCs w:val="19"/>
              </w:rPr>
              <w:t xml:space="preserve">delivery_status</w:t>
            </w:r>
          </w:p>
        </w:tc>
        <w:tc>
          <w:tcPr>
            <w:tcW w:type="dxa" w:w="3116"/>
            <w:shd w:fill="EEF3F8" w:val="clear"/>
            <w:tcMar>
              <w:top w:type="dxa" w:w="70"/>
              <w:left w:type="dxa" w:w="100"/>
              <w:bottom w:type="dxa" w:w="70"/>
              <w:right w:type="dxa" w:w="100"/>
            </w:tcMar>
          </w:tcPr>
          <w:p>
            <w:r>
              <w:rPr>
                <w:rFonts w:ascii="Calibri" w:cs="Calibri" w:eastAsia="Calibri" w:hAnsi="Calibri"/>
                <w:sz w:val="19"/>
                <w:szCs w:val="19"/>
              </w:rPr>
              <w:t xml:space="preserve">Categorical</w:t>
            </w:r>
          </w:p>
        </w:tc>
        <w:tc>
          <w:tcPr>
            <w:tcW w:type="dxa" w:w="3116"/>
            <w:shd w:fill="EEF3F8" w:val="clear"/>
            <w:tcMar>
              <w:top w:type="dxa" w:w="70"/>
              <w:left w:type="dxa" w:w="100"/>
              <w:bottom w:type="dxa" w:w="70"/>
              <w:right w:type="dxa" w:w="100"/>
            </w:tcMar>
          </w:tcPr>
          <w:p>
            <w:r>
              <w:rPr>
                <w:rFonts w:ascii="Calibri" w:cs="Calibri" w:eastAsia="Calibri" w:hAnsi="Calibri"/>
                <w:sz w:val="19"/>
                <w:szCs w:val="19"/>
              </w:rPr>
              <w:t xml:space="preserve">'On Time' or 'Delayed'</w:t>
            </w:r>
          </w:p>
        </w:tc>
      </w:tr>
    </w:tbl>
    <w:p>
      <w:pPr>
        <w:spacing w:after="160"/>
      </w:pPr>
    </w:p>
    <w:p>
      <w:pPr>
        <w:spacing w:after="160"/>
      </w:pPr>
      <w:r>
        <w:rPr>
          <w:rFonts w:ascii="Calibri" w:cs="Calibri" w:eastAsia="Calibri" w:hAnsi="Calibri"/>
          <w:sz w:val="22"/>
          <w:szCs w:val="22"/>
        </w:rPr>
        <w:t xml:space="preserve">A structural check confirmed the dataset is complete and analysis-ready: 0 missing values across all 10 columns and 240 rows.</w:t>
      </w:r>
    </w:p>
    <w:p>
      <w:pPr>
        <w:pStyle w:val="Heading1"/>
        <w:spacing w:after="160" w:before="320"/>
      </w:pPr>
      <w:r>
        <w:t xml:space="preserve">4. Exploratory Data Analysis</w:t>
      </w:r>
    </w:p>
    <w:p>
      <w:pPr>
        <w:pStyle w:val="Heading2"/>
        <w:spacing w:after="120" w:before="260"/>
      </w:pPr>
      <w:r>
        <w:t xml:space="preserve">4.1 Loading and Inspecting the Data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Mar>
              <w:top w:type="dxa" w:w="120"/>
              <w:left w:type="dxa" w:w="160"/>
              <w:bottom w:type="dxa" w:w="120"/>
              <w:right w:type="dxa" w:w="160"/>
            </w:tcMar>
          </w:tcPr>
          <w:p>
            <w:pPr>
              <w:spacing w:after="0"/>
            </w:pPr>
            <w:r>
              <w:rPr>
                <w:rFonts w:ascii="Consolas" w:cs="Consolas" w:eastAsia="Consolas" w:hAnsi="Consolas"/>
                <w:sz w:val="18"/>
                <w:szCs w:val="18"/>
              </w:rPr>
              <w:t xml:space="preserve">import pandas as pd</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df = pd.read_csv('hypothetical_logistics_dataset.csv')</w:t>
            </w:r>
          </w:p>
          <w:p>
            <w:pPr>
              <w:spacing w:after="0"/>
            </w:pPr>
            <w:r>
              <w:rPr>
                <w:rFonts w:ascii="Consolas" w:cs="Consolas" w:eastAsia="Consolas" w:hAnsi="Consolas"/>
                <w:sz w:val="18"/>
                <w:szCs w:val="18"/>
              </w:rPr>
              <w:t xml:space="preserve">df['shipment_date'] = pd.to_datetime(df['shipment_date'])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print(df.shape)              # (240, 10)</w:t>
            </w:r>
          </w:p>
          <w:p>
            <w:pPr>
              <w:spacing w:after="0"/>
            </w:pPr>
            <w:r>
              <w:rPr>
                <w:rFonts w:ascii="Consolas" w:cs="Consolas" w:eastAsia="Consolas" w:hAnsi="Consolas"/>
                <w:sz w:val="18"/>
                <w:szCs w:val="18"/>
              </w:rPr>
              <w:t xml:space="preserve">print(df.isnull().sum())     # 0 missing values in every column</w:t>
            </w:r>
          </w:p>
          <w:p>
            <w:pPr>
              <w:spacing w:after="0"/>
            </w:pPr>
            <w:r>
              <w:rPr>
                <w:rFonts w:ascii="Consolas" w:cs="Consolas" w:eastAsia="Consolas" w:hAnsi="Consolas"/>
                <w:sz w:val="18"/>
                <w:szCs w:val="18"/>
              </w:rPr>
              <w:t xml:space="preserve">print(df.describe().round(2))</w:t>
            </w:r>
          </w:p>
        </w:tc>
      </w:tr>
    </w:tbl>
    <w:p>
      <w:pPr>
        <w:spacing w:after="160"/>
      </w:pPr>
    </w:p>
    <w:p>
      <w:pPr>
        <w:pStyle w:val="Heading2"/>
        <w:spacing w:after="120" w:before="260"/>
      </w:pPr>
      <w:r>
        <w:t xml:space="preserve">4.2 Central Tendencies and Spread</w:t>
      </w:r>
    </w:p>
    <w:p>
      <w:pPr>
        <w:spacing w:after="160"/>
      </w:pPr>
      <w:r>
        <w:rPr>
          <w:rFonts w:ascii="Calibri" w:cs="Calibri" w:eastAsia="Calibri" w:hAnsi="Calibri"/>
          <w:sz w:val="22"/>
          <w:szCs w:val="22"/>
        </w:rPr>
        <w:t xml:space="preserve">Summary statistics for the numeric variables: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70"/>
        <w:gridCol w:w="1870"/>
        <w:gridCol w:w="1870"/>
        <w:gridCol w:w="1870"/>
        <w:gridCol w:w="1870"/>
      </w:tblGrid>
      <w:tr>
        <w:trPr>
          <w:tblHeader/>
        </w:trPr>
        <w:tc>
          <w:tcPr>
            <w:tcW w:type="dxa" w:w="1870"/>
            <w:shd w:fill="2F5C8A" w:val="clear"/>
            <w:tcMar>
              <w:top w:type="dxa" w:w="80"/>
              <w:left w:type="dxa" w:w="100"/>
              <w:bottom w:type="dxa" w:w="80"/>
              <w:right w:type="dxa" w:w="100"/>
            </w:tcMar>
          </w:tcPr>
          <w:p>
            <w:r>
              <w:rPr>
                <w:rFonts w:ascii="Calibri" w:cs="Calibri" w:eastAsia="Calibri" w:hAnsi="Calibri"/>
                <w:b/>
                <w:bCs/>
                <w:color w:val="FFFFFF"/>
                <w:sz w:val="19"/>
                <w:szCs w:val="19"/>
              </w:rPr>
              <w:t xml:space="preserve">Metric</w:t>
            </w:r>
          </w:p>
        </w:tc>
        <w:tc>
          <w:tcPr>
            <w:tcW w:type="dxa" w:w="1870"/>
            <w:shd w:fill="2F5C8A" w:val="clear"/>
            <w:tcMar>
              <w:top w:type="dxa" w:w="80"/>
              <w:left w:type="dxa" w:w="100"/>
              <w:bottom w:type="dxa" w:w="80"/>
              <w:right w:type="dxa" w:w="100"/>
            </w:tcMar>
          </w:tcPr>
          <w:p>
            <w:r>
              <w:rPr>
                <w:rFonts w:ascii="Calibri" w:cs="Calibri" w:eastAsia="Calibri" w:hAnsi="Calibri"/>
                <w:b/>
                <w:bCs/>
                <w:color w:val="FFFFFF"/>
                <w:sz w:val="19"/>
                <w:szCs w:val="19"/>
              </w:rPr>
              <w:t xml:space="preserve">Mean</w:t>
            </w:r>
          </w:p>
        </w:tc>
        <w:tc>
          <w:tcPr>
            <w:tcW w:type="dxa" w:w="1870"/>
            <w:shd w:fill="2F5C8A" w:val="clear"/>
            <w:tcMar>
              <w:top w:type="dxa" w:w="80"/>
              <w:left w:type="dxa" w:w="100"/>
              <w:bottom w:type="dxa" w:w="80"/>
              <w:right w:type="dxa" w:w="100"/>
            </w:tcMar>
          </w:tcPr>
          <w:p>
            <w:r>
              <w:rPr>
                <w:rFonts w:ascii="Calibri" w:cs="Calibri" w:eastAsia="Calibri" w:hAnsi="Calibri"/>
                <w:b/>
                <w:bCs/>
                <w:color w:val="FFFFFF"/>
                <w:sz w:val="19"/>
                <w:szCs w:val="19"/>
              </w:rPr>
              <w:t xml:space="preserve">Std Dev</w:t>
            </w:r>
          </w:p>
        </w:tc>
        <w:tc>
          <w:tcPr>
            <w:tcW w:type="dxa" w:w="1870"/>
            <w:shd w:fill="2F5C8A" w:val="clear"/>
            <w:tcMar>
              <w:top w:type="dxa" w:w="80"/>
              <w:left w:type="dxa" w:w="100"/>
              <w:bottom w:type="dxa" w:w="80"/>
              <w:right w:type="dxa" w:w="100"/>
            </w:tcMar>
          </w:tcPr>
          <w:p>
            <w:r>
              <w:rPr>
                <w:rFonts w:ascii="Calibri" w:cs="Calibri" w:eastAsia="Calibri" w:hAnsi="Calibri"/>
                <w:b/>
                <w:bCs/>
                <w:color w:val="FFFFFF"/>
                <w:sz w:val="19"/>
                <w:szCs w:val="19"/>
              </w:rPr>
              <w:t xml:space="preserve">Min</w:t>
            </w:r>
          </w:p>
        </w:tc>
        <w:tc>
          <w:tcPr>
            <w:tcW w:type="dxa" w:w="1870"/>
            <w:shd w:fill="2F5C8A" w:val="clear"/>
            <w:tcMar>
              <w:top w:type="dxa" w:w="80"/>
              <w:left w:type="dxa" w:w="100"/>
              <w:bottom w:type="dxa" w:w="80"/>
              <w:right w:type="dxa" w:w="100"/>
            </w:tcMar>
          </w:tcPr>
          <w:p>
            <w:r>
              <w:rPr>
                <w:rFonts w:ascii="Calibri" w:cs="Calibri" w:eastAsia="Calibri" w:hAnsi="Calibri"/>
                <w:b/>
                <w:bCs/>
                <w:color w:val="FFFFFF"/>
                <w:sz w:val="19"/>
                <w:szCs w:val="19"/>
              </w:rPr>
              <w:t xml:space="preserve">Max</w:t>
            </w:r>
          </w:p>
        </w:tc>
      </w:tr>
      <w:tr>
        <w:tc>
          <w:tcPr>
            <w:tcW w:type="dxa" w:w="1870"/>
            <w:shd w:fill="FFFFFF" w:val="clear"/>
            <w:tcMar>
              <w:top w:type="dxa" w:w="70"/>
              <w:left w:type="dxa" w:w="100"/>
              <w:bottom w:type="dxa" w:w="70"/>
              <w:right w:type="dxa" w:w="100"/>
            </w:tcMar>
          </w:tcPr>
          <w:p>
            <w:r>
              <w:rPr>
                <w:rFonts w:ascii="Calibri" w:cs="Calibri" w:eastAsia="Calibri" w:hAnsi="Calibri"/>
                <w:sz w:val="19"/>
                <w:szCs w:val="19"/>
              </w:rPr>
              <w:t xml:space="preserve">Shipment Volume (units)</w:t>
            </w:r>
          </w:p>
        </w:tc>
        <w:tc>
          <w:tcPr>
            <w:tcW w:type="dxa" w:w="1870"/>
            <w:shd w:fill="FFFFFF" w:val="clear"/>
            <w:tcMar>
              <w:top w:type="dxa" w:w="70"/>
              <w:left w:type="dxa" w:w="100"/>
              <w:bottom w:type="dxa" w:w="70"/>
              <w:right w:type="dxa" w:w="100"/>
            </w:tcMar>
          </w:tcPr>
          <w:p>
            <w:r>
              <w:rPr>
                <w:rFonts w:ascii="Calibri" w:cs="Calibri" w:eastAsia="Calibri" w:hAnsi="Calibri"/>
                <w:sz w:val="19"/>
                <w:szCs w:val="19"/>
              </w:rPr>
              <w:t xml:space="preserve">539.29</w:t>
            </w:r>
          </w:p>
        </w:tc>
        <w:tc>
          <w:tcPr>
            <w:tcW w:type="dxa" w:w="1870"/>
            <w:shd w:fill="FFFFFF" w:val="clear"/>
            <w:tcMar>
              <w:top w:type="dxa" w:w="70"/>
              <w:left w:type="dxa" w:w="100"/>
              <w:bottom w:type="dxa" w:w="70"/>
              <w:right w:type="dxa" w:w="100"/>
            </w:tcMar>
          </w:tcPr>
          <w:p>
            <w:r>
              <w:rPr>
                <w:rFonts w:ascii="Calibri" w:cs="Calibri" w:eastAsia="Calibri" w:hAnsi="Calibri"/>
                <w:sz w:val="19"/>
                <w:szCs w:val="19"/>
              </w:rPr>
              <w:t xml:space="preserve">261.27</w:t>
            </w:r>
          </w:p>
        </w:tc>
        <w:tc>
          <w:tcPr>
            <w:tcW w:type="dxa" w:w="1870"/>
            <w:shd w:fill="FFFFFF" w:val="clear"/>
            <w:tcMar>
              <w:top w:type="dxa" w:w="70"/>
              <w:left w:type="dxa" w:w="100"/>
              <w:bottom w:type="dxa" w:w="70"/>
              <w:right w:type="dxa" w:w="100"/>
            </w:tcMar>
          </w:tcPr>
          <w:p>
            <w:r>
              <w:rPr>
                <w:rFonts w:ascii="Calibri" w:cs="Calibri" w:eastAsia="Calibri" w:hAnsi="Calibri"/>
                <w:sz w:val="19"/>
                <w:szCs w:val="19"/>
              </w:rPr>
              <w:t xml:space="preserve">100</w:t>
            </w:r>
          </w:p>
        </w:tc>
        <w:tc>
          <w:tcPr>
            <w:tcW w:type="dxa" w:w="1870"/>
            <w:shd w:fill="FFFFFF" w:val="clear"/>
            <w:tcMar>
              <w:top w:type="dxa" w:w="70"/>
              <w:left w:type="dxa" w:w="100"/>
              <w:bottom w:type="dxa" w:w="70"/>
              <w:right w:type="dxa" w:w="100"/>
            </w:tcMar>
          </w:tcPr>
          <w:p>
            <w:r>
              <w:rPr>
                <w:rFonts w:ascii="Calibri" w:cs="Calibri" w:eastAsia="Calibri" w:hAnsi="Calibri"/>
                <w:sz w:val="19"/>
                <w:szCs w:val="19"/>
              </w:rPr>
              <w:t xml:space="preserve">997</w:t>
            </w:r>
          </w:p>
        </w:tc>
      </w:tr>
      <w:tr>
        <w:tc>
          <w:tcPr>
            <w:tcW w:type="dxa" w:w="1870"/>
            <w:shd w:fill="EEF3F8" w:val="clear"/>
            <w:tcMar>
              <w:top w:type="dxa" w:w="70"/>
              <w:left w:type="dxa" w:w="100"/>
              <w:bottom w:type="dxa" w:w="70"/>
              <w:right w:type="dxa" w:w="100"/>
            </w:tcMar>
          </w:tcPr>
          <w:p>
            <w:r>
              <w:rPr>
                <w:rFonts w:ascii="Calibri" w:cs="Calibri" w:eastAsia="Calibri" w:hAnsi="Calibri"/>
                <w:sz w:val="19"/>
                <w:szCs w:val="19"/>
              </w:rPr>
              <w:t xml:space="preserve">Distance (km)</w:t>
            </w:r>
          </w:p>
        </w:tc>
        <w:tc>
          <w:tcPr>
            <w:tcW w:type="dxa" w:w="1870"/>
            <w:shd w:fill="EEF3F8" w:val="clear"/>
            <w:tcMar>
              <w:top w:type="dxa" w:w="70"/>
              <w:left w:type="dxa" w:w="100"/>
              <w:bottom w:type="dxa" w:w="70"/>
              <w:right w:type="dxa" w:w="100"/>
            </w:tcMar>
          </w:tcPr>
          <w:p>
            <w:r>
              <w:rPr>
                <w:rFonts w:ascii="Calibri" w:cs="Calibri" w:eastAsia="Calibri" w:hAnsi="Calibri"/>
                <w:sz w:val="19"/>
                <w:szCs w:val="19"/>
              </w:rPr>
              <w:t xml:space="preserve">731.82</w:t>
            </w:r>
          </w:p>
        </w:tc>
        <w:tc>
          <w:tcPr>
            <w:tcW w:type="dxa" w:w="1870"/>
            <w:shd w:fill="EEF3F8" w:val="clear"/>
            <w:tcMar>
              <w:top w:type="dxa" w:w="70"/>
              <w:left w:type="dxa" w:w="100"/>
              <w:bottom w:type="dxa" w:w="70"/>
              <w:right w:type="dxa" w:w="100"/>
            </w:tcMar>
          </w:tcPr>
          <w:p>
            <w:r>
              <w:rPr>
                <w:rFonts w:ascii="Calibri" w:cs="Calibri" w:eastAsia="Calibri" w:hAnsi="Calibri"/>
                <w:sz w:val="19"/>
                <w:szCs w:val="19"/>
              </w:rPr>
              <w:t xml:space="preserve">425.52</w:t>
            </w:r>
          </w:p>
        </w:tc>
        <w:tc>
          <w:tcPr>
            <w:tcW w:type="dxa" w:w="1870"/>
            <w:shd w:fill="EEF3F8" w:val="clear"/>
            <w:tcMar>
              <w:top w:type="dxa" w:w="70"/>
              <w:left w:type="dxa" w:w="100"/>
              <w:bottom w:type="dxa" w:w="70"/>
              <w:right w:type="dxa" w:w="100"/>
            </w:tcMar>
          </w:tcPr>
          <w:p>
            <w:r>
              <w:rPr>
                <w:rFonts w:ascii="Calibri" w:cs="Calibri" w:eastAsia="Calibri" w:hAnsi="Calibri"/>
                <w:sz w:val="19"/>
                <w:szCs w:val="19"/>
              </w:rPr>
              <w:t xml:space="preserve">50</w:t>
            </w:r>
          </w:p>
        </w:tc>
        <w:tc>
          <w:tcPr>
            <w:tcW w:type="dxa" w:w="1870"/>
            <w:shd w:fill="EEF3F8" w:val="clear"/>
            <w:tcMar>
              <w:top w:type="dxa" w:w="70"/>
              <w:left w:type="dxa" w:w="100"/>
              <w:bottom w:type="dxa" w:w="70"/>
              <w:right w:type="dxa" w:w="100"/>
            </w:tcMar>
          </w:tcPr>
          <w:p>
            <w:r>
              <w:rPr>
                <w:rFonts w:ascii="Calibri" w:cs="Calibri" w:eastAsia="Calibri" w:hAnsi="Calibri"/>
                <w:sz w:val="19"/>
                <w:szCs w:val="19"/>
              </w:rPr>
              <w:t xml:space="preserve">1,495</w:t>
            </w:r>
          </w:p>
        </w:tc>
      </w:tr>
      <w:tr>
        <w:tc>
          <w:tcPr>
            <w:tcW w:type="dxa" w:w="1870"/>
            <w:shd w:fill="FFFFFF" w:val="clear"/>
            <w:tcMar>
              <w:top w:type="dxa" w:w="70"/>
              <w:left w:type="dxa" w:w="100"/>
              <w:bottom w:type="dxa" w:w="70"/>
              <w:right w:type="dxa" w:w="100"/>
            </w:tcMar>
          </w:tcPr>
          <w:p>
            <w:r>
              <w:rPr>
                <w:rFonts w:ascii="Calibri" w:cs="Calibri" w:eastAsia="Calibri" w:hAnsi="Calibri"/>
                <w:sz w:val="19"/>
                <w:szCs w:val="19"/>
              </w:rPr>
              <w:t xml:space="preserve">Delivery Time (days)</w:t>
            </w:r>
          </w:p>
        </w:tc>
        <w:tc>
          <w:tcPr>
            <w:tcW w:type="dxa" w:w="1870"/>
            <w:shd w:fill="FFFFFF" w:val="clear"/>
            <w:tcMar>
              <w:top w:type="dxa" w:w="70"/>
              <w:left w:type="dxa" w:w="100"/>
              <w:bottom w:type="dxa" w:w="70"/>
              <w:right w:type="dxa" w:w="100"/>
            </w:tcMar>
          </w:tcPr>
          <w:p>
            <w:r>
              <w:rPr>
                <w:rFonts w:ascii="Calibri" w:cs="Calibri" w:eastAsia="Calibri" w:hAnsi="Calibri"/>
                <w:sz w:val="19"/>
                <w:szCs w:val="19"/>
              </w:rPr>
              <w:t xml:space="preserve">4.56</w:t>
            </w:r>
          </w:p>
        </w:tc>
        <w:tc>
          <w:tcPr>
            <w:tcW w:type="dxa" w:w="1870"/>
            <w:shd w:fill="FFFFFF" w:val="clear"/>
            <w:tcMar>
              <w:top w:type="dxa" w:w="70"/>
              <w:left w:type="dxa" w:w="100"/>
              <w:bottom w:type="dxa" w:w="70"/>
              <w:right w:type="dxa" w:w="100"/>
            </w:tcMar>
          </w:tcPr>
          <w:p>
            <w:r>
              <w:rPr>
                <w:rFonts w:ascii="Calibri" w:cs="Calibri" w:eastAsia="Calibri" w:hAnsi="Calibri"/>
                <w:sz w:val="19"/>
                <w:szCs w:val="19"/>
              </w:rPr>
              <w:t xml:space="preserve">1.63</w:t>
            </w:r>
          </w:p>
        </w:tc>
        <w:tc>
          <w:tcPr>
            <w:tcW w:type="dxa" w:w="1870"/>
            <w:shd w:fill="FFFFFF" w:val="clear"/>
            <w:tcMar>
              <w:top w:type="dxa" w:w="70"/>
              <w:left w:type="dxa" w:w="100"/>
              <w:bottom w:type="dxa" w:w="70"/>
              <w:right w:type="dxa" w:w="100"/>
            </w:tcMar>
          </w:tcPr>
          <w:p>
            <w:r>
              <w:rPr>
                <w:rFonts w:ascii="Calibri" w:cs="Calibri" w:eastAsia="Calibri" w:hAnsi="Calibri"/>
                <w:sz w:val="19"/>
                <w:szCs w:val="19"/>
              </w:rPr>
              <w:t xml:space="preserve">0.67</w:t>
            </w:r>
          </w:p>
        </w:tc>
        <w:tc>
          <w:tcPr>
            <w:tcW w:type="dxa" w:w="1870"/>
            <w:shd w:fill="FFFFFF" w:val="clear"/>
            <w:tcMar>
              <w:top w:type="dxa" w:w="70"/>
              <w:left w:type="dxa" w:w="100"/>
              <w:bottom w:type="dxa" w:w="70"/>
              <w:right w:type="dxa" w:w="100"/>
            </w:tcMar>
          </w:tcPr>
          <w:p>
            <w:r>
              <w:rPr>
                <w:rFonts w:ascii="Calibri" w:cs="Calibri" w:eastAsia="Calibri" w:hAnsi="Calibri"/>
                <w:sz w:val="19"/>
                <w:szCs w:val="19"/>
              </w:rPr>
              <w:t xml:space="preserve">8.72</w:t>
            </w:r>
          </w:p>
        </w:tc>
      </w:tr>
      <w:tr>
        <w:tc>
          <w:tcPr>
            <w:tcW w:type="dxa" w:w="1870"/>
            <w:shd w:fill="EEF3F8" w:val="clear"/>
            <w:tcMar>
              <w:top w:type="dxa" w:w="70"/>
              <w:left w:type="dxa" w:w="100"/>
              <w:bottom w:type="dxa" w:w="70"/>
              <w:right w:type="dxa" w:w="100"/>
            </w:tcMar>
          </w:tcPr>
          <w:p>
            <w:r>
              <w:rPr>
                <w:rFonts w:ascii="Calibri" w:cs="Calibri" w:eastAsia="Calibri" w:hAnsi="Calibri"/>
                <w:sz w:val="19"/>
                <w:szCs w:val="19"/>
              </w:rPr>
              <w:t xml:space="preserve">Delivery Delay (days)</w:t>
            </w:r>
          </w:p>
        </w:tc>
        <w:tc>
          <w:tcPr>
            <w:tcW w:type="dxa" w:w="1870"/>
            <w:shd w:fill="EEF3F8" w:val="clear"/>
            <w:tcMar>
              <w:top w:type="dxa" w:w="70"/>
              <w:left w:type="dxa" w:w="100"/>
              <w:bottom w:type="dxa" w:w="70"/>
              <w:right w:type="dxa" w:w="100"/>
            </w:tcMar>
          </w:tcPr>
          <w:p>
            <w:r>
              <w:rPr>
                <w:rFonts w:ascii="Calibri" w:cs="Calibri" w:eastAsia="Calibri" w:hAnsi="Calibri"/>
                <w:sz w:val="19"/>
                <w:szCs w:val="19"/>
              </w:rPr>
              <w:t xml:space="preserve">0.99</w:t>
            </w:r>
          </w:p>
        </w:tc>
        <w:tc>
          <w:tcPr>
            <w:tcW w:type="dxa" w:w="1870"/>
            <w:shd w:fill="EEF3F8" w:val="clear"/>
            <w:tcMar>
              <w:top w:type="dxa" w:w="70"/>
              <w:left w:type="dxa" w:w="100"/>
              <w:bottom w:type="dxa" w:w="70"/>
              <w:right w:type="dxa" w:w="100"/>
            </w:tcMar>
          </w:tcPr>
          <w:p>
            <w:r>
              <w:rPr>
                <w:rFonts w:ascii="Calibri" w:cs="Calibri" w:eastAsia="Calibri" w:hAnsi="Calibri"/>
                <w:sz w:val="19"/>
                <w:szCs w:val="19"/>
              </w:rPr>
              <w:t xml:space="preserve">1.13</w:t>
            </w:r>
          </w:p>
        </w:tc>
        <w:tc>
          <w:tcPr>
            <w:tcW w:type="dxa" w:w="1870"/>
            <w:shd w:fill="EEF3F8" w:val="clear"/>
            <w:tcMar>
              <w:top w:type="dxa" w:w="70"/>
              <w:left w:type="dxa" w:w="100"/>
              <w:bottom w:type="dxa" w:w="70"/>
              <w:right w:type="dxa" w:w="100"/>
            </w:tcMar>
          </w:tcPr>
          <w:p>
            <w:r>
              <w:rPr>
                <w:rFonts w:ascii="Calibri" w:cs="Calibri" w:eastAsia="Calibri" w:hAnsi="Calibri"/>
                <w:sz w:val="19"/>
                <w:szCs w:val="19"/>
              </w:rPr>
              <w:t xml:space="preserve">0.00</w:t>
            </w:r>
          </w:p>
        </w:tc>
        <w:tc>
          <w:tcPr>
            <w:tcW w:type="dxa" w:w="1870"/>
            <w:shd w:fill="EEF3F8" w:val="clear"/>
            <w:tcMar>
              <w:top w:type="dxa" w:w="70"/>
              <w:left w:type="dxa" w:w="100"/>
              <w:bottom w:type="dxa" w:w="70"/>
              <w:right w:type="dxa" w:w="100"/>
            </w:tcMar>
          </w:tcPr>
          <w:p>
            <w:r>
              <w:rPr>
                <w:rFonts w:ascii="Calibri" w:cs="Calibri" w:eastAsia="Calibri" w:hAnsi="Calibri"/>
                <w:sz w:val="19"/>
                <w:szCs w:val="19"/>
              </w:rPr>
              <w:t xml:space="preserve">4.72</w:t>
            </w:r>
          </w:p>
        </w:tc>
      </w:tr>
      <w:tr>
        <w:tc>
          <w:tcPr>
            <w:tcW w:type="dxa" w:w="1870"/>
            <w:shd w:fill="FFFFFF" w:val="clear"/>
            <w:tcMar>
              <w:top w:type="dxa" w:w="70"/>
              <w:left w:type="dxa" w:w="100"/>
              <w:bottom w:type="dxa" w:w="70"/>
              <w:right w:type="dxa" w:w="100"/>
            </w:tcMar>
          </w:tcPr>
          <w:p>
            <w:r>
              <w:rPr>
                <w:rFonts w:ascii="Calibri" w:cs="Calibri" w:eastAsia="Calibri" w:hAnsi="Calibri"/>
                <w:sz w:val="19"/>
                <w:szCs w:val="19"/>
              </w:rPr>
              <w:t xml:space="preserve">Transport Cost ($)</w:t>
            </w:r>
          </w:p>
        </w:tc>
        <w:tc>
          <w:tcPr>
            <w:tcW w:type="dxa" w:w="1870"/>
            <w:shd w:fill="FFFFFF" w:val="clear"/>
            <w:tcMar>
              <w:top w:type="dxa" w:w="70"/>
              <w:left w:type="dxa" w:w="100"/>
              <w:bottom w:type="dxa" w:w="70"/>
              <w:right w:type="dxa" w:w="100"/>
            </w:tcMar>
          </w:tcPr>
          <w:p>
            <w:r>
              <w:rPr>
                <w:rFonts w:ascii="Calibri" w:cs="Calibri" w:eastAsia="Calibri" w:hAnsi="Calibri"/>
                <w:sz w:val="19"/>
                <w:szCs w:val="19"/>
              </w:rPr>
              <w:t xml:space="preserve">1,745.24</w:t>
            </w:r>
          </w:p>
        </w:tc>
        <w:tc>
          <w:tcPr>
            <w:tcW w:type="dxa" w:w="1870"/>
            <w:shd w:fill="FFFFFF" w:val="clear"/>
            <w:tcMar>
              <w:top w:type="dxa" w:w="70"/>
              <w:left w:type="dxa" w:w="100"/>
              <w:bottom w:type="dxa" w:w="70"/>
              <w:right w:type="dxa" w:w="100"/>
            </w:tcMar>
          </w:tcPr>
          <w:p>
            <w:r>
              <w:rPr>
                <w:rFonts w:ascii="Calibri" w:cs="Calibri" w:eastAsia="Calibri" w:hAnsi="Calibri"/>
                <w:sz w:val="19"/>
                <w:szCs w:val="19"/>
              </w:rPr>
              <w:t xml:space="preserve">866.92</w:t>
            </w:r>
          </w:p>
        </w:tc>
        <w:tc>
          <w:tcPr>
            <w:tcW w:type="dxa" w:w="1870"/>
            <w:shd w:fill="FFFFFF" w:val="clear"/>
            <w:tcMar>
              <w:top w:type="dxa" w:w="70"/>
              <w:left w:type="dxa" w:w="100"/>
              <w:bottom w:type="dxa" w:w="70"/>
              <w:right w:type="dxa" w:w="100"/>
            </w:tcMar>
          </w:tcPr>
          <w:p>
            <w:r>
              <w:rPr>
                <w:rFonts w:ascii="Calibri" w:cs="Calibri" w:eastAsia="Calibri" w:hAnsi="Calibri"/>
                <w:sz w:val="19"/>
                <w:szCs w:val="19"/>
              </w:rPr>
              <w:t xml:space="preserve">142.07</w:t>
            </w:r>
          </w:p>
        </w:tc>
        <w:tc>
          <w:tcPr>
            <w:tcW w:type="dxa" w:w="1870"/>
            <w:shd w:fill="FFFFFF" w:val="clear"/>
            <w:tcMar>
              <w:top w:type="dxa" w:w="70"/>
              <w:left w:type="dxa" w:w="100"/>
              <w:bottom w:type="dxa" w:w="70"/>
              <w:right w:type="dxa" w:w="100"/>
            </w:tcMar>
          </w:tcPr>
          <w:p>
            <w:r>
              <w:rPr>
                <w:rFonts w:ascii="Calibri" w:cs="Calibri" w:eastAsia="Calibri" w:hAnsi="Calibri"/>
                <w:sz w:val="19"/>
                <w:szCs w:val="19"/>
              </w:rPr>
              <w:t xml:space="preserve">3,554.24</w:t>
            </w:r>
          </w:p>
        </w:tc>
      </w:tr>
      <w:tr>
        <w:tc>
          <w:tcPr>
            <w:tcW w:type="dxa" w:w="1870"/>
            <w:shd w:fill="EEF3F8" w:val="clear"/>
            <w:tcMar>
              <w:top w:type="dxa" w:w="70"/>
              <w:left w:type="dxa" w:w="100"/>
              <w:bottom w:type="dxa" w:w="70"/>
              <w:right w:type="dxa" w:w="100"/>
            </w:tcMar>
          </w:tcPr>
          <w:p>
            <w:r>
              <w:rPr>
                <w:rFonts w:ascii="Calibri" w:cs="Calibri" w:eastAsia="Calibri" w:hAnsi="Calibri"/>
                <w:sz w:val="19"/>
                <w:szCs w:val="19"/>
              </w:rPr>
              <w:t xml:space="preserve">Customer Satisfaction (1–5)</w:t>
            </w:r>
          </w:p>
        </w:tc>
        <w:tc>
          <w:tcPr>
            <w:tcW w:type="dxa" w:w="1870"/>
            <w:shd w:fill="EEF3F8" w:val="clear"/>
            <w:tcMar>
              <w:top w:type="dxa" w:w="70"/>
              <w:left w:type="dxa" w:w="100"/>
              <w:bottom w:type="dxa" w:w="70"/>
              <w:right w:type="dxa" w:w="100"/>
            </w:tcMar>
          </w:tcPr>
          <w:p>
            <w:r>
              <w:rPr>
                <w:rFonts w:ascii="Calibri" w:cs="Calibri" w:eastAsia="Calibri" w:hAnsi="Calibri"/>
                <w:sz w:val="19"/>
                <w:szCs w:val="19"/>
              </w:rPr>
              <w:t xml:space="preserve">4.48</w:t>
            </w:r>
          </w:p>
        </w:tc>
        <w:tc>
          <w:tcPr>
            <w:tcW w:type="dxa" w:w="1870"/>
            <w:shd w:fill="EEF3F8" w:val="clear"/>
            <w:tcMar>
              <w:top w:type="dxa" w:w="70"/>
              <w:left w:type="dxa" w:w="100"/>
              <w:bottom w:type="dxa" w:w="70"/>
              <w:right w:type="dxa" w:w="100"/>
            </w:tcMar>
          </w:tcPr>
          <w:p>
            <w:r>
              <w:rPr>
                <w:rFonts w:ascii="Calibri" w:cs="Calibri" w:eastAsia="Calibri" w:hAnsi="Calibri"/>
                <w:sz w:val="19"/>
                <w:szCs w:val="19"/>
              </w:rPr>
              <w:t xml:space="preserve">0.55</w:t>
            </w:r>
          </w:p>
        </w:tc>
        <w:tc>
          <w:tcPr>
            <w:tcW w:type="dxa" w:w="1870"/>
            <w:shd w:fill="EEF3F8" w:val="clear"/>
            <w:tcMar>
              <w:top w:type="dxa" w:w="70"/>
              <w:left w:type="dxa" w:w="100"/>
              <w:bottom w:type="dxa" w:w="70"/>
              <w:right w:type="dxa" w:w="100"/>
            </w:tcMar>
          </w:tcPr>
          <w:p>
            <w:r>
              <w:rPr>
                <w:rFonts w:ascii="Calibri" w:cs="Calibri" w:eastAsia="Calibri" w:hAnsi="Calibri"/>
                <w:sz w:val="19"/>
                <w:szCs w:val="19"/>
              </w:rPr>
              <w:t xml:space="preserve">2.70</w:t>
            </w:r>
          </w:p>
        </w:tc>
        <w:tc>
          <w:tcPr>
            <w:tcW w:type="dxa" w:w="1870"/>
            <w:shd w:fill="EEF3F8" w:val="clear"/>
            <w:tcMar>
              <w:top w:type="dxa" w:w="70"/>
              <w:left w:type="dxa" w:w="100"/>
              <w:bottom w:type="dxa" w:w="70"/>
              <w:right w:type="dxa" w:w="100"/>
            </w:tcMar>
          </w:tcPr>
          <w:p>
            <w:r>
              <w:rPr>
                <w:rFonts w:ascii="Calibri" w:cs="Calibri" w:eastAsia="Calibri" w:hAnsi="Calibri"/>
                <w:sz w:val="19"/>
                <w:szCs w:val="19"/>
              </w:rPr>
              <w:t xml:space="preserve">5.00</w:t>
            </w:r>
          </w:p>
        </w:tc>
      </w:tr>
    </w:tbl>
    <w:p>
      <w:pPr>
        <w:spacing w:after="160"/>
      </w:pPr>
    </w:p>
    <w:p>
      <w:pPr>
        <w:spacing w:after="160"/>
      </w:pPr>
      <w:r>
        <w:rPr>
          <w:rFonts w:ascii="Calibri" w:cs="Calibri" w:eastAsia="Calibri" w:hAnsi="Calibri"/>
          <w:sz w:val="22"/>
          <w:szCs w:val="22"/>
        </w:rPr>
        <w:t xml:space="preserve">Delivery status split: 151 of 240 shipments (62.9%) were recorded as Delayed and 89 (37.1%) as On Time — delay is the norm rather than the exception in this dataset, which is the central problem the rest of the analysis investigates.</w:t>
      </w:r>
    </w:p>
    <w:p>
      <w:pPr>
        <w:pStyle w:val="Heading2"/>
        <w:spacing w:after="120" w:before="260"/>
      </w:pPr>
      <w:r>
        <w:t xml:space="preserve">4.3 Correlation Analysis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Mar>
              <w:top w:type="dxa" w:w="120"/>
              <w:left w:type="dxa" w:w="160"/>
              <w:bottom w:type="dxa" w:w="120"/>
              <w:right w:type="dxa" w:w="160"/>
            </w:tcMar>
          </w:tcPr>
          <w:p>
            <w:pPr>
              <w:spacing w:after="0"/>
            </w:pPr>
            <w:r>
              <w:rPr>
                <w:rFonts w:ascii="Consolas" w:cs="Consolas" w:eastAsia="Consolas" w:hAnsi="Consolas"/>
                <w:sz w:val="18"/>
                <w:szCs w:val="18"/>
              </w:rPr>
              <w:t xml:space="preserve">cols = ['shipment_volume','distance_km','delivery_time_days',</w:t>
            </w:r>
          </w:p>
          <w:p>
            <w:pPr>
              <w:spacing w:after="0"/>
            </w:pPr>
            <w:r>
              <w:rPr>
                <w:rFonts w:ascii="Consolas" w:cs="Consolas" w:eastAsia="Consolas" w:hAnsi="Consolas"/>
                <w:sz w:val="18"/>
                <w:szCs w:val="18"/>
              </w:rPr>
              <w:t xml:space="preserve">        'delivery_delay_days','transport_cost','customer_satisfaction']</w:t>
            </w:r>
          </w:p>
          <w:p>
            <w:pPr>
              <w:spacing w:after="0"/>
            </w:pPr>
            <w:r>
              <w:rPr>
                <w:rFonts w:ascii="Consolas" w:cs="Consolas" w:eastAsia="Consolas" w:hAnsi="Consolas"/>
                <w:sz w:val="18"/>
                <w:szCs w:val="18"/>
              </w:rPr>
              <w:t xml:space="preserve">corr = df[cols].corr().round(2)</w:t>
            </w:r>
          </w:p>
          <w:p>
            <w:pPr>
              <w:spacing w:after="0"/>
            </w:pPr>
            <w:r>
              <w:rPr>
                <w:rFonts w:ascii="Consolas" w:cs="Consolas" w:eastAsia="Consolas" w:hAnsi="Consolas"/>
                <w:sz w:val="18"/>
                <w:szCs w:val="18"/>
              </w:rPr>
              <w:t xml:space="preserve">print(corr)</w:t>
            </w:r>
          </w:p>
        </w:tc>
      </w:tr>
    </w:tbl>
    <w:p>
      <w:pPr>
        <w:spacing w:after="160"/>
      </w:pPr>
    </w:p>
    <w:p>
      <w:pPr>
        <w:spacing w:after="160"/>
      </w:pPr>
      <w:r>
        <w:rPr>
          <w:rFonts w:ascii="Calibri" w:cs="Calibri" w:eastAsia="Calibri" w:hAnsi="Calibri"/>
          <w:sz w:val="22"/>
          <w:szCs w:val="22"/>
        </w:rPr>
        <w:t xml:space="preserve">Distance is very strongly correlated with both transport cost (r = 0.98) and delivery time (r = 0.89). Delivery delay is strongly correlated with distance (r = 0.83) and cost (r = 0.86), and very strongly, negatively, with customer satisfaction (r = -0.88). Shipment volume has only a weak relationship with the other variables (r ≤ 0.33), meaning volume is not a meaningful driver of delay or cost here — distance is.</w:t>
      </w:r>
    </w:p>
    <w:p>
      <w:pPr>
        <w:pStyle w:val="Heading1"/>
        <w:spacing w:after="160" w:before="320"/>
      </w:pPr>
      <w:r>
        <w:t xml:space="preserve">5. Visualizations and Interpretation</w:t>
      </w:r>
    </w:p>
    <w:p>
      <w:pPr>
        <w:pStyle w:val="Heading2"/>
        <w:spacing w:after="120" w:before="260"/>
      </w:pPr>
      <w:r>
        <w:t xml:space="preserve">5.1 Distribution of Delivery Time and Delay</w:t>
      </w:r>
    </w:p>
    <w:p>
      <w:pPr>
        <w:spacing w:after="160"/>
      </w:pPr>
      <w:r>
        <w:rPr>
          <w:rFonts w:ascii="Calibri" w:cs="Calibri" w:eastAsia="Calibri" w:hAnsi="Calibri"/>
          <w:sz w:val="22"/>
          <w:szCs w:val="22"/>
        </w:rPr>
        <w:t xml:space="preserve">Chosen method: histograms with a kernel density overlay. Justification: histograms are the standard way to reveal the shape, spread, and skew of a continuous variable — essential before deciding whether to use means or medians as performance targets.</w:t>
      </w:r>
    </w:p>
    <w:p>
      <w:pPr>
        <w:spacing w:after="60" w:before="120"/>
        <w:jc w:val="center"/>
      </w:pPr>
      <w:r>
        <w:drawing>
          <wp:inline distT="0" distB="0" distL="0" distR="0">
            <wp:extent cx="5905500" cy="2257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2257425"/>
                    </a:xfrm>
                    <a:prstGeom prst="rect">
                      <a:avLst/>
                    </a:prstGeom>
                  </pic:spPr>
                </pic:pic>
              </a:graphicData>
            </a:graphic>
          </wp:inline>
        </w:drawing>
      </w:r>
    </w:p>
    <w:p>
      <w:pPr>
        <w:spacing w:after="260"/>
        <w:jc w:val="center"/>
      </w:pPr>
      <w:r>
        <w:rPr>
          <w:rFonts w:ascii="Calibri" w:cs="Calibri" w:eastAsia="Calibri" w:hAnsi="Calibri"/>
          <w:i/>
          <w:iCs/>
          <w:color w:val="555555"/>
          <w:sz w:val="20"/>
          <w:szCs w:val="20"/>
        </w:rPr>
        <w:t xml:space="preserve">Figure 1. Distribution of delivery time (left) and delivery delay (right) across all shipments.</w:t>
      </w:r>
    </w:p>
    <w:p>
      <w:pPr>
        <w:spacing w:after="160"/>
      </w:pPr>
      <w:r>
        <w:rPr>
          <w:rFonts w:ascii="Calibri" w:cs="Calibri" w:eastAsia="Calibri" w:hAnsi="Calibri"/>
          <w:sz w:val="22"/>
          <w:szCs w:val="22"/>
        </w:rPr>
        <w:t xml:space="preserve">Both distributions are right-skewed: most shipments cluster around 3–5 days of delivery time and 0–1.5 days of delay, but a long tail extends toward 8+ days and 4.7 days of delay respectively. This tail is the operational risk to target — a small share of shipments account for a disproportionate share of severe delay.</w:t>
      </w:r>
    </w:p>
    <w:p>
      <w:pPr>
        <w:pStyle w:val="Heading2"/>
        <w:spacing w:after="120" w:before="260"/>
      </w:pPr>
      <w:r>
        <w:t xml:space="preserve">5.2 Correlation Heatmap</w:t>
      </w:r>
    </w:p>
    <w:p>
      <w:pPr>
        <w:spacing w:after="160"/>
      </w:pPr>
      <w:r>
        <w:rPr>
          <w:rFonts w:ascii="Calibri" w:cs="Calibri" w:eastAsia="Calibri" w:hAnsi="Calibri"/>
          <w:sz w:val="22"/>
          <w:szCs w:val="22"/>
        </w:rPr>
        <w:t xml:space="preserve">Chosen method: heatmap. Justification: with six numeric variables, a heatmap communicates all pairwise relationships in one view far more efficiently than reading a correlation table.</w:t>
      </w:r>
    </w:p>
    <w:p>
      <w:pPr>
        <w:spacing w:after="60" w:before="120"/>
        <w:jc w:val="center"/>
      </w:pPr>
      <w:r>
        <w:drawing>
          <wp:inline distT="0" distB="0" distL="0" distR="0">
            <wp:extent cx="4572000" cy="3657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572000" cy="3657600"/>
                    </a:xfrm>
                    <a:prstGeom prst="rect">
                      <a:avLst/>
                    </a:prstGeom>
                  </pic:spPr>
                </pic:pic>
              </a:graphicData>
            </a:graphic>
          </wp:inline>
        </w:drawing>
      </w:r>
    </w:p>
    <w:p>
      <w:pPr>
        <w:spacing w:after="260"/>
        <w:jc w:val="center"/>
      </w:pPr>
      <w:r>
        <w:rPr>
          <w:rFonts w:ascii="Calibri" w:cs="Calibri" w:eastAsia="Calibri" w:hAnsi="Calibri"/>
          <w:i/>
          <w:iCs/>
          <w:color w:val="555555"/>
          <w:sz w:val="20"/>
          <w:szCs w:val="20"/>
        </w:rPr>
        <w:t xml:space="preserve">Figure 2. Correlation matrix of shipment volume, distance, delivery time, delivery delay, cost, and customer satisfaction.</w:t>
      </w:r>
    </w:p>
    <w:p>
      <w:pPr>
        <w:spacing w:after="160"/>
      </w:pPr>
      <w:r>
        <w:rPr>
          <w:rFonts w:ascii="Calibri" w:cs="Calibri" w:eastAsia="Calibri" w:hAnsi="Calibri"/>
          <w:sz w:val="22"/>
          <w:szCs w:val="22"/>
        </w:rPr>
        <w:t xml:space="preserve">The heatmap confirms distance as the common driver behind cost, delivery time, and delay (all correlations ≥ 0.83), while customer satisfaction moves opposite to all four (darkest blue against delay at -0.88). Shipment volume stands apart, with near-zero to weak correlations across the board.</w:t>
      </w:r>
    </w:p>
    <w:p>
      <w:pPr>
        <w:pStyle w:val="Heading2"/>
        <w:spacing w:after="120" w:before="260"/>
      </w:pPr>
      <w:r>
        <w:t xml:space="preserve">5.3 Transport Cost vs. Distance by Mode</w:t>
      </w:r>
    </w:p>
    <w:p>
      <w:pPr>
        <w:spacing w:after="160"/>
      </w:pPr>
      <w:r>
        <w:rPr>
          <w:rFonts w:ascii="Calibri" w:cs="Calibri" w:eastAsia="Calibri" w:hAnsi="Calibri"/>
          <w:sz w:val="22"/>
          <w:szCs w:val="22"/>
        </w:rPr>
        <w:t xml:space="preserve">Chosen method: scatter plot with color-coded transport mode. Justification: scatter plots are the right tool for examining the relationship between two continuous variables while a third categorical variable (mode) is layered in via color.</w:t>
      </w:r>
    </w:p>
    <w:p>
      <w:pPr>
        <w:spacing w:after="60" w:before="120"/>
        <w:jc w:val="center"/>
      </w:pPr>
      <w:r>
        <w:drawing>
          <wp:inline distT="0" distB="0" distL="0" distR="0">
            <wp:extent cx="4953000" cy="3533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3533775"/>
                    </a:xfrm>
                    <a:prstGeom prst="rect">
                      <a:avLst/>
                    </a:prstGeom>
                  </pic:spPr>
                </pic:pic>
              </a:graphicData>
            </a:graphic>
          </wp:inline>
        </w:drawing>
      </w:r>
    </w:p>
    <w:p>
      <w:pPr>
        <w:spacing w:after="260"/>
        <w:jc w:val="center"/>
      </w:pPr>
      <w:r>
        <w:rPr>
          <w:rFonts w:ascii="Calibri" w:cs="Calibri" w:eastAsia="Calibri" w:hAnsi="Calibri"/>
          <w:i/>
          <w:iCs/>
          <w:color w:val="555555"/>
          <w:sz w:val="20"/>
          <w:szCs w:val="20"/>
        </w:rPr>
        <w:t xml:space="preserve">Figure 3. Transport cost rises near-linearly with distance; Road shipments sit slightly above Air and Rail at equivalent distances.</w:t>
      </w:r>
    </w:p>
    <w:p>
      <w:pPr>
        <w:spacing w:after="160"/>
      </w:pPr>
      <w:r>
        <w:rPr>
          <w:rFonts w:ascii="Calibri" w:cs="Calibri" w:eastAsia="Calibri" w:hAnsi="Calibri"/>
          <w:sz w:val="22"/>
          <w:szCs w:val="22"/>
        </w:rPr>
        <w:t xml:space="preserve">Cost scales almost linearly with distance regardless of mode, but Road shipments show a marginally steeper cost-per-km than Air or Rail (computed separately: Road $2.92/km vs. Rail $2.70/km vs. Air $2.61/km), suggesting Road is the least cost-efficient mode per kilometer despite being the cheapest in absolute terms for short hauls.</w:t>
      </w:r>
    </w:p>
    <w:p>
      <w:pPr>
        <w:pStyle w:val="Heading2"/>
        <w:spacing w:after="120" w:before="260"/>
      </w:pPr>
      <w:r>
        <w:t xml:space="preserve">5.4 Delivery Delay by Region</w:t>
      </w:r>
    </w:p>
    <w:p>
      <w:pPr>
        <w:spacing w:after="160"/>
      </w:pPr>
      <w:r>
        <w:rPr>
          <w:rFonts w:ascii="Calibri" w:cs="Calibri" w:eastAsia="Calibri" w:hAnsi="Calibri"/>
          <w:sz w:val="22"/>
          <w:szCs w:val="22"/>
        </w:rPr>
        <w:t xml:space="preserve">Chosen method: box plot. Justification: box plots expose the median, interquartile range, and outliers simultaneously, which bar charts of the mean alone would hide.</w:t>
      </w:r>
    </w:p>
    <w:p>
      <w:pPr>
        <w:spacing w:after="60" w:before="120"/>
        <w:jc w:val="center"/>
      </w:pPr>
      <w:r>
        <w:drawing>
          <wp:inline distT="0" distB="0" distL="0" distR="0">
            <wp:extent cx="4953000" cy="3533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3533775"/>
                    </a:xfrm>
                    <a:prstGeom prst="rect">
                      <a:avLst/>
                    </a:prstGeom>
                  </pic:spPr>
                </pic:pic>
              </a:graphicData>
            </a:graphic>
          </wp:inline>
        </w:drawing>
      </w:r>
    </w:p>
    <w:p>
      <w:pPr>
        <w:spacing w:after="260"/>
        <w:jc w:val="center"/>
      </w:pPr>
      <w:r>
        <w:rPr>
          <w:rFonts w:ascii="Calibri" w:cs="Calibri" w:eastAsia="Calibri" w:hAnsi="Calibri"/>
          <w:i/>
          <w:iCs/>
          <w:color w:val="555555"/>
          <w:sz w:val="20"/>
          <w:szCs w:val="20"/>
        </w:rPr>
        <w:t xml:space="preserve">Figure 4. Distribution of delivery delay by destination region, ordered by average delay (highest first).</w:t>
      </w:r>
    </w:p>
    <w:p>
      <w:pPr>
        <w:spacing w:after="160"/>
      </w:pPr>
      <w:r>
        <w:rPr>
          <w:rFonts w:ascii="Calibri" w:cs="Calibri" w:eastAsia="Calibri" w:hAnsi="Calibri"/>
          <w:sz w:val="22"/>
          <w:szCs w:val="22"/>
        </w:rPr>
        <w:t xml:space="preserve">East has both the highest average delay (1.20 days) and the highest delayed-shipment rate (68.8%), followed by West (1.03 days, 62.7%), North (0.88 days, 61.8%), and South, which is the best performer (0.80 days average delay, 57.4% delayed rate). The gap between East and South (0.40 days) signals a regional bottleneck worth investigating — likely infrastructure, route distance, or carrier capacity specific to the East region.</w:t>
      </w:r>
    </w:p>
    <w:p>
      <w:pPr>
        <w:pStyle w:val="Heading2"/>
        <w:spacing w:after="120" w:before="260"/>
      </w:pPr>
      <w:r>
        <w:t xml:space="preserve">5.5 Average Delivery Time and Cost by Transport Mode</w:t>
      </w:r>
    </w:p>
    <w:p>
      <w:pPr>
        <w:spacing w:after="160"/>
      </w:pPr>
      <w:r>
        <w:rPr>
          <w:rFonts w:ascii="Calibri" w:cs="Calibri" w:eastAsia="Calibri" w:hAnsi="Calibri"/>
          <w:sz w:val="22"/>
          <w:szCs w:val="22"/>
        </w:rPr>
        <w:t xml:space="preserve">Chosen method: dual-axis grouped bar chart. Justification: delivery time (days) and cost (dollars) are on different scales; a dual axis lets both be compared side-by-side per mode without distorting either.</w:t>
      </w:r>
    </w:p>
    <w:p>
      <w:pPr>
        <w:spacing w:after="60" w:before="120"/>
        <w:jc w:val="center"/>
      </w:pPr>
      <w:r>
        <w:drawing>
          <wp:inline distT="0" distB="0" distL="0" distR="0">
            <wp:extent cx="4953000" cy="3533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3533775"/>
                    </a:xfrm>
                    <a:prstGeom prst="rect">
                      <a:avLst/>
                    </a:prstGeom>
                  </pic:spPr>
                </pic:pic>
              </a:graphicData>
            </a:graphic>
          </wp:inline>
        </w:drawing>
      </w:r>
    </w:p>
    <w:p>
      <w:pPr>
        <w:spacing w:after="260"/>
        <w:jc w:val="center"/>
      </w:pPr>
      <w:r>
        <w:rPr>
          <w:rFonts w:ascii="Calibri" w:cs="Calibri" w:eastAsia="Calibri" w:hAnsi="Calibri"/>
          <w:i/>
          <w:iCs/>
          <w:color w:val="555555"/>
          <w:sz w:val="20"/>
          <w:szCs w:val="20"/>
        </w:rPr>
        <w:t xml:space="preserve">Figure 5. Average delivery time and average transport cost, grouped by transport mode.</w:t>
      </w:r>
    </w:p>
    <w:p>
      <w:pPr>
        <w:spacing w:after="160"/>
      </w:pPr>
      <w:r>
        <w:rPr>
          <w:rFonts w:ascii="Calibri" w:cs="Calibri" w:eastAsia="Calibri" w:hAnsi="Calibri"/>
          <w:sz w:val="22"/>
          <w:szCs w:val="22"/>
        </w:rPr>
        <w:t xml:space="preserve">Delivery time and cost are nearly flat across modes (delivery time 4.50–4.58 days, cost $1,731–$1,785), which is counter to typical logistics expectations where Air is faster but pricier. In this dataset, mode choice has a smaller effect on performance than distance does — meaning route/region assignment, not carrier mode, is the more consequential lever for delivery outcomes here.</w:t>
      </w:r>
    </w:p>
    <w:p>
      <w:pPr>
        <w:pStyle w:val="Heading2"/>
        <w:spacing w:after="120" w:before="260"/>
      </w:pPr>
      <w:r>
        <w:t xml:space="preserve">5.6 On-Time vs. Delayed Rate by Transport Mode</w:t>
      </w:r>
    </w:p>
    <w:p>
      <w:pPr>
        <w:spacing w:after="160"/>
      </w:pPr>
      <w:r>
        <w:rPr>
          <w:rFonts w:ascii="Calibri" w:cs="Calibri" w:eastAsia="Calibri" w:hAnsi="Calibri"/>
          <w:sz w:val="22"/>
          <w:szCs w:val="22"/>
        </w:rPr>
        <w:t xml:space="preserve">Chosen method: stacked percentage bar chart. Justification: normalized stacked bars are ideal for comparing the proportion of a categorical outcome (on-time/delayed) across groups of unequal size.</w:t>
      </w:r>
    </w:p>
    <w:p>
      <w:pPr>
        <w:spacing w:after="60" w:before="120"/>
        <w:jc w:val="center"/>
      </w:pPr>
      <w:r>
        <w:drawing>
          <wp:inline distT="0" distB="0" distL="0" distR="0">
            <wp:extent cx="4953000" cy="3533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53000" cy="3533775"/>
                    </a:xfrm>
                    <a:prstGeom prst="rect">
                      <a:avLst/>
                    </a:prstGeom>
                  </pic:spPr>
                </pic:pic>
              </a:graphicData>
            </a:graphic>
          </wp:inline>
        </w:drawing>
      </w:r>
    </w:p>
    <w:p>
      <w:pPr>
        <w:spacing w:after="260"/>
        <w:jc w:val="center"/>
      </w:pPr>
      <w:r>
        <w:rPr>
          <w:rFonts w:ascii="Calibri" w:cs="Calibri" w:eastAsia="Calibri" w:hAnsi="Calibri"/>
          <w:i/>
          <w:iCs/>
          <w:color w:val="555555"/>
          <w:sz w:val="20"/>
          <w:szCs w:val="20"/>
        </w:rPr>
        <w:t xml:space="preserve">Figure 6. Percentage of shipments delivered on time versus delayed, by transport mode.</w:t>
      </w:r>
    </w:p>
    <w:p>
      <w:pPr>
        <w:spacing w:after="160"/>
      </w:pPr>
      <w:r>
        <w:rPr>
          <w:rFonts w:ascii="Calibri" w:cs="Calibri" w:eastAsia="Calibri" w:hAnsi="Calibri"/>
          <w:sz w:val="22"/>
          <w:szCs w:val="22"/>
        </w:rPr>
        <w:t xml:space="preserve">Delay rates are close across modes — Road 63.8%, Air 63.0%, Rail 60.9% — with Rail marginally the most reliable. No single mode stands out as a fix for the delay problem; the ~63% delay rate is systemic across the whole operation rather than isolated to one carrier type.</w:t>
      </w:r>
    </w:p>
    <w:p>
      <w:pPr>
        <w:pStyle w:val="Heading2"/>
        <w:spacing w:after="120" w:before="260"/>
      </w:pPr>
      <w:r>
        <w:t xml:space="preserve">5.7 Customer Satisfaction vs. Delivery Delay</w:t>
      </w:r>
    </w:p>
    <w:p>
      <w:pPr>
        <w:spacing w:after="160"/>
      </w:pPr>
      <w:r>
        <w:rPr>
          <w:rFonts w:ascii="Calibri" w:cs="Calibri" w:eastAsia="Calibri" w:hAnsi="Calibri"/>
          <w:sz w:val="22"/>
          <w:szCs w:val="22"/>
        </w:rPr>
        <w:t xml:space="preserve">Chosen method: scatter plot with a fitted regression line. Justification: this directly tests whether the relationship implied by the correlation coefficient (r = -0.88) holds visually and whether it looks linear, which validates using delay as a leading indicator for satisfaction.</w:t>
      </w:r>
    </w:p>
    <w:p>
      <w:pPr>
        <w:spacing w:after="60" w:before="120"/>
        <w:jc w:val="center"/>
      </w:pPr>
      <w:r>
        <w:drawing>
          <wp:inline distT="0" distB="0" distL="0" distR="0">
            <wp:extent cx="4953000" cy="3533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953000" cy="3533775"/>
                    </a:xfrm>
                    <a:prstGeom prst="rect">
                      <a:avLst/>
                    </a:prstGeom>
                  </pic:spPr>
                </pic:pic>
              </a:graphicData>
            </a:graphic>
          </wp:inline>
        </w:drawing>
      </w:r>
    </w:p>
    <w:p>
      <w:pPr>
        <w:spacing w:after="260"/>
        <w:jc w:val="center"/>
      </w:pPr>
      <w:r>
        <w:rPr>
          <w:rFonts w:ascii="Calibri" w:cs="Calibri" w:eastAsia="Calibri" w:hAnsi="Calibri"/>
          <w:i/>
          <w:iCs/>
          <w:color w:val="555555"/>
          <w:sz w:val="20"/>
          <w:szCs w:val="20"/>
        </w:rPr>
        <w:t xml:space="preserve">Figure 7. Customer satisfaction declines steadily and near-linearly as delivery delay increases.</w:t>
      </w:r>
    </w:p>
    <w:p>
      <w:pPr>
        <w:spacing w:after="160"/>
      </w:pPr>
      <w:r>
        <w:rPr>
          <w:rFonts w:ascii="Calibri" w:cs="Calibri" w:eastAsia="Calibri" w:hAnsi="Calibri"/>
          <w:sz w:val="22"/>
          <w:szCs w:val="22"/>
        </w:rPr>
        <w:t xml:space="preserve">This is the clearest and strongest pattern in the dataset. Satisfaction sits near 5.0 for on-time or barely-delayed shipments and falls toward 3.0 as delay approaches 4–5 days. Because this relationship (r = -0.88) is far stronger than delay's relationship with cost or mode, it indicates that reducing delay — even without reducing cost — is the single highest-leverage action for improving customer experience.</w:t>
      </w:r>
    </w:p>
    <w:p>
      <w:pPr>
        <w:pStyle w:val="Heading2"/>
        <w:spacing w:after="120" w:before="260"/>
      </w:pPr>
      <w:r>
        <w:t xml:space="preserve">5.8 Monthly Shipment Volume Trend</w:t>
      </w:r>
    </w:p>
    <w:p>
      <w:pPr>
        <w:spacing w:after="160"/>
      </w:pPr>
      <w:r>
        <w:rPr>
          <w:rFonts w:ascii="Calibri" w:cs="Calibri" w:eastAsia="Calibri" w:hAnsi="Calibri"/>
          <w:sz w:val="22"/>
          <w:szCs w:val="22"/>
        </w:rPr>
        <w:t xml:space="preserve">Chosen method: line chart. Justification: line charts are the standard choice for showing how a metric evolves over time, making seasonal or trend patterns immediately visible.</w:t>
      </w:r>
    </w:p>
    <w:p>
      <w:pPr>
        <w:spacing w:after="60" w:before="120"/>
        <w:jc w:val="center"/>
      </w:pPr>
      <w:r>
        <w:drawing>
          <wp:inline distT="0" distB="0" distL="0" distR="0">
            <wp:extent cx="53340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3000375"/>
                    </a:xfrm>
                    <a:prstGeom prst="rect">
                      <a:avLst/>
                    </a:prstGeom>
                  </pic:spPr>
                </pic:pic>
              </a:graphicData>
            </a:graphic>
          </wp:inline>
        </w:drawing>
      </w:r>
    </w:p>
    <w:p>
      <w:pPr>
        <w:spacing w:after="260"/>
        <w:jc w:val="center"/>
      </w:pPr>
      <w:r>
        <w:rPr>
          <w:rFonts w:ascii="Calibri" w:cs="Calibri" w:eastAsia="Calibri" w:hAnsi="Calibri"/>
          <w:i/>
          <w:iCs/>
          <w:color w:val="555555"/>
          <w:sz w:val="20"/>
          <w:szCs w:val="20"/>
        </w:rPr>
        <w:t xml:space="preserve">Figure 8. Total shipment volume (units) aggregated by month, January–August 2025.</w:t>
      </w:r>
    </w:p>
    <w:p>
      <w:pPr>
        <w:spacing w:after="160"/>
      </w:pPr>
      <w:r>
        <w:rPr>
          <w:rFonts w:ascii="Calibri" w:cs="Calibri" w:eastAsia="Calibri" w:hAnsi="Calibri"/>
          <w:sz w:val="22"/>
          <w:szCs w:val="22"/>
        </w:rPr>
        <w:t xml:space="preserve">Monthly total volume fluctuates without a strong directional trend across the eight months, indicating this dataset does not exhibit obvious seasonality. This is useful context: it means the delay and cost patterns found above are structural (tied to distance, region, mode) rather than driven by demand spikes.</w:t>
      </w:r>
    </w:p>
    <w:p>
      <w:pPr>
        <w:pStyle w:val="Heading1"/>
        <w:spacing w:after="160" w:before="320"/>
      </w:pPr>
      <w:r>
        <w:t xml:space="preserve">6. Analytical Insights and Recommendations</w:t>
      </w:r>
    </w:p>
    <w:p>
      <w:pPr>
        <w:pStyle w:val="Heading2"/>
        <w:spacing w:after="120" w:before="260"/>
      </w:pPr>
      <w:r>
        <w:t xml:space="preserve">6.1 Key Insights</w:t>
      </w:r>
    </w:p>
    <w:p>
      <w:pPr>
        <w:pStyle w:val="ListParagraph"/>
        <w:numPr>
          <w:ilvl w:val="0"/>
          <w:numId w:val="2"/>
        </w:numPr>
        <w:spacing w:after="80"/>
      </w:pPr>
      <w:r>
        <w:t xml:space="preserve">Distance is the primary driver of cost and delay (r = 0.98 and 0.83 respectively); shipment volume is not (r ≤ 0.33) — cost and scheduling models should be built around distance/route, not order size.</w:t>
      </w:r>
    </w:p>
    <w:p>
      <w:pPr>
        <w:pStyle w:val="ListParagraph"/>
        <w:numPr>
          <w:ilvl w:val="0"/>
          <w:numId w:val="2"/>
        </w:numPr>
        <w:spacing w:after="80"/>
      </w:pPr>
      <w:r>
        <w:t xml:space="preserve">62.9% of shipments were delayed, making delay a systemic operational issue rather than an edge case.</w:t>
      </w:r>
    </w:p>
    <w:p>
      <w:pPr>
        <w:pStyle w:val="ListParagraph"/>
        <w:numPr>
          <w:ilvl w:val="0"/>
          <w:numId w:val="2"/>
        </w:numPr>
        <w:spacing w:after="80"/>
      </w:pPr>
      <w:r>
        <w:t xml:space="preserve">East region underperforms all others on both average delay (1.20 days) and delayed-shipment rate (68.8%), a strong candidate for root-cause investigation (route length, carrier capacity, or hub congestion).</w:t>
      </w:r>
    </w:p>
    <w:p>
      <w:pPr>
        <w:pStyle w:val="ListParagraph"/>
        <w:numPr>
          <w:ilvl w:val="0"/>
          <w:numId w:val="2"/>
        </w:numPr>
        <w:spacing w:after="80"/>
      </w:pPr>
      <w:r>
        <w:t xml:space="preserve">Transport mode has surprisingly little effect on delivery time, cost, or delay rate (all within a narrow band across Air, Road, and Rail) — mode selection is not currently a meaningful lever for improving outcomes in this dataset.</w:t>
      </w:r>
    </w:p>
    <w:p>
      <w:pPr>
        <w:pStyle w:val="ListParagraph"/>
        <w:numPr>
          <w:ilvl w:val="0"/>
          <w:numId w:val="2"/>
        </w:numPr>
        <w:spacing w:after="80"/>
      </w:pPr>
      <w:r>
        <w:t xml:space="preserve">Customer satisfaction is overwhelmingly explained by delay (r = -0.88), far more than by cost (r = -0.75) or distance (r = -0.73) — delay is the metric that most directly moves the customer experience.</w:t>
      </w:r>
    </w:p>
    <w:p>
      <w:pPr>
        <w:pStyle w:val="ListParagraph"/>
        <w:numPr>
          <w:ilvl w:val="0"/>
          <w:numId w:val="2"/>
        </w:numPr>
        <w:spacing w:after="80"/>
      </w:pPr>
      <w:r>
        <w:t xml:space="preserve">Road is the least cost-efficient mode per kilometer ($2.92/km vs. $2.61–$2.70/km for Air and Rail), worth revisiting for long-haul routes currently assigned to Road.</w:t>
      </w:r>
    </w:p>
    <w:p>
      <w:pPr>
        <w:pStyle w:val="Heading2"/>
        <w:spacing w:after="120" w:before="260"/>
      </w:pPr>
      <w:r>
        <w:t xml:space="preserve">6.2 Recommendations</w:t>
      </w:r>
    </w:p>
    <w:p>
      <w:pPr>
        <w:pStyle w:val="ListParagraph"/>
        <w:numPr>
          <w:ilvl w:val="0"/>
          <w:numId w:val="2"/>
        </w:numPr>
        <w:spacing w:after="80"/>
      </w:pPr>
      <w:r>
        <w:t xml:space="preserve">Prioritize delay reduction over cost-cutting initiatives, given delay's outsized effect on customer satisfaction relative to cost.</w:t>
      </w:r>
    </w:p>
    <w:p>
      <w:pPr>
        <w:pStyle w:val="ListParagraph"/>
        <w:numPr>
          <w:ilvl w:val="0"/>
          <w:numId w:val="2"/>
        </w:numPr>
        <w:spacing w:after="80"/>
      </w:pPr>
      <w:r>
        <w:t xml:space="preserve">Conduct a focused operational review of the East region's logistics chain — its delay profile is a statistical outlier relative to the other three regions.</w:t>
      </w:r>
    </w:p>
    <w:p>
      <w:pPr>
        <w:pStyle w:val="ListParagraph"/>
        <w:numPr>
          <w:ilvl w:val="0"/>
          <w:numId w:val="2"/>
        </w:numPr>
        <w:spacing w:after="80"/>
      </w:pPr>
      <w:r>
        <w:t xml:space="preserve">Re-evaluate Road-mode assignment on long-distance routes, where its higher cost-per-km erodes margin without a corresponding time advantage.</w:t>
      </w:r>
    </w:p>
    <w:p>
      <w:pPr>
        <w:pStyle w:val="ListParagraph"/>
        <w:numPr>
          <w:ilvl w:val="0"/>
          <w:numId w:val="2"/>
        </w:numPr>
        <w:spacing w:after="80"/>
      </w:pPr>
      <w:r>
        <w:t xml:space="preserve">Use delivery_delay_days as a leading KPI for customer satisfaction monitoring, since it predicts satisfaction more reliably than cost or mode in this dataset.</w:t>
      </w:r>
    </w:p>
    <w:p>
      <w:pPr>
        <w:pStyle w:val="ListParagraph"/>
        <w:numPr>
          <w:ilvl w:val="0"/>
          <w:numId w:val="2"/>
        </w:numPr>
        <w:spacing w:after="80"/>
      </w:pPr>
      <w:r>
        <w:t xml:space="preserve">Investigate the right-skewed tail of the delay distribution (shipments delayed 3+ days) as a separate root-cause category, since these outliers likely stem from different causes than the bulk of shipments delayed 0–1.5 days.</w:t>
      </w:r>
    </w:p>
    <w:p>
      <w:pPr>
        <w:pStyle w:val="Heading1"/>
        <w:spacing w:after="160" w:before="320"/>
      </w:pPr>
      <w:r>
        <w:t xml:space="preserve">7. Appendix: Full Python Script</w:t>
      </w:r>
    </w:p>
    <w:p>
      <w:pPr>
        <w:spacing w:after="160"/>
      </w:pPr>
      <w:r>
        <w:rPr>
          <w:rFonts w:ascii="Calibri" w:cs="Calibri" w:eastAsia="Calibri" w:hAnsi="Calibri"/>
          <w:sz w:val="22"/>
          <w:szCs w:val="22"/>
        </w:rPr>
        <w:t xml:space="preserve">The complete analysis and visualization pipeline (pandas for EDA, matplotlib/seaborn for charts):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Mar>
              <w:top w:type="dxa" w:w="120"/>
              <w:left w:type="dxa" w:w="160"/>
              <w:bottom w:type="dxa" w:w="120"/>
              <w:right w:type="dxa" w:w="160"/>
            </w:tcMar>
          </w:tcPr>
          <w:p>
            <w:pPr>
              <w:spacing w:after="0"/>
            </w:pPr>
            <w:r>
              <w:rPr>
                <w:rFonts w:ascii="Consolas" w:cs="Consolas" w:eastAsia="Consolas" w:hAnsi="Consolas"/>
                <w:sz w:val="18"/>
                <w:szCs w:val="18"/>
              </w:rPr>
              <w:t xml:space="preserve">import pandas as pd</w:t>
            </w:r>
          </w:p>
          <w:p>
            <w:pPr>
              <w:spacing w:after="0"/>
            </w:pPr>
            <w:r>
              <w:rPr>
                <w:rFonts w:ascii="Consolas" w:cs="Consolas" w:eastAsia="Consolas" w:hAnsi="Consolas"/>
                <w:sz w:val="18"/>
                <w:szCs w:val="18"/>
              </w:rPr>
              <w:t xml:space="preserve">import matplotlib.pyplot as plt</w:t>
            </w:r>
          </w:p>
          <w:p>
            <w:pPr>
              <w:spacing w:after="0"/>
            </w:pPr>
            <w:r>
              <w:rPr>
                <w:rFonts w:ascii="Consolas" w:cs="Consolas" w:eastAsia="Consolas" w:hAnsi="Consolas"/>
                <w:sz w:val="18"/>
                <w:szCs w:val="18"/>
              </w:rPr>
              <w:t xml:space="preserve">import seaborn as sns</w:t>
            </w:r>
          </w:p>
          <w:p>
            <w:pPr>
              <w:spacing w:after="0"/>
            </w:pPr>
            <w:r>
              <w:rPr>
                <w:rFonts w:ascii="Consolas" w:cs="Consolas" w:eastAsia="Consolas" w:hAnsi="Consolas"/>
                <w:sz w:val="18"/>
                <w:szCs w:val="18"/>
              </w:rPr>
              <w:t xml:space="preserve">import numpy as np</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df = pd.read_csv('hypothetical_logistics_dataset.csv')</w:t>
            </w:r>
          </w:p>
          <w:p>
            <w:pPr>
              <w:spacing w:after="0"/>
            </w:pPr>
            <w:r>
              <w:rPr>
                <w:rFonts w:ascii="Consolas" w:cs="Consolas" w:eastAsia="Consolas" w:hAnsi="Consolas"/>
                <w:sz w:val="18"/>
                <w:szCs w:val="18"/>
              </w:rPr>
              <w:t xml:space="preserve">df['shipment_date'] = pd.to_datetime(df['shipment_date'])</w:t>
            </w:r>
          </w:p>
          <w:p>
            <w:pPr>
              <w:spacing w:after="0"/>
            </w:pPr>
            <w:r>
              <w:rPr>
                <w:rFonts w:ascii="Consolas" w:cs="Consolas" w:eastAsia="Consolas" w:hAnsi="Consolas"/>
                <w:sz w:val="18"/>
                <w:szCs w:val="18"/>
              </w:rPr>
              <w:t xml:space="preserve">sns.set_theme(style='whitegrid', palette='deep')</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 EDA ---</w:t>
            </w:r>
          </w:p>
          <w:p>
            <w:pPr>
              <w:spacing w:after="0"/>
            </w:pPr>
            <w:r>
              <w:rPr>
                <w:rFonts w:ascii="Consolas" w:cs="Consolas" w:eastAsia="Consolas" w:hAnsi="Consolas"/>
                <w:sz w:val="18"/>
                <w:szCs w:val="18"/>
              </w:rPr>
              <w:t xml:space="preserve">print(df.describe().round(2))</w:t>
            </w:r>
          </w:p>
          <w:p>
            <w:pPr>
              <w:spacing w:after="0"/>
            </w:pPr>
            <w:r>
              <w:rPr>
                <w:rFonts w:ascii="Consolas" w:cs="Consolas" w:eastAsia="Consolas" w:hAnsi="Consolas"/>
                <w:sz w:val="18"/>
                <w:szCs w:val="18"/>
              </w:rPr>
              <w:t xml:space="preserve">print(df.isnull().sum())</w:t>
            </w:r>
          </w:p>
          <w:p>
            <w:pPr>
              <w:spacing w:after="0"/>
            </w:pPr>
            <w:r>
              <w:rPr>
                <w:rFonts w:ascii="Consolas" w:cs="Consolas" w:eastAsia="Consolas" w:hAnsi="Consolas"/>
                <w:sz w:val="18"/>
                <w:szCs w:val="18"/>
              </w:rPr>
              <w:t xml:space="preserve">cols = ['shipment_volume','distance_km','delivery_time_days',</w:t>
            </w:r>
          </w:p>
          <w:p>
            <w:pPr>
              <w:spacing w:after="0"/>
            </w:pPr>
            <w:r>
              <w:rPr>
                <w:rFonts w:ascii="Consolas" w:cs="Consolas" w:eastAsia="Consolas" w:hAnsi="Consolas"/>
                <w:sz w:val="18"/>
                <w:szCs w:val="18"/>
              </w:rPr>
              <w:t xml:space="preserve">        'delivery_delay_days','transport_cost','customer_satisfaction']</w:t>
            </w:r>
          </w:p>
          <w:p>
            <w:pPr>
              <w:spacing w:after="0"/>
            </w:pPr>
            <w:r>
              <w:rPr>
                <w:rFonts w:ascii="Consolas" w:cs="Consolas" w:eastAsia="Consolas" w:hAnsi="Consolas"/>
                <w:sz w:val="18"/>
                <w:szCs w:val="18"/>
              </w:rPr>
              <w:t xml:space="preserve">corr = df[cols].corr()</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 Distributions ---</w:t>
            </w:r>
          </w:p>
          <w:p>
            <w:pPr>
              <w:spacing w:after="0"/>
            </w:pPr>
            <w:r>
              <w:rPr>
                <w:rFonts w:ascii="Consolas" w:cs="Consolas" w:eastAsia="Consolas" w:hAnsi="Consolas"/>
                <w:sz w:val="18"/>
                <w:szCs w:val="18"/>
              </w:rPr>
              <w:t xml:space="preserve">fig, axes = plt.subplots(1, 2, figsize=(11,4.2))</w:t>
            </w:r>
          </w:p>
          <w:p>
            <w:pPr>
              <w:spacing w:after="0"/>
            </w:pPr>
            <w:r>
              <w:rPr>
                <w:rFonts w:ascii="Consolas" w:cs="Consolas" w:eastAsia="Consolas" w:hAnsi="Consolas"/>
                <w:sz w:val="18"/>
                <w:szCs w:val="18"/>
              </w:rPr>
              <w:t xml:space="preserve">sns.histplot(df['delivery_time_days'], kde=True, ax=axes[0])</w:t>
            </w:r>
          </w:p>
          <w:p>
            <w:pPr>
              <w:spacing w:after="0"/>
            </w:pPr>
            <w:r>
              <w:rPr>
                <w:rFonts w:ascii="Consolas" w:cs="Consolas" w:eastAsia="Consolas" w:hAnsi="Consolas"/>
                <w:sz w:val="18"/>
                <w:szCs w:val="18"/>
              </w:rPr>
              <w:t xml:space="preserve">sns.histplot(df['delivery_delay_days'], kde=True, ax=axes[1])</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 Correlation heatmap ---</w:t>
            </w:r>
          </w:p>
          <w:p>
            <w:pPr>
              <w:spacing w:after="0"/>
            </w:pPr>
            <w:r>
              <w:rPr>
                <w:rFonts w:ascii="Consolas" w:cs="Consolas" w:eastAsia="Consolas" w:hAnsi="Consolas"/>
                <w:sz w:val="18"/>
                <w:szCs w:val="18"/>
              </w:rPr>
              <w:t xml:space="preserve">sns.heatmap(corr, annot=True, fmt='.2f', cmap='coolwarm', center=0)</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 Cost vs distance by mode ---</w:t>
            </w:r>
          </w:p>
          <w:p>
            <w:pPr>
              <w:spacing w:after="0"/>
            </w:pPr>
            <w:r>
              <w:rPr>
                <w:rFonts w:ascii="Consolas" w:cs="Consolas" w:eastAsia="Consolas" w:hAnsi="Consolas"/>
                <w:sz w:val="18"/>
                <w:szCs w:val="18"/>
              </w:rPr>
              <w:t xml:space="preserve">sns.scatterplot(data=df, x='distance_km', y='transport_cost', hue='transport_mode')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 Delay by region ---</w:t>
            </w:r>
          </w:p>
          <w:p>
            <w:pPr>
              <w:spacing w:after="0"/>
            </w:pPr>
            <w:r>
              <w:rPr>
                <w:rFonts w:ascii="Consolas" w:cs="Consolas" w:eastAsia="Consolas" w:hAnsi="Consolas"/>
                <w:sz w:val="18"/>
                <w:szCs w:val="18"/>
              </w:rPr>
              <w:t xml:space="preserve">sns.boxplot(data=df, x='region', y='delivery_delay_days')</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 Mode time/cost dual-axis bar ---</w:t>
            </w:r>
          </w:p>
          <w:p>
            <w:pPr>
              <w:spacing w:after="0"/>
            </w:pPr>
            <w:r>
              <w:rPr>
                <w:rFonts w:ascii="Consolas" w:cs="Consolas" w:eastAsia="Consolas" w:hAnsi="Consolas"/>
                <w:sz w:val="18"/>
                <w:szCs w:val="18"/>
              </w:rPr>
              <w:t xml:space="preserve">agg = df.groupby('transport_mode')[['delivery_time_days','transport_cost']].mean()</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 On-time vs delayed rate by mode ---</w:t>
            </w:r>
          </w:p>
          <w:p>
            <w:pPr>
              <w:spacing w:after="0"/>
            </w:pPr>
            <w:r>
              <w:rPr>
                <w:rFonts w:ascii="Consolas" w:cs="Consolas" w:eastAsia="Consolas" w:hAnsi="Consolas"/>
                <w:sz w:val="18"/>
                <w:szCs w:val="18"/>
              </w:rPr>
              <w:t xml:space="preserve">status_mode = pd.crosstab(df['transport_mode'], df['delivery_status'], normalize='index') * 100</w:t>
            </w:r>
          </w:p>
          <w:p>
            <w:pPr>
              <w:spacing w:after="0"/>
            </w:pPr>
            <w:r>
              <w:rPr>
                <w:rFonts w:ascii="Consolas" w:cs="Consolas" w:eastAsia="Consolas" w:hAnsi="Consolas"/>
                <w:sz w:val="18"/>
                <w:szCs w:val="18"/>
              </w:rPr>
              <w:t xml:space="preserve">status_mode.plot(kind='bar', stacked=True)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 Satisfaction vs delay regression ---</w:t>
            </w:r>
          </w:p>
          <w:p>
            <w:pPr>
              <w:spacing w:after="0"/>
            </w:pPr>
            <w:r>
              <w:rPr>
                <w:rFonts w:ascii="Consolas" w:cs="Consolas" w:eastAsia="Consolas" w:hAnsi="Consolas"/>
                <w:sz w:val="18"/>
                <w:szCs w:val="18"/>
              </w:rPr>
              <w:t xml:space="preserve">sns.regplot(data=df, x='delivery_delay_days', y='customer_satisfaction')</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 Monthly volume trend ---</w:t>
            </w:r>
          </w:p>
          <w:p>
            <w:pPr>
              <w:spacing w:after="0"/>
            </w:pPr>
            <w:r>
              <w:rPr>
                <w:rFonts w:ascii="Consolas" w:cs="Consolas" w:eastAsia="Consolas" w:hAnsi="Consolas"/>
                <w:sz w:val="18"/>
                <w:szCs w:val="18"/>
              </w:rPr>
              <w:t xml:space="preserve">df['month'] = df['shipment_date'].dt.to_period('M').astype(str)</w:t>
            </w:r>
          </w:p>
          <w:p>
            <w:pPr>
              <w:spacing w:after="0"/>
            </w:pPr>
            <w:r>
              <w:rPr>
                <w:rFonts w:ascii="Consolas" w:cs="Consolas" w:eastAsia="Consolas" w:hAnsi="Consolas"/>
                <w:sz w:val="18"/>
                <w:szCs w:val="18"/>
              </w:rPr>
              <w:t xml:space="preserve">df.groupby('month')['shipment_volume'].sum().plot(kind='line', marker='o')</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9a2a91696f5b99c90f0a8f2630efd641cbf76358.png"/><Relationship Id="rId8" Type="http://schemas.openxmlformats.org/officeDocument/2006/relationships/image" Target="media/66bc7b1bb3da6e7921bfe5152430aa55355403b9.png"/><Relationship Id="rId9" Type="http://schemas.openxmlformats.org/officeDocument/2006/relationships/image" Target="media/cbec2a40a577ef85c4fb5308b8b373d2b02b88f0.png"/><Relationship Id="rId10" Type="http://schemas.openxmlformats.org/officeDocument/2006/relationships/image" Target="media/bea3f277f9141d74713c0112432d5821513ef978.png"/><Relationship Id="rId11" Type="http://schemas.openxmlformats.org/officeDocument/2006/relationships/image" Target="media/e213f65930724fca784bb8d27d6a045310f99c03.png"/><Relationship Id="rId12" Type="http://schemas.openxmlformats.org/officeDocument/2006/relationships/image" Target="media/790825d87b4d51e5edc30539b757695e58acc72e.png"/><Relationship Id="rId13" Type="http://schemas.openxmlformats.org/officeDocument/2006/relationships/image" Target="media/4dd0d1711a828d6059452fdd6717e37b51ef9b30.png"/><Relationship Id="rId14" Type="http://schemas.openxmlformats.org/officeDocument/2006/relationships/image" Target="media/13e1c3077cfd89248a157909a142de236dc637a2.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2026-09-21T14:14:07.826Z</dcterms:created>
  <dcterms:modified xsi:type="dcterms:W3CDTF">2026-09-21T14:14:07.835Z</dcterms:modified>
</cp:coreProperties>
</file>

<file path=docProps/custom.xml><?xml version="1.0" encoding="utf-8"?>
<Properties xmlns="http://schemas.openxmlformats.org/officeDocument/2006/custom-properties" xmlns:vt="http://schemas.openxmlformats.org/officeDocument/2006/docPropsVTypes"/>
</file>