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7143750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line="264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line="264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40" w:line="264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Flores Colín Kaleb David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2GM1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15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3645"/>
        <w:gridCol w:w="2370"/>
        <w:gridCol w:w="1290"/>
        <w:gridCol w:w="1290"/>
        <w:gridCol w:w="2310"/>
        <w:gridCol w:w="2190"/>
        <w:tblGridChange w:id="0">
          <w:tblGrid>
            <w:gridCol w:w="1920"/>
            <w:gridCol w:w="3645"/>
            <w:gridCol w:w="2370"/>
            <w:gridCol w:w="1290"/>
            <w:gridCol w:w="1290"/>
            <w:gridCol w:w="2310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Lenguajes que soporta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En línea o desktop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Ventajas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rtl w:val="0"/>
              </w:rPr>
              <w:t xml:space="preserve">Codeanywhere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</w:rPr>
              <w:drawing>
                <wp:inline distB="0" distT="0" distL="0" distR="0">
                  <wp:extent cx="898958" cy="898958"/>
                  <wp:effectExtent b="0" l="0" r="0" t="0"/>
                  <wp:docPr descr="Codeanywhere (@Codeanywhere) / Twitter" id="9" name="image2.png"/>
                  <a:graphic>
                    <a:graphicData uri="http://schemas.openxmlformats.org/drawingml/2006/picture">
                      <pic:pic>
                        <pic:nvPicPr>
                          <pic:cNvPr descr="Codeanywhere (@Codeanywhere) / Twitter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958" cy="898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rtl w:val="0"/>
              </w:rPr>
              <w:t xml:space="preserve">En cuanto a sus características nos encontramos con un editor de texto, código y marcado, que ha sido rediseñado y reestructurado para ser ligero, rápido y móvil. Serás capaz de conectarte a tu FTP, SFTP, cuenta de Dropbox o Github y manipular fácilmente tus recursos, carpetas o archivos.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7030a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rtl w:val="0"/>
              </w:rPr>
              <w:t xml:space="preserve">Más de 75 lenguajes de programación; autocompleta para HTML, XML, CSS, JavaScript, Python y PHP.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rtl w:val="0"/>
              </w:rPr>
              <w:t xml:space="preserve">12 dólares al mes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rtl w:val="0"/>
              </w:rPr>
              <w:t xml:space="preserve">Desktop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Fácil de navegar Funciones claramente dispuestas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Tiene muchas funciones útiles, como la finalización de código y el resaltado de sintaxis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 fácil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 servicio de atención a cliente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30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Faltan muchas funciones que necesito en un IDE, como la finalización del código y las herramientas de depuración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AWS Cloud9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352425</wp:posOffset>
                  </wp:positionV>
                  <wp:extent cx="815693" cy="815693"/>
                  <wp:effectExtent b="0" l="0" r="0" t="0"/>
                  <wp:wrapSquare wrapText="bothSides" distB="0" distT="0" distL="114300" distR="114300"/>
                  <wp:docPr descr="C:\Users\ANFECA\AppData\Local\Microsoft\Windows\INetCache\Content.MSO\3909563C.tmp" id="7" name="image4.png"/>
                  <a:graphic>
                    <a:graphicData uri="http://schemas.openxmlformats.org/drawingml/2006/picture">
                      <pic:pic>
                        <pic:nvPicPr>
                          <pic:cNvPr descr="C:\Users\ANFECA\AppData\Local\Microsoft\Windows\INetCache\Content.MSO\3909563C.tmp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93" cy="8156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Amplia selección de configuraciones de ejecución.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Conectividad con cualquier plataforma de servidor Linux.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Terminal integrado.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Cadena de herramientas de entrega continua.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Métodos abreviados de teclado.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Editor de imágenes integrado.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Ruby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y C++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Tarifas totales mensuales de 2,05 USD</w:t>
              <w:tab/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Desktop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ffffff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Low cost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ffffff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Se factura por lo que se utiliza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ffffff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Es escalable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ffffff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 apto para principiantes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ffffff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Plataforma poco flexible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color w:val="ffffff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Es una plataforma genérica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Sublime Text 3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Posee una interfaz limpia y sencilla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Tiene un “minimapa” que hace más sencilla la navegación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Puedes fijar colores para tu código dependiendo del lenguaje que estés empleando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Tiene una herramienta ortográfica que revisa errores en tu código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Tiene una herramienta de autocompletado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C, C++, C#, CSS, D, Erlang, Groovy, Haskell, HTML, Java, JavaScript, LaTeX, Lisp, Lua, Markdown, Matlab, OCaml, Perl, PHP, Python, R, Ruby, SQL, TCL, Textile y XML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70 dólares al mes, aunque cuenta con una prueba gratuita por tiempo limitado 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Desktop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Rapidez en la ejecución.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Es muy ligero (7 Mbytes)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Curso múltiple.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Gestión de proyectos completos. Multilenguaje y multiplataforma.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La configuración avanzada es un poco complicada para quien no lo ha dominado.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Es un editor de texto clásico ( como Vim).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ATOM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1"/>
              </w:numPr>
              <w:spacing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Interfaz gráfica y personalización con temas visuales.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1"/>
              </w:numPr>
              <w:spacing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Facilidad para añadir funcionalidades extra con extensiones.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1"/>
              </w:numPr>
              <w:spacing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Herramientas para desarrolladores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PHP, HTML, SQL, C#, Python, Java, CSS, Markdown, Javascript, Go, Ruby, etc).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Herramienta gratuita ideada para programadores de código abierto y  permite trabajar de una manera colaborativa en tiempo real.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Desktop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Es personalizable.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Atom en modo desarrollador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Integración con Git y Gittlub.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Edición multiplataforma.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Con él es más fácil añadir funcionalidades extras con extensiones.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9"/>
              </w:numPr>
              <w:spacing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Consume, de entrada, mâs RAM.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9"/>
              </w:numPr>
              <w:spacing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Su rendimiento puede considerase lento.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9"/>
              </w:numPr>
              <w:spacing w:line="259" w:lineRule="auto"/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Al abrir un archivo navegar entre diferentes pestañas el tiempo de reaccion, puede llegar a un poco superior a lo deseado y eso, puede molestar el ciclo de trabajo.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No es capaz de manejar con soltura las aplicaciones que se utilizan habitualmente.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Brackets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2"/>
              </w:numPr>
              <w:spacing w:after="0" w:afterAutospacing="0" w:line="259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Editores en línea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lugar de saltar entre pestañas de archivos, permite abrir una ventana al código que más le interesa.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2"/>
              </w:numPr>
              <w:spacing w:after="0" w:afterAutospacing="0" w:line="259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Vista previa en vivo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Obtenga una conexión en tiempo real con su navegador. Realice cambios en CSS y HTML e instantáneamente verá esos cambios en la pantalla.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2"/>
              </w:numPr>
              <w:spacing w:after="0" w:afterAutospacing="0" w:line="259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Soporte de preprocesador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2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Trabaje con preprocesadores de una forma completamente nueva. Sabemos lo importantes que son los preprocesadores para su flujo de trabajo.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 y JavaScript,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PHP, C, C++, Java, Python</w:t>
            </w:r>
          </w:p>
          <w:p w:rsidR="00000000" w:rsidDel="00000000" w:rsidP="00000000" w:rsidRDefault="00000000" w:rsidRPr="00000000" w14:paraId="00000064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Gratuito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Desktop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puede conseguir de manera gratuita y de código abierto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multiplataforma. Está disponible para Windows, Mac y Linux.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Está en español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Autocompletado de texto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activo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Vista previa en vivo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Edición del código CSS directamente desde el código HTML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las rutas de archivos.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4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visualización de colores e imágenes directamente desde el código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7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asocia con archivos de extensión PHP sin dar opción al usuario a decidir si quiere establecer esta asociación o no.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7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dispone de zoom para un posicionamiento más fino.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7"/>
              </w:numPr>
              <w:spacing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soporta code folding (plegado de código), esto es algo básico y muy útil, sobre todo en proyectos extensos.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7"/>
              </w:numPr>
              <w:spacing w:after="16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abrir/guardar archivos no permite seleccionar la codificación de caracteres, sólo trabaja con UTF-8.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CodeSandbox Live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Es un entorno de desarrollo para aplicaciones web al que se puede acceder con un navegador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Cuenta con dos modos, “Open Mode” y “Classroom Mode”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React, Vue, Angular, HTML, Node.js, Preact, Next, Vanilla JS, Vanilla TypeScript, Svelte o Gatsby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9 dólares, aunque cuenta con una prueba gratuita por tiempo limitado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Desktop y en línea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Colaborar en tiempo real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Te puedes unir en cualquier momento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Pueden colaborar hasta 30 personas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Los códigos se ejecutan de inmediato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8"/>
              </w:numPr>
              <w:ind w:left="720" w:hanging="360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Aún es una versión beta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</w:rPr>
              <w:drawing>
                <wp:inline distB="114300" distT="114300" distL="114300" distR="114300">
                  <wp:extent cx="1085850" cy="10922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color w:val="00b0f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highlight w:val="white"/>
                <w:rtl w:val="0"/>
              </w:rPr>
              <w:t xml:space="preserve">Es una herramienta que tiene soporte nativo para gran variedad de lenguajes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color w:val="00b0f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highlight w:val="white"/>
                <w:rtl w:val="0"/>
              </w:rPr>
              <w:t xml:space="preserve">Ofrece código destacado en color para los lenguajes soportados.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color w:val="00b0f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highlight w:val="white"/>
                <w:rtl w:val="0"/>
              </w:rPr>
              <w:t xml:space="preserve">Nos permite fácilmente encontrar principio y fin de nuestros bloques de código.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color w:val="00b0f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highlight w:val="white"/>
                <w:rtl w:val="0"/>
              </w:rPr>
              <w:t xml:space="preserve">Tiene un buscador de extensiones que nos ofrecerá en los mismos resultados la posibilidad de instalarlas sin necesidad de salir del programa.</w:t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HTML, CSS, JavaScript y JSON, LESS, Sass, PHP, Python o C#.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Gratuita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Desktop</w:t>
            </w:r>
          </w:p>
        </w:tc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Es gratuito y de código abierto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Es altamente personalizable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Es compatible con varios lenguajes de programación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Tiene una gran comunidad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Es compatible con varias plataformas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Puede ser lento en proyectos grandes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Requiere conocimientos técnicos para personalizar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La interfaz de usuario puede ser confusa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color w:val="00b0f0"/>
              </w:rPr>
            </w:pPr>
            <w:r w:rsidDel="00000000" w:rsidR="00000000" w:rsidRPr="00000000">
              <w:rPr>
                <w:rFonts w:ascii="Arial" w:cs="Arial" w:eastAsia="Arial" w:hAnsi="Arial"/>
                <w:color w:val="00b0f0"/>
                <w:rtl w:val="0"/>
              </w:rPr>
              <w:t xml:space="preserve">Puede tener problemas de estabilidad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Z. (2018, 3 agosto). Atom, editor de texto moderno y potente. Vozidea.com.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https://www.vozidea.com/atom-editor-de-texto-moderno-y-potente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Zb, A. (2013, 28 junio). Codeanywhere. prezi.com.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https://prezi.com/ccuxtkvz1awf/codeanywhere/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G. (2022, 7 junio). Atom. Softonic. https://atom.softonic.com/?ex=DINS-635.3 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 Luca, D. (2016, 30 julio). Principales ventajas de utilizar Brackets como editor de código para HTML, CSS y JavaScript. Damián De Luca. https://damiandeluca.com.ar/principales-ventajas-de-utilizar-brackets-como-editor-de-codigo-para-html-css-y-javascript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Beard &amp; Hunt. (2018).  AWS Cloud 9. AWS. Recuperado el 25 de febrero del 2023 de: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https://aws.amazon.com/es/cloud9/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 Donostia. (2022). Sublime Text, qué es y para qué sirve. Code Donostia. Recuperado el 25 de febrero del 2023 de: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https://www.codedonostia.com/sublime-text-que-es-y-para-que-sirve/#:~:text=Sublime%20Text%20es%20un%20editor,puedas%20centrarte%20exclusivamente%20en%20ellas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App. (2023). CodeSandbox. Get App. Recuperado el 25 de febrero del 2023 de: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https://www.getapp.com.mx/software/2038511/codesandbox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Design. (2023). Ventajas y desventajas de Visual Studio Code 2023: ¿Es la herramienta adecuada para ti? Web Design. Recuperado el 25 de febrero del 2023 de: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https://webdesigncusco.com/ventajas-y-desventajas-de-visual-studio-code-2022/</w:t>
        </w:r>
      </w:hyperlink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53F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937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tapp.com.mx/software/2038511/codesandbox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s://webdesigncusco.com/ventajas-y-desventajas-de-visual-studio-code-2022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yperlink" Target="https://prezi.com/ccuxtkvz1awf/codeanywhere/" TargetMode="External"/><Relationship Id="rId16" Type="http://schemas.openxmlformats.org/officeDocument/2006/relationships/hyperlink" Target="https://www.vozidea.com/atom-editor-de-texto-moderno-y-potent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dedonostia.com/sublime-text-que-es-y-para-que-sirve/#:~:text=Sublime%20Text%20es%20un%20editor,puedas%20centrarte%20exclusivamente%20en%20ella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ws.amazon.com/es/cloud9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Uwk6GlRRSu+knFcfMMzmc507ZQ==">AMUW2mUG9LmrIBjVtH7yOXv4JqK/w1ZTTza6DrBkXU5VFvboz5NzxJnWVvJkY/L+o05t6Tk7Y0eSytBNneaOgDZvppA4BcjPsOQKmPh2dpnnSte1O7V/mOU=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2023-02-24T16:13:00Z</dcterms:created>
  <dc:creator>ANFECA</dc:creator>
</cp:coreProperties>
</file>