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7581900</wp:posOffset>
            </wp:positionH>
            <wp:positionV relativeFrom="paragraph">
              <wp:posOffset>114300</wp:posOffset>
            </wp:positionV>
            <wp:extent cx="1380520" cy="147411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0" cy="147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1381125" cy="13811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SUPERIOR DE COMERCIO Y ADMINISTRACIÓN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Laboratorio Empresarial: Sistemas de gestión de información empresarial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Delgado García Oswaldo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Espinosa Dominguez Fernando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64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Flores Colín Kaleb David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Villareal Ortega Isai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Licenciatura:</w:t>
      </w:r>
      <w:r w:rsidDel="00000000" w:rsidR="00000000" w:rsidRPr="00000000">
        <w:rPr>
          <w:sz w:val="28"/>
          <w:szCs w:val="28"/>
          <w:rtl w:val="0"/>
        </w:rPr>
        <w:t xml:space="preserve"> Negocios digitales.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2GM1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93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775"/>
        <w:gridCol w:w="2775"/>
        <w:gridCol w:w="2775"/>
        <w:gridCol w:w="3900"/>
        <w:tblGridChange w:id="0">
          <w:tblGrid>
            <w:gridCol w:w="3705"/>
            <w:gridCol w:w="2775"/>
            <w:gridCol w:w="2775"/>
            <w:gridCol w:w="277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Software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Ventajas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Desventajas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 línea o Desktop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Adobe XD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Interfaz de usuario intuitiva.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Amplia integración con otras herramientas de Adobe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Funciones avanzadas de prototipado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Capacidad para trabajar en colaboración con otros diseñadores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Requiere una suscripción mensual o anual para acceder a todas las funciones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es compatible con algunos sistemas operativos antiguos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Escritorio (Windows y macOS)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pago mensual o anual, con opciones de precios variadas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Diseñado específicamente para la creación de interfaces de usuario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Amplia biblioteca de recursos y plugins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Herramientas de diseño vectorial poderosas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Fácil de aprender y usar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Disponible solo para macOS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tiene capacidades de prototipado tan avanzadas como otros softwares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Escritorio (macOS)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Licencia única con actualizaciones anuales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Figma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Herramienta basada en la nube, lo que permite trabajar en colaboración en tiempo real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Accesible desde cualquier dispositivo con un navegador web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Amplia biblioteca de recursos y plugins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Capacidades de prototipado avanzadas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Requiere conexión a Internet para acceder a todas las funciones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plan gratuito tiene algunas limitaciones en términos de colaboración y almacenamiento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línea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gratuito con opciones de planes de pago mensual o anual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InVision Studio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Amplias capacidades de diseño y prototipado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Integración con otras herramientas de InVision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Herramientas de animación avanzadas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Flujo de trabajo optimizado para diseñadores de UX/UI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Requiere una suscripción mensual o anual para acceder a todas las funciones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tiene todas las características de diseño vectorial como otros softwares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Escritorio (Windows y macOS)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pago mensual o anual, con opciones de precios variadas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Balsamiq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Interfaz de usuario simple y fácil de usar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Enfocado en la creación rápida de bocetos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Amplia biblioteca de elementos de interfaz de usuario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Herramienta económica en comparación con otros softwares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Las capacidades de diseño y prototipado son más limitadas en comparación con otros softwares más avanzados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es basado en la nube, lo que limita la colaboración en tiempo real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Escritorio (Windows y macOS)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Licencia única con actualizaciones opcionales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