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5-11 DE FEVEREIRO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1-4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150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João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Batista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Apoie o Reino de Deus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Genildo Lírio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Sal. 1:4 — Em que sentido os maus são como “a palha que o vento leva”? (it-2 689)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3:1–4:8 (th lição12)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Henrique Lopes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Naturalidade — O que Filipe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Naturalidade — Imite Filipe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Maurício Cardozo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32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6.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Luiz Czarnos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5 §§ 9-15, quadro na p. 41</w:t>
      </w:r>
      <w:r>
        <w:rPr>
          <w:rFonts w:cs="Calibri" w:cstheme="minorHAnsi"/>
          <w:sz w:val="20"/>
          <w:szCs w:val="20"/>
        </w:rPr>
        <w:tab/>
        <w:t xml:space="preserve"> </w:t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Sandro Gomes /Leonardo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61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12-18 DE FEVEREIRO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5-7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118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Lúcio Ribeiro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Continue leal apesar dos erros de outros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/>
          <w:b/>
          <w:i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Moisés Figueiró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</w:rPr>
        <w:t xml:space="preserve">Antônio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5:9 — Em que sentido a garganta dos maus é uma “sepultura aberta”? (it-2 1004)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7:1-11 (th lição10)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Vianez Rios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Cristina / Vera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 / 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Cultivando o interesse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Maria do Carmo/ Marly Lírio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ab/>
        <w:t>R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aimundo Moraes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99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</w:r>
      <w:r>
        <w:rPr>
          <w:rFonts w:eastAsia="Calibri" w:cs="Calibri" w:cstheme="minorHAnsi"/>
          <w:b/>
          <w:color w:val="575A5D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Relatório anual de serviço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9.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5 §§ 16-22, quadro na p.42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 / Lúcio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83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19-25 DE FEVEREIRO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8-10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Neto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Luan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Barboza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‘Vou louvar-te, ó Jeová’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Márcio Conceição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 xml:space="preserve">Sal. 8:3 — A que o salmista se referia quando falou dos dedos de Deus? (it-1 664)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10:1-18 (th lição 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João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Batista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Jackeline Lopes / Marleide Mirandola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cs="Calibri" w:cstheme="minorHAnsi"/>
          <w:sz w:val="20"/>
          <w:szCs w:val="20"/>
        </w:rPr>
        <w:t>E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velyn Lopes / Diana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cs="Calibri" w:cstheme="minorHAnsi"/>
          <w:sz w:val="20"/>
          <w:szCs w:val="20"/>
        </w:rPr>
        <w:t>L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uan Barboza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10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Como dar testemunho informal de modo natural</w:t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6 §§ 1-8, introdução da seção 2</w:t>
      </w:r>
      <w:r>
        <w:rPr>
          <w:rFonts w:eastAsia="Calibri" w:cs="Calibri" w:cstheme="minorHAnsi"/>
          <w:b/>
          <w:bCs/>
          <w:i/>
          <w:sz w:val="20"/>
          <w:szCs w:val="20"/>
          <w:lang w:val="af-ZA" w:bidi="ta-IN"/>
        </w:rPr>
        <w:tab/>
      </w:r>
      <w:r>
        <w:rPr>
          <w:rFonts w:eastAsia="Calibri" w:cs="Calibri" w:cstheme="minorHAnsi"/>
          <w:b/>
          <w:bCs/>
          <w:i/>
          <w:sz w:val="20"/>
          <w:szCs w:val="20"/>
          <w:lang w:val="af-ZA" w:bidi="ta-IN"/>
        </w:rPr>
        <w:t>Wellington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/ Isaque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65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Neto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26 DE FEVEREIRO–3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11-15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sz w:val="20"/>
          <w:szCs w:val="20"/>
          <w:lang w:val="af-ZA" w:bidi="ta-IN"/>
        </w:rPr>
        <w:t>Wellington Carvalho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139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Leonardo Lopes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Imagine-se no novo mundo de paz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Maurício Cardozo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>Moisés Figueiró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14:1 — Como os cristãos poderiam ser influenciados pela atitude mencionada nesse texto? (w13 15/9 19 § 12)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13:1–14:7 (th lição 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Rómulo Marques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Dina Bastos / Deoblandia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Rodrigo Ng / Fabrio Julio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Sandra Silva / Sandra Regina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 xml:space="preserve"> Fazendo discípulos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Shirley Faitecha / Regina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“A sabedoria é melhor do que armas de guerra”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Campanha da Celebração — Início no sábado, 2 de março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10.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6 §§ 9-17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Neto /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40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bCs/>
          <w:i/>
          <w:sz w:val="20"/>
          <w:szCs w:val="20"/>
          <w:lang w:val="af-ZA" w:bidi="ta-IN"/>
        </w:rPr>
        <w:t>Wellington Carvalho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sectPr>
      <w:footerReference w:type="default" r:id="rId6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LibreOffice/7.6.4.1$Windows_X86_64 LibreOffice_project/e19e193f88cd6c0525a17fb7a176ed8e6a3e2aa1</Application>
  <AppVersion>15.0000</AppVersion>
  <Pages>2</Pages>
  <Words>646</Words>
  <Characters>3230</Characters>
  <CharactersWithSpaces>4249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cp:lastPrinted>2024-01-22T18:34:46Z</cp:lastPrinted>
  <dcterms:modified xsi:type="dcterms:W3CDTF">2024-01-22T18:35:45Z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