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7-13 DE OUTUBRO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92-95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Maurício Cardozo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84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Luan Barboza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Servir a Jeová é o melhor modo de vida!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Isaque Lucas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2"/>
          <w:szCs w:val="22"/>
        </w:rPr>
        <w:t xml:space="preserve">Sal. 92:5 — Por que essas palavras descrevem bem a sabedoria de Jeová? (cl 176 §18)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94:1-23 (th lição 5)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Henrique Lopes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Sandra Regina/ Maria do Carmo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Daina Marques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Daura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Fazendo discípulos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Gabriela Barros / Ryhana Silva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5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Quando a ansiedade domina os jovens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BR" w:eastAsia="en-US" w:bidi="ar-SA"/>
        </w:rPr>
        <w:t>Luiz Czarnos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8.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Estudo bíblico de congregação bt cap. 16 §§ 6-9, quadro na p.132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BR" w:eastAsia="en-US" w:bidi="ar-SA"/>
        </w:rPr>
        <w:t>Jhonnatan</w:t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/ Marcio Conceição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81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Maurício Cardozo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14-20 DE OUTUBRO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96-99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Wellington Carvalho 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66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Lucio Ribeiro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“Proclamem ... as boas novas”!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Moises Figueiró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2"/>
          <w:szCs w:val="22"/>
        </w:rPr>
        <w:t>Sal. 96:1 — Na maioria dos casos, o que significa a expressão “novo cântico”? (it-1 427)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98:1–99:9 (th lição11)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João Batista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Senso de compromisso — O que Jesus fez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Luan Barboza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Senso de compromisso — Imite Jesus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Raimundo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Moraes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9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>6.</w:t>
      </w:r>
      <w:r>
        <w:rPr>
          <w:rStyle w:val="Emphasis"/>
          <w:rFonts w:eastAsia="Times New Roman"/>
          <w:b/>
          <w:bCs/>
          <w:lang w:val="af-ZA" w:bidi="ta-IN"/>
        </w:rPr>
        <w:t xml:space="preserve"> Necessidades locais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 xml:space="preserve">Wellington Carvalho 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16 §§ 10-18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>Maurício Cardozo</w:t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 xml:space="preserve"> / Lucio Ribeiro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67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Wellington Carvalho 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21-27 DE OUTUBRO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100-102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</w:r>
      <w:r>
        <w:rPr>
          <w:rFonts w:eastAsia="Calibri" w:cs="Times New Roman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37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Fabrio Júlio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Mostre que você é grato pelo amor leal de Jeová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Jhonnatan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 xml:space="preserve">Sal. 102:6 — Por que o salmista se compara a um pelicano? (it-2 624)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>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102:1-28 (th lição 12)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Carlos Maurício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ab/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Rómulo Marques / 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Gislayne Lamantina / Terezinha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Explicando suas crenças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Alexsander Gomes / Wanderson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137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‘Eu me Apego a ti e a Tua Mão me Segura’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</w:r>
      <w:r>
        <w:rPr>
          <w:rFonts w:eastAsia="Calibri" w:cs="Calibri"/>
          <w:b/>
          <w:bCs/>
          <w:i/>
          <w:sz w:val="24"/>
          <w:szCs w:val="24"/>
          <w:lang w:val="pt-PT" w:bidi="ta-IN"/>
        </w:rPr>
        <w:t xml:space="preserve"> </w:t>
        <w:tab/>
        <w:tab/>
        <w:tab/>
      </w:r>
      <w:r>
        <w:rPr>
          <w:rFonts w:eastAsia="Calibri" w:cs="Calibri" w:cstheme="minorHAnsi"/>
          <w:b/>
          <w:bCs/>
          <w:i/>
          <w:sz w:val="20"/>
          <w:szCs w:val="20"/>
          <w:lang w:val="pt-PT" w:bidi="ta-IN"/>
        </w:rPr>
        <w:t>Luiz Czarnos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17 §§ 1-7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Rogério Silva / Fabrio Júlio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96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28 DE OUTUBRO–3 DE NOVEMBRO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103-104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Maurício Cardozo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30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José Carlos Queiroz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1. ‘Ele se lembra de que somos pó’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Wellington Carvalho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 Tadeu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 xml:space="preserve">Sal. 104:24 — O que esse texto nos ensina sobre a criatividade de Jeová? (cl 55 §18)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</w:rPr>
        <w:t>3</w:t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.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 xml:space="preserve"> Sal. 104:1-24 (th lição 11)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Vianez Rios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Maria Modesta &amp; Marla  /Emily Marques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5.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Sandra Silva/ Regina Paula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Discurso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Raimundo Moraes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44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Você sabe seus limites?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 Oliveira</w:t>
      </w:r>
      <w:r>
        <w:rPr>
          <w:rFonts w:cs="Calibri" w:cstheme="minorHAnsi"/>
          <w:sz w:val="22"/>
          <w:szCs w:val="22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17 §§ 8-12, quadro na p.137</w:t>
      </w:r>
      <w:r>
        <w:rPr>
          <w:rFonts w:cs="Calibri" w:cstheme="minorHAnsi"/>
          <w:sz w:val="22"/>
          <w:szCs w:val="22"/>
        </w:rPr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Luiz Czarnos/Queiroz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55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Maurício Cardozo 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sectPr>
      <w:footerReference w:type="default" r:id="rId6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Application>LibreOffice/7.6.4.1$Windows_X86_64 LibreOffice_project/e19e193f88cd6c0525a17fb7a176ed8e6a3e2aa1</Application>
  <AppVersion>15.0000</AppVersion>
  <Pages>2</Pages>
  <Words>611</Words>
  <Characters>3068</Characters>
  <CharactersWithSpaces>4053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2024-10-04T08:17:22Z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