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simulation-based</w:t>
      </w:r>
      <w:r>
        <w:t xml:space="preserve"> </w:t>
      </w:r>
      <w:r>
        <w:t xml:space="preserve">assessment</w:t>
      </w:r>
      <w:r>
        <w:t xml:space="preserve"> </w:t>
      </w:r>
      <w:r>
        <w:t xml:space="preserve">of</w:t>
      </w:r>
      <w:r>
        <w:t xml:space="preserve"> </w:t>
      </w:r>
      <w:r>
        <w:t xml:space="preserve">the</w:t>
      </w:r>
      <w:r>
        <w:t xml:space="preserve"> </w:t>
      </w:r>
      <w:r>
        <w:t xml:space="preserve">relation</w:t>
      </w:r>
      <w:r>
        <w:t xml:space="preserve"> </w:t>
      </w:r>
      <w:r>
        <w:t xml:space="preserve">between</w:t>
      </w:r>
      <w:r>
        <w:t xml:space="preserve"> </w:t>
      </w:r>
      <w:r>
        <w:t xml:space="preserve">Stone</w:t>
      </w:r>
      <w:r>
        <w:t xml:space="preserve"> </w:t>
      </w:r>
      <w:r>
        <w:t xml:space="preserve">Age</w:t>
      </w:r>
      <w:r>
        <w:t xml:space="preserve"> </w:t>
      </w:r>
      <w:r>
        <w:t xml:space="preserve">sites</w:t>
      </w:r>
      <w:r>
        <w:t xml:space="preserve"> </w:t>
      </w:r>
      <w:r>
        <w:t xml:space="preserve">and</w:t>
      </w:r>
      <w:r>
        <w:t xml:space="preserve"> </w:t>
      </w:r>
      <w:r>
        <w:t xml:space="preserve">relative</w:t>
      </w:r>
      <w:r>
        <w:t xml:space="preserve"> </w:t>
      </w:r>
      <w:r>
        <w:t xml:space="preserve">sea-level</w:t>
      </w:r>
      <w:r>
        <w:t xml:space="preserve"> </w:t>
      </w:r>
      <w:r>
        <w:t xml:space="preserve">change</w:t>
      </w:r>
      <w:r>
        <w:t xml:space="preserve"> </w:t>
      </w:r>
      <w:r>
        <w:t xml:space="preserve">along</w:t>
      </w:r>
      <w:r>
        <w:t xml:space="preserve"> </w:t>
      </w:r>
      <w:r>
        <w:t xml:space="preserve">the</w:t>
      </w:r>
      <w:r>
        <w:t xml:space="preserve"> </w:t>
      </w:r>
      <w:r>
        <w:t xml:space="preserve">Norwegian</w:t>
      </w:r>
      <w:r>
        <w:t xml:space="preserve"> </w:t>
      </w:r>
      <w:r>
        <w:t xml:space="preserve">Skagerrak</w:t>
      </w:r>
      <w:r>
        <w:t xml:space="preserve"> </w:t>
      </w:r>
      <w:r>
        <w:t xml:space="preserve">coast</w:t>
      </w:r>
    </w:p>
    <w:p>
      <w:pPr>
        <w:pStyle w:val="Author"/>
      </w:pPr>
      <w:r>
        <w:t xml:space="preserve">Myfirstname Mylastname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Yourfirstname Yourlastname</w:t>
      </w:r>
      <w:r>
        <w:rPr>
          <w:vertAlign w:val="superscript"/>
        </w:rPr>
        <w:t xml:space="preserve">2</w:t>
      </w:r>
    </w:p>
    <w:p>
      <w:pPr>
        <w:pStyle w:val="Date"/>
      </w:pPr>
      <w:r>
        <w:t xml:space="preserve">28</w:t>
      </w:r>
      <w:r>
        <w:t xml:space="preserve"> </w:t>
      </w:r>
      <w:r>
        <w:t xml:space="preserve">November,</w:t>
      </w:r>
      <w:r>
        <w:t xml:space="preserve"> </w:t>
      </w:r>
      <w:r>
        <w:t xml:space="preserve">2021</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Myfirstname Mylastname &lt;</w:t>
        </w:r>
        <w:hyperlink r:id="rId20">
          <w:r>
            <w:rPr>
              <w:rStyle w:val="Hyperlink"/>
            </w:rPr>
            <w:t xml:space="preserve">fl@oneplace.edu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pStyle w:val="FirstParagraph"/>
      </w:pPr>
      <w:r>
        <w:t xml:space="preserve">The post-glacial relative sea-level fall that characterises most areas of Fennoscandia is fundamental to its archaeology. This follows not only from the dramatic changes to the landscape that this process has represented throughout prehistory, but also from the fact that if archaeological phenomena were situated on or close to the contemporary shoreline when they were in use, a reconstruction of the trajectory of shoreline displacement can be used to date these phenomena based on their altitude relative to the present day sea-level. This method, also called shoreline dating, has long history of use in the region and is frequently applied to assign an approximate date to diverse archaeological phenomena such as rock art, grave cairns, various harbour and sea-side constructions and, as is the focus of this study, Stone Age sites</w:t>
      </w:r>
      <w:r>
        <w:t xml:space="preserve"> </w:t>
      </w:r>
      <w:r>
        <w:t xml:space="preserve">(e.g. Berg-Hansen, 2009; Bjerck, 2005; Sognnes, 2003)</w:t>
      </w:r>
      <w:r>
        <w:t xml:space="preserve">.</w:t>
      </w:r>
    </w:p>
    <w:p>
      <w:pPr>
        <w:pStyle w:val="BodyText"/>
      </w:pPr>
      <w:r>
        <w:t xml:space="preserve">The close association between Norwegian Stone Age sites located in coastal regions and prehistoric shorelines was firmly established by the geologist W.C. Brøgger in 1905 (see the review by</w:t>
      </w:r>
      <w:r>
        <w:t xml:space="preserve"> </w:t>
      </w:r>
      <w:r>
        <w:t xml:space="preserve">(</w:t>
      </w:r>
      <w:r>
        <w:rPr>
          <w:bCs/>
          <w:b/>
        </w:rPr>
        <w:t xml:space="preserve">maccurdy1906?</w:t>
      </w:r>
      <w:r>
        <w:t xml:space="preserve">)</w:t>
      </w:r>
      <w:r>
        <w:t xml:space="preserve"> </w:t>
      </w:r>
      <w:r>
        <w:t xml:space="preserve">for an early mention in English). Shoreline dating has been fundamental to Stone Age research in Norway ever since</w:t>
      </w:r>
      <w:r>
        <w:t xml:space="preserve"> </w:t>
      </w:r>
      <w:r>
        <w:t xml:space="preserve">(e.g. Berg-Hansen, 2009; Bjerck, 1990; Nummedal, 1923)</w:t>
      </w:r>
      <w:r>
        <w:t xml:space="preserve">. The method is used both independently and to compliment the dating of sites where other sources of temporal data such as typological indicators or radiometric dates are either limited or not available. Given the coarse and fuzzy resolution of established typological frameworks, the vast amount of surveyed sites that only contain generic lithic debitage that could hail from any part of the period, and as the conditions for the preservation of organic material is typically poor in Norway, dating with reference to shoreline displacement is often the only and most accurate method by which one can hope to date the sites. Shoreline dating is consequently fundamental to our understanding of the Norwegian Stone Age. This is both because it is fundamental to the temporal framework on which our understanding of the period is based, but also because the method is only applicable so long as the societies in question have continuously settled on or close to the contemporary shore-line. Consequently, adherence or deviation from this pattern also has major implications for the socio-economic foundations of the societies in question.</w:t>
      </w:r>
    </w:p>
    <w:p>
      <w:pPr>
        <w:pStyle w:val="BodyText"/>
      </w:pPr>
      <w:r>
        <w:t xml:space="preserve">Despite the fundamental role of shoreline dating for Norwegian Stone Age archaeology, there have only been conducted relatively small scale investigations into the applicability of dating by means of shore-line displacement, and the relationship has only been evaluated using relatively coarse methods. The aim of this paper is to provide a systematic and comprehensive review of the degree to which radiocarbon dates correspond with the dates informed by our current knowledge of shoreline displacement in a larger area of south-eastern Norway, using a more refined methodological approach. The goal is to quantify the degree to which the assumption of shore-bound settlement holds through the Stone Age. As presented in more detail below, this problem involves the combined evaluation of three major analytical dimensions. One is the questions of when the sites were in use, the second pertains to the reconstruction of the contemporaneous sea-level, and the third follows from the fact that the relation between site and shore-line is inherently spatial. Taking inspiration from recent studies that have integrated various sources of spatio-temporal uncertainty through Monte Carlo simulation</w:t>
      </w:r>
      <w:r>
        <w:t xml:space="preserve"> </w:t>
      </w:r>
      <w:r>
        <w:t xml:space="preserve">(Crema, 2012; e.g. Crema et al., 2010)</w:t>
      </w:r>
      <w:r>
        <w:t xml:space="preserve">, a similar approach is adopted here.</w:t>
      </w:r>
    </w:p>
    <w:bookmarkEnd w:id="21"/>
    <w:bookmarkStart w:id="22" w:name="background"/>
    <w:p>
      <w:pPr>
        <w:pStyle w:val="Heading1"/>
      </w:pPr>
      <w:r>
        <w:rPr>
          <w:rStyle w:val="SectionNumber"/>
        </w:rPr>
        <w:t xml:space="preserve">2</w:t>
      </w:r>
      <w:r>
        <w:tab/>
      </w:r>
      <w:r>
        <w:t xml:space="preserve">Background</w:t>
      </w:r>
    </w:p>
    <w:p>
      <w:pPr>
        <w:pStyle w:val="FirstParagraph"/>
      </w:pPr>
      <w:r>
        <w:t xml:space="preserve">Relative sea-level (RSL) can be defined as the mean elevation of the surface of the sea relative to land, or, more formally, the difference in elevation between the geoid and the surface of the Earth as measured from the Earth’s centre</w:t>
      </w:r>
      <w:r>
        <w:t xml:space="preserve"> </w:t>
      </w:r>
      <w:r>
        <w:t xml:space="preserve">(Shennan, 2015)</w:t>
      </w:r>
      <w:r>
        <w:t xml:space="preserve">. Variation in this relative distance follow from a range of effects</w:t>
      </w:r>
      <w:r>
        <w:t xml:space="preserve"> </w:t>
      </w:r>
      <w:r>
        <w:t xml:space="preserve">(Milne et al., 2009; e.g. Mörner, 1976)</w:t>
      </w:r>
      <w:r>
        <w:t xml:space="preserve">. Of central importance here is eustasy and glacial istostasy. The eustatic sea level is understood as the sea level if the water has been evenly distributed across the Earth’s surface without adjusting for variation in the rigidity of the Earth, its rotation, or the self-gravitation inherent to the water body itself</w:t>
      </w:r>
      <w:r>
        <w:t xml:space="preserve"> </w:t>
      </w:r>
      <w:r>
        <w:t xml:space="preserve">(Shennan, 2015)</w:t>
      </w:r>
      <w:r>
        <w:t xml:space="preserve">. The eustatic sea level is mainly impacted by glaciation and de-glaciation, which can bind or release large amounts of water into the oceans, as well as by changes in the Earth’s crust that impact the volume of ocean basins. Istostasy, on the other hand, pertains to adjustments in the crust to regain gravitational equilibrium relative to the underlying viscous mantle. This is often the result of glacial istostasy, which follows from glaciation and de-glaciation and corresponding loading and unloading of weight, as well as from erosion of the crust, which causes its weight to be redistributed. These effects thus causes the lithosphere to either subside due to increased weight, or to rebound and lift upwards due to lower weight</w:t>
      </w:r>
      <w:r>
        <w:t xml:space="preserve"> </w:t>
      </w:r>
      <w:r>
        <w:t xml:space="preserve">(Milne, 2015)</w:t>
      </w:r>
      <w:r>
        <w:t xml:space="preserve">.</w:t>
      </w:r>
    </w:p>
    <w:p>
      <w:pPr>
        <w:pStyle w:val="BodyText"/>
      </w:pPr>
      <w:r>
        <w:t xml:space="preserve">Following the end of the Weichselian and the final retreat of the Fennoscandian Ice Sheet, the isostatic rebound has been so severe that most areas of Norway have been subject to a continuous relative sea-level regression, despite corresponding eustatic sea-level rise. In other words, the relative sea level has been dropping throughout prehistory. As this process is the result of glacial loading, the rate of uplift is more severe towards the centre of the ice sheet. Thus, some areas on the outer coast have had a more stable RSL, been subject to past marine transgression phases, or remain inundated to this day</w:t>
      </w:r>
      <w:r>
        <w:t xml:space="preserve"> </w:t>
      </w:r>
      <w:r>
        <w:t xml:space="preserve">(Romundset et al., 2015; e.g. Svendsen and Mangerud, 1987)</w:t>
      </w:r>
      <w:r>
        <w:t xml:space="preserve">. is directly reflected in the archaeological record. In areas where the sea-level has been stable over longer periods of time, people have often reused the coastal site locations multiple times and over long time-spans, creating palimpsests of settlement events that are difficult to disentangle [e.g. ] . Transgression, on the other hand, can lead to complete destruction of the sites, or bury them in marine sediments, leading for example to a hiatus in the archaeological record for certain sub-phases in the impacted areas</w:t>
      </w:r>
      <w:r>
        <w:t xml:space="preserve"> </w:t>
      </w:r>
      <w:r>
        <w:t xml:space="preserve">(Bjerck, 2008)</w:t>
      </w:r>
      <w:r>
        <w:t xml:space="preserve">. Comparatively, given a continuous and still ongoing shoreline regression from as high as c. 220 m above present sea level in the inner Oslo fjord, any one location in south-eastern Norway has only been shore-bound within a relatively limited time-span, and the sites have not been impacted by any transgressions. This makes the region especially useful for evaluating the assumption of a shore-bound settlement over a long and continous time-span.</w:t>
      </w:r>
    </w:p>
    <w:p>
      <w:pPr>
        <w:pStyle w:val="BodyText"/>
      </w:pPr>
      <w:r>
        <w:t xml:space="preserve">such as Lista in southern Norway has In the most perhipheral coastal areas the relative sea-level change has transitioned between regression and transgression phases, leading to a situation where</w:t>
      </w:r>
    </w:p>
    <w:p>
      <w:pPr>
        <w:pStyle w:val="BodyText"/>
      </w:pPr>
      <w:r>
        <w:t xml:space="preserve">Based on the generally accepted premise that most Stone Age sites located lower than the marine limit were situated on or close to the contemporaneous shoreline, it is common to err on the side of a shore-bound site location unless there is strong evidence to suggest otherwise. This is for example common in survey projects, which can be guided by a both a digital and mental reconstruction of past sea levels. Following an excavation, the most common way to evaluate whether or not a site would have been shorebound is typically through an evaluation of typological indicators in the assemblages and its correspondence with available shoreline displacement curves. If this corresponds then it is common to assume a shore bound site location, even if the time-span of the dates provided by the typological indicators are too wide to decisively verify this.</w:t>
      </w:r>
    </w:p>
    <w:p>
      <w:pPr>
        <w:pStyle w:val="BodyText"/>
      </w:pPr>
      <w:r>
        <w:t xml:space="preserve">Another line of reasoning has been to combine these approaches with a qualitative consideration of the landscape surrounding the sites, and an evaluation of the degree to which the site location would have been sensible if the site was not shore bound</w:t>
      </w:r>
      <w:r>
        <w:t xml:space="preserve"> </w:t>
      </w:r>
      <w:r>
        <w:t xml:space="preserve">(e.g.</w:t>
      </w:r>
      <w:r>
        <w:t xml:space="preserve"> </w:t>
      </w:r>
      <w:r>
        <w:rPr>
          <w:bCs/>
          <w:b/>
        </w:rPr>
        <w:t xml:space="preserve">jaksland2014?</w:t>
      </w:r>
      <w:r>
        <w:t xml:space="preserve">)</w:t>
      </w:r>
      <w:r>
        <w:t xml:space="preserve">. This can for example pertain to accessibility. If the site is situated on a ledge in a steep and jagged area of the present day landscape, or if it would have been located on an island, it would make intuitive sense that the site was used when the ocean reached close to its elevation, which would then have made the site accessible by means of watercraft. The evaluation of the degree to which sites were shore-bound is therefore typically conducted on a site-by-site or project-by-project basis, meaning the fundamental basis for assuming shore bound site location is largely based on a mosaic of smaller scale investigations. Although it appears that the arguments for such site locations is sensible, few attempts at a comprehensive evaluation and quantification of this tendency has been done.</w:t>
      </w:r>
    </w:p>
    <w:p>
      <w:pPr>
        <w:pStyle w:val="BodyText"/>
      </w:pPr>
      <w:r>
        <w:t xml:space="preserve">One of the larger evaluations of this relationship has been done by Solheim and colleagues (</w:t>
      </w:r>
      <w:r>
        <w:t xml:space="preserve">Breivik et al. (2018)</w:t>
      </w:r>
      <w:r>
        <w:t xml:space="preserve">;</w:t>
      </w:r>
      <w:r>
        <w:t xml:space="preserve"> </w:t>
      </w:r>
      <w:r>
        <w:t xml:space="preserve">Solheim (2020)</w:t>
      </w:r>
      <w:r>
        <w:t xml:space="preserve">), who compared 102 radiocarbon dates from 29 Mesolithic sites on the western side of the Oslo fjord to the displacement curve for the Larvik area—data that are also included in this study. They found a overlap between the probability distribution of the radiocarbon dates with the shoreline displacement curve for 86.5 % of the sites. However, in the cases where there was a discrepancy, the original . As was exemplified in Solheims study, and which has been convincingly argued in several individual studies, many of the sites where there is a mismatch between the radiocarbon dates and the shoreline dates, the typological indicators in the assemblages are clearly unrelated to the radiocarbon dates. Whether these mismatches represent later shorter visits responsible for the younger radiocarbon dates, or whether they are entirely erroneous results of contamination can be difficult to evaluate, and will here be entirely dependent on the discretion of the original excavation report.</w:t>
      </w:r>
    </w:p>
    <w:p>
      <w:pPr>
        <w:pStyle w:val="BodyText"/>
      </w:pPr>
      <w:r>
        <w:t xml:space="preserve">While such evaluations can be difficult, it is nonetheless a necessity that will be held strictly separate from the formal equivalence tests in the analysis to follow.</w:t>
      </w:r>
    </w:p>
    <w:p>
      <w:pPr>
        <w:pStyle w:val="BodyText"/>
      </w:pPr>
      <w:r>
        <w:t xml:space="preserve">Previous evaluations of the correspondence between dates informed by radiocarbon dates and shoreline dating have typically followed the same structure as that of</w:t>
      </w:r>
      <w:r>
        <w:t xml:space="preserve"> </w:t>
      </w:r>
      <w:r>
        <w:t xml:space="preserve">Breivik et al. (2018)</w:t>
      </w:r>
      <w:r>
        <w:t xml:space="preserve">, involving a visual inspection of radiocarbon probability distributions plotted against local shoreline displacement curves based on the elevation of the site</w:t>
      </w:r>
      <w:r>
        <w:t xml:space="preserve"> </w:t>
      </w:r>
      <w:r>
        <w:t xml:space="preserve">(Åstveit, 2018; e.g. Solheim, 2020)</w:t>
      </w:r>
      <w:r>
        <w:t xml:space="preserve">. This approach has a couple of limitations. First of all, the displacement curves are commonly applied directly to larger study areas, with only a couple of studies having taken the variable uplift-rates into account when performing this comparison</w:t>
      </w:r>
      <w:r>
        <w:t xml:space="preserve"> </w:t>
      </w:r>
      <w:r>
        <w:t xml:space="preserve">(Fossum, 2020; e.g. Møller, 1987)</w:t>
      </w:r>
      <w:r>
        <w:t xml:space="preserve">. Secondly, with this method, the wider the uncertainty range associated with either radiocarbon- or shoreline curve, the higher the probability that the confidence intervals overlap, and the higher the probability that we conclude in favour of our hypothesis. This thus leads to an inferential framework that favours uncertainty, which is hardly desirable. In statistical terms this follows from the fact that while one cannot conclude that two dates are different if their confidence intervals overlap , this does not necessarily mean that they are the same. The question thus necessitates a flip from a null-hypothesis of no significant difference, to one of equivalence</w:t>
      </w:r>
      <w:r>
        <w:t xml:space="preserve"> </w:t>
      </w:r>
      <w:r>
        <w:t xml:space="preserve">(e.g. Lakens et al., 2018)</w:t>
      </w:r>
      <w:r>
        <w:t xml:space="preserve">, as the question of interest is effectively one of synchroneity between events</w:t>
      </w:r>
      <w:r>
        <w:t xml:space="preserve"> </w:t>
      </w:r>
      <w:r>
        <w:t xml:space="preserve">(cf. Parnell et al., 2008)</w:t>
      </w:r>
      <w:r>
        <w:t xml:space="preserve">. Another limitation of this often employed method is that it only takes into account the vertical distance between the sites and the sea level. While this is the main parameter of interest for shoreline dating, the practical implications of a vertical difference in RSL will be highly dependent on local topography and bathymetry. RSL-change can have more dramatic consequences in a landscape characterised by a low relief, as the horisontal displacement of the shoreline will be greater. Taking the spatial nature of the relationship between site and shorline into account will consequently help get more directly at the behavioural dimension of this question, and move the analysis beyond a purely instrumental consideration of the applicability of shoreline dating. Suggested ways to help mitigate and integrate the issues presented above into to the analysis are presented in the methods section.</w:t>
      </w:r>
    </w:p>
    <w:p>
      <w:pPr>
        <w:pStyle w:val="BodyText"/>
      </w:pPr>
      <w:r>
        <w:t xml:space="preserve">In the case that radiocarbon dates of site features are available, this is typically evaluated by means of a visual evaluation of the overlap between shoreline displacement curves and the radiocarbon probability distributions.</w:t>
      </w:r>
    </w:p>
    <w:p>
      <w:pPr>
        <w:pStyle w:val="BodyText"/>
      </w:pPr>
      <w:r>
        <w:t xml:space="preserve">Given that the aim of this study is to test whether or not there is a match between dates provided by means of shoreline displaceent curves and radiocarbon dates, it is appropriate to evaulate this relationship by means of statistical equivalence tests. This effectively shifts the common direction of the null-hypothesis, giving H0: The date given by means of radiocarbon dating and by shoreline displacement are different. Ha: The date given by means of radiocarbon dating and by shoreline displacement are the same. While this consitutes the formal dimension of the study, there must necessarily also be a qualitative and more subjectivly driven dimension as well.</w:t>
      </w:r>
    </w:p>
    <w:p>
      <w:pPr>
        <w:pStyle w:val="BodyText"/>
      </w:pPr>
      <w:r>
        <w:t xml:space="preserve">This study necessitated the compilation of multiple relative sea-level curves developed for different parts of the region. Most of the curves come provided with a confidence interval which is largely based on an evaluation by the geologists who developed the curve. The reason why these confidence intervals are not strictly mathematically derived is that the curves do not only contain uncertainy as related to radiometric dates, which are fairly well understood, but also hold potential error as related to the interpretation of sediment cores, placement of samples, as well as direction and adjustment to a common isobase based on the direction and gradient in rebound intensity, to name but a few. The error bands are consequently complex, and cannot necessarily be directly compared between curves as these have been developed at different times, using a wide range of different methods. However, any reinterpretation and standardisation of the curves is also hampered by a range of issues. The original data or necessary details about the sampling processes are not always available, and a reinterpretation based soley on radiometric dates, without taking into account the considerations and evaluations of the field geologists can be entirely misleading. In a rudimentary attempt to account for these differences when compiling the curves, the width of the confidence band for the sea level at a single date across the entire region is given as the largerst uncertainty of any one of the curves at that point in time. This averages to an uncertainty of +/- calendar years. This uncertainty is uniformly distributed within the confidence band.</w:t>
      </w:r>
    </w:p>
    <w:bookmarkEnd w:id="22"/>
    <w:bookmarkStart w:id="23" w:name="data"/>
    <w:p>
      <w:pPr>
        <w:pStyle w:val="Heading1"/>
      </w:pPr>
      <w:r>
        <w:rPr>
          <w:rStyle w:val="SectionNumber"/>
        </w:rPr>
        <w:t xml:space="preserve">3</w:t>
      </w:r>
      <w:r>
        <w:tab/>
      </w:r>
      <w:r>
        <w:t xml:space="preserve">Data</w:t>
      </w:r>
    </w:p>
    <w:p>
      <w:pPr>
        <w:pStyle w:val="FirstParagraph"/>
      </w:pPr>
      <w:r>
        <w:t xml:space="preserve">All data and R programming code</w:t>
      </w:r>
      <w:r>
        <w:t xml:space="preserve"> </w:t>
      </w:r>
      <w:r>
        <w:t xml:space="preserve">(R Core Team, 2021)</w:t>
      </w:r>
      <w:r>
        <w:t xml:space="preserve"> </w:t>
      </w:r>
      <w:r>
        <w:t xml:space="preserve">required to run the analyses, as well as the derived data are freely available in an online repository organised as a research compendium, following</w:t>
      </w:r>
      <w:r>
        <w:t xml:space="preserve"> </w:t>
      </w:r>
      <w:r>
        <w:t xml:space="preserve">Marwick et al. (2018)</w:t>
      </w:r>
      <w:r>
        <w:t xml:space="preserve">. The dataset is slightly more extensive than what is directly utilised in the study, including excavated sites without radiocarbon dates, and radiocarbon dates to periods other than the Stone Age.</w:t>
      </w:r>
    </w:p>
    <w:p>
      <w:pPr>
        <w:pStyle w:val="BodyText"/>
      </w:pPr>
      <w:r>
        <w:t xml:space="preserve">The data compiled for the analysis consists of all excavated Stone Age sites from the coastal region between Horten county in the north-east, to Arendal in the south-west. These number a total 154 sites, of which nrow() sites are associated with 530 radiocarbon dates. Of these, in turn, 68 sites are related to 247 radiocarbon dates to the Stone Age (9500–1700 BCE), with 99.7 % probability. Spatial data in the form of features and site limits, as defined by the excavating archaeologists, was retrieved from local databases at the Museum of Cultural History. Each radiocarbon date has been associated with site features or, where these weren’t available, the spatial limit of the entire site. Due to somewhat variable practices between excavations, what spatial geometry best represents the site limit was decided based on an evaluation of the excavation reports. This means that the limits are variably given as area de-turfed before excavation, area stripped with excavator following the excavation, manually excavated area, or convex hull polygons generated around the site features.</w:t>
      </w:r>
    </w:p>
    <w:bookmarkEnd w:id="23"/>
    <w:bookmarkStart w:id="24" w:name="methods"/>
    <w:p>
      <w:pPr>
        <w:pStyle w:val="Heading1"/>
      </w:pPr>
      <w:r>
        <w:rPr>
          <w:rStyle w:val="SectionNumber"/>
        </w:rPr>
        <w:t xml:space="preserve">4</w:t>
      </w:r>
      <w:r>
        <w:tab/>
      </w:r>
      <w:r>
        <w:t xml:space="preserve">Methods</w:t>
      </w:r>
    </w:p>
    <w:p>
      <w:pPr>
        <w:pStyle w:val="FirstParagraph"/>
      </w:pPr>
      <w:r>
        <w:t xml:space="preserve">The goal of this study is effectively to evaluate the spatial relationship between two phenomena, sites and shore-lines, each associated with their own range of temporal uncertainty. The first task was therefore to ascribe likely date ranges and associated uncertainty to the two phenomena.</w:t>
      </w:r>
    </w:p>
    <w:p>
      <w:pPr>
        <w:pStyle w:val="BodyText"/>
      </w:pPr>
      <w:r>
        <w:t xml:space="preserve">Due to the dsfg there is a gradient in the rate of isostatic rebound, with increasing rebound rates towards the north-east. To take account of this, the shoreline displacement curves were adjusted to each site location by taking into account the distance to the closest isobase. This was done by first finding the difference between the elevation values of the two closest displacement curves for each year along the entirety of the curves. Each value was then divided by the distance between the isobases. To find the adjusted displacement curve for a given site location, the distance between the site polygon and closest isobase was multiplied with the values for difference per meter. If the site is located south-west of the closest isobase, the elevation values were then subtracted from the original displacement curve, and if the site is located to the north-east, the values were instead added to the original curve. The result of this process is shown for an example site in .</w:t>
      </w:r>
    </w:p>
    <w:p>
      <w:pPr>
        <w:pStyle w:val="BodyText"/>
      </w:pPr>
      <w:r>
        <w:t xml:space="preserve">For the date ranges associated with the sites, all radiocarbon dates were first individually calibrated using the IntCal20 calibration curve</w:t>
      </w:r>
      <w:r>
        <w:t xml:space="preserve"> </w:t>
      </w:r>
      <w:r>
        <w:t xml:space="preserve">(Reimer et al., 2020)</w:t>
      </w:r>
      <w:r>
        <w:t xml:space="preserve"> </w:t>
      </w:r>
      <w:r>
        <w:t xml:space="preserve">using OxCal v.</w:t>
      </w:r>
      <w:r>
        <w:t xml:space="preserve"> </w:t>
      </w:r>
      <w:r>
        <w:t xml:space="preserve">(Bronk Ramsey, 2009)</w:t>
      </w:r>
      <w:r>
        <w:t xml:space="preserve"> </w:t>
      </w:r>
      <w:r>
        <w:t xml:space="preserve">through the oxAAR package for R. All dates not older than 1700 BCE with 99.7 % probability were then excluded from further analysis. Radiocarbon dates associated with each site were then grouped if they overlapped with 99.7 % probability, meaning these were effectively taken to represent the same settlement phase. In the case were there are multiple dates believed to belong to a single phase, these were subjected to Bayesian modelling using the Boundary function in OxCal. Multiple phases at a single site were treated as independent of each other (Figure x).</w:t>
      </w:r>
    </w:p>
    <w:p>
      <w:pPr>
        <w:pStyle w:val="BodyText"/>
      </w:pPr>
      <w:r>
        <w:t xml:space="preserve">As the excavation of archaeological sites typically follow from residential and commercial development, as well as the expansion of infrastructure, the area immediately surrounding the sites have sometimes been severely impacted by modern disturbances. In addition to employing 10 m resolution DTM to alleviate some of these issues, this also necessitated some additional editing of the elevation raster. This involved manually defining the extent of problem areas such as railways, highways, quarries and the like. The DTM values on these were then set to missing, and new elevation values were interpolated from the surrounding terrain. This was done using regularised spline interpolation with tension, using the default settings of r.fillnulls from GRASS GIS in R through the package rgrass7</w:t>
      </w:r>
      <w:r>
        <w:t xml:space="preserve"> </w:t>
      </w:r>
      <w:r>
        <w:t xml:space="preserve">(Bivand, 2021)</w:t>
      </w:r>
      <w:r>
        <w:t xml:space="preserve">. In addition to code and original spatial data being available in the research compendium for this paper, it has also been noted in the supplementary material when the area surrounding a site has been edited in this manner.</w:t>
      </w:r>
    </w:p>
    <w:p>
      <w:pPr>
        <w:pStyle w:val="BodyText"/>
      </w:pPr>
      <w:r>
        <w:t xml:space="preserve">Armed with a likely date range for the occupation(s) of each site, an estimated trajectory of relative sea-level change at that location, and an DTM edited to remove substantial modern disturbances, the simulations were performed. A single simulation run involved first drawing a single year from the posterior density estimate of a given occupation phase of a site. This year then has a corresponding likely elevation range for the contemporaneous shoreline. An elevation value was then drawn uniformly from this range, using intervals of 5 cm. The sea-level was then raised to this elevation on the DTM by defining all elevation values at or below this altitude as missing. Polygons were then created from the resulting areas with missing values. The horisontal distance was then found by measuring the shortest distance between site and sea polygons, and the vertical distance by subtracting the elevation of the sea level from the lowest elevation of the site polygon. The topographic distance between site and sea was also found by measuring the shortest distance while taking into account the slope of the terrain on the DTM. This was done using a topoDist package for R. The topographic distance was measured between site polygon and the point on the shoreline found to be horisontally closest. The shortest path was found using the Queen’s case neighbourhood of eight cells. In the case where the sea-polygons intersects the site polygon, all distance measures were set to zero. In the case that the sea-polygon completely contain the site, the horisontal and topographic distance measures were made negative. While it is safe to assume that an archaeological site was not occupied when it was located beneath sea level, a negative result can reflect the inherent uncertainty in this procedure, and might also help identify discrepancies in displacement data or radiocarbon dates. Negative values where therefore retained.</w:t>
      </w:r>
    </w:p>
    <w:p>
      <w:pPr>
        <w:pStyle w:val="BodyText"/>
      </w:pPr>
      <w:r>
        <w:t xml:space="preserve">Some sources of likely variation and uncertainty have not been considered here. First of all the DTM has only been corrected for major modern disturbances. This means that erosion, although likely not that prevalent, have not been taken into account. Secondly, the DTM has a vertical error of. Thirdly, the tidal range has not been considered. This is around 0.5 m within the study area today, and there is no reason to think this was substantially different in the past. Fourthly, the exposure of the sites to wave action is also likely to have been of concern, and will presumably have implications for how close to the shoreline people settled.</w:t>
      </w:r>
    </w:p>
    <w:p>
      <w:pPr>
        <w:pStyle w:val="BodyText"/>
      </w:pPr>
      <w:r>
        <w:br/>
      </w:r>
      <w:r>
        <w:t xml:space="preserve">This process was repeated 1000 times for each phase for each site. The choice of 1000 simulation runs follows from an evaluation of when the mean distances between site and shoreline converged when running 5000 iterations on the example site Hovland 5, which has a uncertain date range and is located in area of quite complex topography. At 1000 simulation runs the analysis of each site ranged from hours, depending on the distance to the simulated shorelines and consequently the necessary size of the window of analysis.</w:t>
      </w:r>
    </w:p>
    <w:p>
      <w:pPr>
        <w:pStyle w:val="BodyText"/>
      </w:pPr>
      <w:r>
        <w:t xml:space="preserve">The distances were then measured.</w:t>
      </w:r>
    </w:p>
    <w:p>
      <w:pPr>
        <w:pStyle w:val="BodyText"/>
      </w:pPr>
      <w:r>
        <w:t xml:space="preserve">The occupation of a site and shifting sea-levels. The synchroneity of these processes is tested by the comparison of singular events represented by the death of the dated organic materials. Additionally, defining what shore bound settlement represents can be problematic. In the literature this is often qualified with statements along the lines of</w:t>
      </w:r>
      <w:r>
        <w:t xml:space="preserve"> </w:t>
      </w:r>
      <w:r>
        <w:t xml:space="preserve">“</w:t>
      </w:r>
      <w:r>
        <w:t xml:space="preserve">the sites were located on or close to the contemporenous shore-line.</w:t>
      </w:r>
      <w:r>
        <w:t xml:space="preserve">”</w:t>
      </w:r>
      <w:r>
        <w:t xml:space="preserve"> </w:t>
      </w:r>
      <w:r>
        <w:t xml:space="preserve">What constitutes close is of course highly variable, complicated further by the fact that vertical changes in sea level can results in widely different effects on the horisontal distance between a given point and the shore-line. Other elements of interest is the tidal range, and the exposure of the location in question, which can also have an impact on the distance of the site to the mean ocean surface.</w:t>
      </w:r>
    </w:p>
    <w:p>
      <w:pPr>
        <w:pStyle w:val="BodyText"/>
      </w:pPr>
      <w:r>
        <w:t xml:space="preserve">Here the approach was only used to inform the question of the distance between sites and shorelines, but this method can also be extended to a wide range of use-cases where one needs to visualise as well as quantitatively or qualitatively evaluate the relationship between archaeological phenomena, the prehistoric shore line, and the uncertainty inherent in this reconstruction.</w:t>
      </w:r>
    </w:p>
    <w:p>
      <w:r>
        <w:br w:type="page"/>
      </w:r>
    </w:p>
    <w:bookmarkEnd w:id="24"/>
    <w:bookmarkStart w:id="65" w:name="references"/>
    <w:p>
      <w:pPr>
        <w:pStyle w:val="Heading1"/>
      </w:pPr>
      <w:r>
        <w:rPr>
          <w:rStyle w:val="SectionNumber"/>
        </w:rPr>
        <w:t xml:space="preserve">5</w:t>
      </w:r>
      <w:r>
        <w:tab/>
      </w:r>
      <w:r>
        <w:t xml:space="preserve">References</w:t>
      </w:r>
    </w:p>
    <w:bookmarkStart w:id="63" w:name="refs"/>
    <w:bookmarkStart w:id="25" w:name="ref-åstveit2018"/>
    <w:p>
      <w:pPr>
        <w:pStyle w:val="Bibliography"/>
      </w:pPr>
      <w:r>
        <w:t xml:space="preserve">Åstveit, L.I., 2018. The early mesolithic of western norway, in: Blankholm, H.P. (Ed.),. Equinox, Sheffield, pp. 231–274.</w:t>
      </w:r>
    </w:p>
    <w:bookmarkEnd w:id="25"/>
    <w:bookmarkStart w:id="26" w:name="ref-berg-hansen2009"/>
    <w:p>
      <w:pPr>
        <w:pStyle w:val="Bibliography"/>
      </w:pPr>
      <w:r>
        <w:t xml:space="preserve">Berg-Hansen, I.M., 2009. Steinalderregistrering. Metodologi og forskningshistorie i norge 1900-2000 med en feltstudie fra lista i vest-agder. Museum of Cultural History, University of Oslo.</w:t>
      </w:r>
    </w:p>
    <w:bookmarkEnd w:id="26"/>
    <w:bookmarkStart w:id="27" w:name="ref-bivand2021"/>
    <w:p>
      <w:pPr>
        <w:pStyle w:val="Bibliography"/>
      </w:pPr>
      <w:r>
        <w:t xml:space="preserve">Bivand, R., 2021. rgrass7: Interface between GRASS 7 geographical information system and r. R package version 0.2-6.</w:t>
      </w:r>
    </w:p>
    <w:bookmarkEnd w:id="27"/>
    <w:bookmarkStart w:id="28" w:name="ref-bjerck2008"/>
    <w:p>
      <w:pPr>
        <w:pStyle w:val="Bibliography"/>
      </w:pPr>
      <w:r>
        <w:t xml:space="preserve">Bjerck, H.B., 2008. Norwegian mesolithic trends: A review, in: Geoff, B., Spikins, P. (Eds.),. Cambridge University Press, Cambridge, pp. 60–106.</w:t>
      </w:r>
    </w:p>
    <w:bookmarkEnd w:id="28"/>
    <w:bookmarkStart w:id="29" w:name="ref-bjerck2005"/>
    <w:p>
      <w:pPr>
        <w:pStyle w:val="Bibliography"/>
      </w:pPr>
      <w:r>
        <w:t xml:space="preserve">Bjerck, H.B., 2005. Strandlinjedatering. Pax, Oslo, pp. 363–364.</w:t>
      </w:r>
    </w:p>
    <w:bookmarkEnd w:id="29"/>
    <w:bookmarkStart w:id="30" w:name="ref-bjerck1990"/>
    <w:p>
      <w:pPr>
        <w:pStyle w:val="Bibliography"/>
      </w:pPr>
      <w:r>
        <w:t xml:space="preserve">Bjerck, H.B., 1990. Mesolithic site types and settlement patterns at vega, northern norway. Acta Archaeologica 60, 1–32.</w:t>
      </w:r>
    </w:p>
    <w:bookmarkEnd w:id="30"/>
    <w:bookmarkStart w:id="32" w:name="ref-breivik2018"/>
    <w:p>
      <w:pPr>
        <w:pStyle w:val="Bibliography"/>
      </w:pPr>
      <w:r>
        <w:t xml:space="preserve">Breivik, H.M., Fossum, G., Solheim, S., 2018. Exploring human responses to climatic fluctuations and environmental diversity: Two stories from Mesolithic Norway. Quaternary International, Impacts of gradual and abrupt environmental changes on Late glacial to Middle Holocene cultural changes in Europe 465, 258–275.</w:t>
      </w:r>
      <w:r>
        <w:t xml:space="preserve"> </w:t>
      </w:r>
      <w:hyperlink r:id="rId31">
        <w:r>
          <w:rPr>
            <w:rStyle w:val="Hyperlink"/>
          </w:rPr>
          <w:t xml:space="preserve">https://doi.org/10.1016/j.quaint.2016.12.019</w:t>
        </w:r>
      </w:hyperlink>
    </w:p>
    <w:bookmarkEnd w:id="32"/>
    <w:bookmarkStart w:id="34" w:name="ref-bronkramsey2009"/>
    <w:p>
      <w:pPr>
        <w:pStyle w:val="Bibliography"/>
      </w:pPr>
      <w:r>
        <w:t xml:space="preserve">Bronk Ramsey, C., 2009. Bayesian Analysis of Radiocarbon Dates. Radiocarbon 51, 337–360.</w:t>
      </w:r>
      <w:r>
        <w:t xml:space="preserve"> </w:t>
      </w:r>
      <w:hyperlink r:id="rId33">
        <w:r>
          <w:rPr>
            <w:rStyle w:val="Hyperlink"/>
          </w:rPr>
          <w:t xml:space="preserve">https://doi.org/10.1017/S0033822200033865</w:t>
        </w:r>
      </w:hyperlink>
    </w:p>
    <w:bookmarkEnd w:id="34"/>
    <w:bookmarkStart w:id="36" w:name="ref-crema2012"/>
    <w:p>
      <w:pPr>
        <w:pStyle w:val="Bibliography"/>
      </w:pPr>
      <w:r>
        <w:t xml:space="preserve">Crema, E.R., 2012. Modelling Temporal Uncertainty in Archaeological Analysis. Journal of Archaeological Method and Theory 19, 440–461.</w:t>
      </w:r>
      <w:r>
        <w:t xml:space="preserve"> </w:t>
      </w:r>
      <w:hyperlink r:id="rId35">
        <w:r>
          <w:rPr>
            <w:rStyle w:val="Hyperlink"/>
          </w:rPr>
          <w:t xml:space="preserve">https://doi.org/10.1007/s10816-011-9122-3</w:t>
        </w:r>
      </w:hyperlink>
    </w:p>
    <w:bookmarkEnd w:id="36"/>
    <w:bookmarkStart w:id="38" w:name="ref-crema2010"/>
    <w:p>
      <w:pPr>
        <w:pStyle w:val="Bibliography"/>
      </w:pPr>
      <w:r>
        <w:t xml:space="preserve">Crema, E.R., Bevan, A., Lake, M.W., 2010. A probabilistic framework for assessing spatio-temporal point patterns in the archaeological record. Journal of Archaeological Science 37, 1118–1130.</w:t>
      </w:r>
      <w:r>
        <w:t xml:space="preserve"> </w:t>
      </w:r>
      <w:hyperlink r:id="rId37">
        <w:r>
          <w:rPr>
            <w:rStyle w:val="Hyperlink"/>
          </w:rPr>
          <w:t xml:space="preserve">https://doi.org/10.1016/j.jas.2009.12.012</w:t>
        </w:r>
      </w:hyperlink>
    </w:p>
    <w:bookmarkEnd w:id="38"/>
    <w:bookmarkStart w:id="39" w:name="ref-fossum2020"/>
    <w:p>
      <w:pPr>
        <w:pStyle w:val="Bibliography"/>
      </w:pPr>
      <w:r>
        <w:t xml:space="preserve">Fossum, G., 2020. Specialists facing climate change. The 8200 cal BP event and its impact on the coastal settlement in the inner oslo fjord, southeast norway, in: Schülke, A. (Ed.),. Routledge, London &amp; New York, pp. 179–201.</w:t>
      </w:r>
    </w:p>
    <w:bookmarkEnd w:id="39"/>
    <w:bookmarkStart w:id="41" w:name="ref-lakens2018"/>
    <w:p>
      <w:pPr>
        <w:pStyle w:val="Bibliography"/>
      </w:pPr>
      <w:r>
        <w:t xml:space="preserve">Lakens, D., Scheel, A.M., Isager, P.M., 2018. Equivalence Testing for Psychological Research: A Tutorial. Advances in Methods and Practices in Psychological Science 1, 259–269.</w:t>
      </w:r>
      <w:r>
        <w:t xml:space="preserve"> </w:t>
      </w:r>
      <w:hyperlink r:id="rId40">
        <w:r>
          <w:rPr>
            <w:rStyle w:val="Hyperlink"/>
          </w:rPr>
          <w:t xml:space="preserve">https://doi.org/10.1177/2515245918770963</w:t>
        </w:r>
      </w:hyperlink>
    </w:p>
    <w:bookmarkEnd w:id="41"/>
    <w:bookmarkStart w:id="43" w:name="ref-marwick2018"/>
    <w:p>
      <w:pPr>
        <w:pStyle w:val="Bibliography"/>
      </w:pPr>
      <w:r>
        <w:t xml:space="preserve">Marwick, B., Boettiger, C., Mullen, L., 2018. Packaging data analytical work reproducibly using r (and friends). The American Statistician 72, 80–88.</w:t>
      </w:r>
      <w:r>
        <w:t xml:space="preserve"> </w:t>
      </w:r>
      <w:hyperlink r:id="rId42">
        <w:r>
          <w:rPr>
            <w:rStyle w:val="Hyperlink"/>
          </w:rPr>
          <w:t xml:space="preserve">https://doi.org/10.1080/00031305.2017.1375986</w:t>
        </w:r>
      </w:hyperlink>
    </w:p>
    <w:bookmarkEnd w:id="43"/>
    <w:bookmarkStart w:id="44" w:name="ref-milne2015"/>
    <w:p>
      <w:pPr>
        <w:pStyle w:val="Bibliography"/>
      </w:pPr>
      <w:r>
        <w:t xml:space="preserve">Milne, G.A., 2015. Glacial isostatic adjustment. Wiley, Chichester, pp. 421–437.</w:t>
      </w:r>
    </w:p>
    <w:bookmarkEnd w:id="44"/>
    <w:bookmarkStart w:id="46" w:name="ref-milne2009"/>
    <w:p>
      <w:pPr>
        <w:pStyle w:val="Bibliography"/>
      </w:pPr>
      <w:r>
        <w:t xml:space="preserve">Milne, G.A., Gehrels, W.R., Hughes, C.W., Tamisiea, M.E., 2009. Identifying the causes of sea-level change. Nature Geoscience 2, 471–478.</w:t>
      </w:r>
      <w:r>
        <w:t xml:space="preserve"> </w:t>
      </w:r>
      <w:hyperlink r:id="rId45">
        <w:r>
          <w:rPr>
            <w:rStyle w:val="Hyperlink"/>
          </w:rPr>
          <w:t xml:space="preserve">https://doi.org/10.1038/ngeo544</w:t>
        </w:r>
      </w:hyperlink>
    </w:p>
    <w:bookmarkEnd w:id="46"/>
    <w:bookmarkStart w:id="48" w:name="ref-møller1987"/>
    <w:p>
      <w:pPr>
        <w:pStyle w:val="Bibliography"/>
      </w:pPr>
      <w:r>
        <w:t xml:space="preserve">Møller, J.J., 1987. Shoreline relation and prehistoric settlement in northern norway. Norwegian Journal of Geography 41, 45–60. https://doi.org/</w:t>
      </w:r>
      <w:hyperlink r:id="rId47">
        <w:r>
          <w:rPr>
            <w:rStyle w:val="Hyperlink"/>
          </w:rPr>
          <w:t xml:space="preserve">http://dx.doi.org/10.1080/00291958708552171</w:t>
        </w:r>
      </w:hyperlink>
    </w:p>
    <w:bookmarkEnd w:id="48"/>
    <w:bookmarkStart w:id="50" w:name="ref-mörner1976"/>
    <w:p>
      <w:pPr>
        <w:pStyle w:val="Bibliography"/>
      </w:pPr>
      <w:r>
        <w:t xml:space="preserve">Mörner, N.-A., 1976. Eustasy and geoid changes. The Journal of Geology 84, 123–151.</w:t>
      </w:r>
      <w:r>
        <w:t xml:space="preserve"> </w:t>
      </w:r>
      <w:hyperlink r:id="rId49">
        <w:r>
          <w:rPr>
            <w:rStyle w:val="Hyperlink"/>
          </w:rPr>
          <w:t xml:space="preserve">https://doi.org/10.1086/628184</w:t>
        </w:r>
      </w:hyperlink>
    </w:p>
    <w:bookmarkEnd w:id="50"/>
    <w:bookmarkStart w:id="51" w:name="ref-nummedal1923"/>
    <w:p>
      <w:pPr>
        <w:pStyle w:val="Bibliography"/>
      </w:pPr>
      <w:r>
        <w:t xml:space="preserve">Nummedal, A., 1923. Om flintpladsene. Norwegian Journal of Geography 7, 89–141.</w:t>
      </w:r>
    </w:p>
    <w:bookmarkEnd w:id="51"/>
    <w:bookmarkStart w:id="53" w:name="ref-parnell2008"/>
    <w:p>
      <w:pPr>
        <w:pStyle w:val="Bibliography"/>
      </w:pPr>
      <w:r>
        <w:t xml:space="preserve">Parnell, A.C., Haslett, J., Allen, J.R.M., Buck, C.E., Huntley, B., 2008. A flexible approach to assessing synchroneity of past events using Bayesian reconstructions of sedimentation history. Quaternary Science Reviews 27, 1872–1885.</w:t>
      </w:r>
      <w:r>
        <w:t xml:space="preserve"> </w:t>
      </w:r>
      <w:hyperlink r:id="rId52">
        <w:r>
          <w:rPr>
            <w:rStyle w:val="Hyperlink"/>
          </w:rPr>
          <w:t xml:space="preserve">https://doi.org/10.1016/j.quascirev.2008.07.009</w:t>
        </w:r>
      </w:hyperlink>
    </w:p>
    <w:bookmarkEnd w:id="53"/>
    <w:bookmarkStart w:id="54" w:name="ref-rcoreteam2021"/>
    <w:p>
      <w:pPr>
        <w:pStyle w:val="Bibliography"/>
      </w:pPr>
      <w:r>
        <w:t xml:space="preserve">R Core Team, 2021. R: A language and environment for statistical computing. R Foundation for Statistical Computing, Vienna, Austria.</w:t>
      </w:r>
    </w:p>
    <w:bookmarkEnd w:id="54"/>
    <w:bookmarkStart w:id="56" w:name="ref-reimer2020"/>
    <w:p>
      <w:pPr>
        <w:pStyle w:val="Bibliography"/>
      </w:pPr>
      <w:r>
        <w:t xml:space="preserve">Reimer, P.J., Austin, W.E.N., Bard, E., Bayliss, A., Blackwell, P.G., Ramsey, C.B., Butzin, M., Cheng, H., Edwards, R.L., Friedrich, M., Grootes, P.M., Guilderson, T.P., Hajdas, I., Heaton, T.J., Hogg, A.G., Hughen, K.A., Kromer, B., Manning, S.W., Muscheler, R., Palmer, J.G., Pearson, C., Plicht, J. van der, Reimer, R.W., Richards, D.A., Scott, E.M., Southon, J.R., Turney, C.S.M., Wacker, L., Adolphi, F., Büntgen, U., Capano, M., Fahrni, S.M., Fogtmann-Schulz, A., Friedrich, R., Köhler, P., Kudsk, S., Miyake, F., Olsen, J., Reinig, F., Sakamoto, M., Sookdeo, A., Talamo, S., 2020. The IntCal20 Northern Hemisphere Radiocarbon Age Calibration Curve (0</w:t>
      </w:r>
      <w:r>
        <w:t xml:space="preserve">55 cal kBP). Radiocarbon 62, 725–757.</w:t>
      </w:r>
      <w:r>
        <w:t xml:space="preserve"> </w:t>
      </w:r>
      <w:hyperlink r:id="rId55">
        <w:r>
          <w:rPr>
            <w:rStyle w:val="Hyperlink"/>
          </w:rPr>
          <w:t xml:space="preserve">https://doi.org/10.1017/RDC.2020.41</w:t>
        </w:r>
      </w:hyperlink>
    </w:p>
    <w:bookmarkEnd w:id="56"/>
    <w:bookmarkStart w:id="57" w:name="ref-romundset2015"/>
    <w:p>
      <w:pPr>
        <w:pStyle w:val="Bibliography"/>
      </w:pPr>
      <w:r>
        <w:t xml:space="preserve">Romundset, A., Fredin, O., Høgaas, F., 2015. A Holocene sea</w:t>
      </w:r>
      <w:r>
        <w:t xml:space="preserve">-</w:t>
      </w:r>
      <w:r>
        <w:t xml:space="preserve">level curve and revised isobase map based on isolation basins from near the southern tip of Norway 18.</w:t>
      </w:r>
    </w:p>
    <w:bookmarkEnd w:id="57"/>
    <w:bookmarkStart w:id="58" w:name="ref-shennan2015"/>
    <w:p>
      <w:pPr>
        <w:pStyle w:val="Bibliography"/>
      </w:pPr>
      <w:r>
        <w:t xml:space="preserve">Shennan, I., 2015. Handbook of sea-level research: Framing research questions. Wiley, Chichester, pp. 3–25.</w:t>
      </w:r>
    </w:p>
    <w:bookmarkEnd w:id="58"/>
    <w:bookmarkStart w:id="59" w:name="ref-sognnes2003"/>
    <w:p>
      <w:pPr>
        <w:pStyle w:val="Bibliography"/>
      </w:pPr>
      <w:r>
        <w:t xml:space="preserve">Sognnes, K., 2003. On shoreline dating of rock art. Acta Archaeologica 74, 189–209.</w:t>
      </w:r>
    </w:p>
    <w:bookmarkEnd w:id="59"/>
    <w:bookmarkStart w:id="60" w:name="ref-solheim2020"/>
    <w:p>
      <w:pPr>
        <w:pStyle w:val="Bibliography"/>
      </w:pPr>
      <w:r>
        <w:t xml:space="preserve">Solheim, S., 2020. Mesolithic coastal landscapes. Demography, settlement patterns and subsistence economy in southeastern norway, in: Schülke, A. (Ed.),. Routledge, London &amp; New York.</w:t>
      </w:r>
    </w:p>
    <w:bookmarkEnd w:id="60"/>
    <w:bookmarkStart w:id="62" w:name="ref-svendsen1987"/>
    <w:p>
      <w:pPr>
        <w:pStyle w:val="Bibliography"/>
      </w:pPr>
      <w:r>
        <w:t xml:space="preserve">Svendsen, J.I., Mangerud, J., 1987. Late Weichselian and holocene sea-level history for a cross-section of western Norway. Journal of Quaternary Science 2, 113–132.</w:t>
      </w:r>
      <w:r>
        <w:t xml:space="preserve"> </w:t>
      </w:r>
      <w:hyperlink r:id="rId61">
        <w:r>
          <w:rPr>
            <w:rStyle w:val="Hyperlink"/>
          </w:rPr>
          <w:t xml:space="preserve">https://doi.org/10.1002/jqs.3390020205</w:t>
        </w:r>
      </w:hyperlink>
    </w:p>
    <w:bookmarkEnd w:id="62"/>
    <w:bookmarkEnd w:id="63"/>
    <w:p>
      <w:r>
        <w:br w:type="page"/>
      </w:r>
    </w:p>
    <w:bookmarkStart w:id="64" w:name="colophon"/>
    <w:p>
      <w:pPr>
        <w:pStyle w:val="Heading3"/>
      </w:pPr>
      <w:r>
        <w:rPr>
          <w:rStyle w:val="SectionNumber"/>
        </w:rPr>
        <w:t xml:space="preserve">5.0.1</w:t>
      </w:r>
      <w:r>
        <w:tab/>
      </w:r>
      <w:r>
        <w:t xml:space="preserve">Colophon</w:t>
      </w:r>
    </w:p>
    <w:p>
      <w:pPr>
        <w:pStyle w:val="FirstParagraph"/>
      </w:pPr>
      <w:r>
        <w:t xml:space="preserve">This report was generated on 2021-11-28 11:56:01 using the following computational environment and dependencies:</w:t>
      </w:r>
    </w:p>
    <w:p>
      <w:pPr>
        <w:pStyle w:val="SourceCode"/>
      </w:pPr>
      <w:r>
        <w:rPr>
          <w:rStyle w:val="VerbatimChar"/>
        </w:rPr>
        <w:t xml:space="preserve">#&gt; ─ Session info  ──────────────────────────────────────────────────────────────</w:t>
      </w:r>
      <w:r>
        <w:br/>
      </w:r>
      <w:r>
        <w:rPr>
          <w:rStyle w:val="VerbatimChar"/>
        </w:rPr>
        <w:t xml:space="preserve">#&gt;  hash: shower, money-mouth face, diamond suit</w:t>
      </w:r>
      <w:r>
        <w:br/>
      </w:r>
      <w:r>
        <w:rPr>
          <w:rStyle w:val="VerbatimChar"/>
        </w:rPr>
        <w:t xml:space="preserve">#&gt; </w:t>
      </w:r>
      <w:r>
        <w:br/>
      </w:r>
      <w:r>
        <w:rPr>
          <w:rStyle w:val="VerbatimChar"/>
        </w:rPr>
        <w:t xml:space="preserve">#&gt;  setting  value</w:t>
      </w:r>
      <w:r>
        <w:br/>
      </w:r>
      <w:r>
        <w:rPr>
          <w:rStyle w:val="VerbatimChar"/>
        </w:rPr>
        <w:t xml:space="preserve">#&gt;  version  R version 4.1.2 (2021-11-01)</w:t>
      </w:r>
      <w:r>
        <w:br/>
      </w:r>
      <w:r>
        <w:rPr>
          <w:rStyle w:val="VerbatimChar"/>
        </w:rPr>
        <w:t xml:space="preserve">#&gt;  os       Linux Mint 19.3</w:t>
      </w:r>
      <w:r>
        <w:br/>
      </w:r>
      <w:r>
        <w:rPr>
          <w:rStyle w:val="VerbatimChar"/>
        </w:rPr>
        <w:t xml:space="preserve">#&gt;  system   x86_64, linux-gnu</w:t>
      </w:r>
      <w:r>
        <w:br/>
      </w:r>
      <w:r>
        <w:rPr>
          <w:rStyle w:val="VerbatimChar"/>
        </w:rPr>
        <w:t xml:space="preserve">#&gt;  ui       X11</w:t>
      </w:r>
      <w:r>
        <w:br/>
      </w:r>
      <w:r>
        <w:rPr>
          <w:rStyle w:val="VerbatimChar"/>
        </w:rPr>
        <w:t xml:space="preserve">#&gt;  language en_US</w:t>
      </w:r>
      <w:r>
        <w:br/>
      </w:r>
      <w:r>
        <w:rPr>
          <w:rStyle w:val="VerbatimChar"/>
        </w:rPr>
        <w:t xml:space="preserve">#&gt;  collate  en_US.UTF-8</w:t>
      </w:r>
      <w:r>
        <w:br/>
      </w:r>
      <w:r>
        <w:rPr>
          <w:rStyle w:val="VerbatimChar"/>
        </w:rPr>
        <w:t xml:space="preserve">#&gt;  ctype    en_US.UTF-8</w:t>
      </w:r>
      <w:r>
        <w:br/>
      </w:r>
      <w:r>
        <w:rPr>
          <w:rStyle w:val="VerbatimChar"/>
        </w:rPr>
        <w:t xml:space="preserve">#&gt;  tz       Europe/Oslo</w:t>
      </w:r>
      <w:r>
        <w:br/>
      </w:r>
      <w:r>
        <w:rPr>
          <w:rStyle w:val="VerbatimChar"/>
        </w:rPr>
        <w:t xml:space="preserve">#&gt;  date     2021-11-28</w:t>
      </w:r>
      <w:r>
        <w:br/>
      </w:r>
      <w:r>
        <w:rPr>
          <w:rStyle w:val="VerbatimChar"/>
        </w:rPr>
        <w:t xml:space="preserve">#&gt;  pandoc   2.14.0.3 @ /usr/lib/rstudio/bin/pandoc/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4.1.0)</w:t>
      </w:r>
      <w:r>
        <w:br/>
      </w:r>
      <w:r>
        <w:rPr>
          <w:rStyle w:val="VerbatimChar"/>
        </w:rPr>
        <w:t xml:space="preserve">#&gt;  backports     1.3.0   2021-10-27 [1] CRAN (R 4.1.2)</w:t>
      </w:r>
      <w:r>
        <w:br/>
      </w:r>
      <w:r>
        <w:rPr>
          <w:rStyle w:val="VerbatimChar"/>
        </w:rPr>
        <w:t xml:space="preserve">#&gt;  bookdown      0.24    2021-09-02 [1] CRAN (R 4.1.1)</w:t>
      </w:r>
      <w:r>
        <w:br/>
      </w:r>
      <w:r>
        <w:rPr>
          <w:rStyle w:val="VerbatimChar"/>
        </w:rPr>
        <w:t xml:space="preserve">#&gt;  broom         0.7.10  2021-10-31 [1] CRAN (R 4.1.2)</w:t>
      </w:r>
      <w:r>
        <w:br/>
      </w:r>
      <w:r>
        <w:rPr>
          <w:rStyle w:val="VerbatimChar"/>
        </w:rPr>
        <w:t xml:space="preserve">#&gt;  cachem        1.0.6   2021-08-19 [1] CRAN (R 4.1.1)</w:t>
      </w:r>
      <w:r>
        <w:br/>
      </w:r>
      <w:r>
        <w:rPr>
          <w:rStyle w:val="VerbatimChar"/>
        </w:rPr>
        <w:t xml:space="preserve">#&gt;  callr         3.7.0   2021-04-20 [1] CRAN (R 4.1.0)</w:t>
      </w:r>
      <w:r>
        <w:br/>
      </w:r>
      <w:r>
        <w:rPr>
          <w:rStyle w:val="VerbatimChar"/>
        </w:rPr>
        <w:t xml:space="preserve">#&gt;  cellranger    1.1.0   2016-07-27 [1] CRAN (R 4.1.0)</w:t>
      </w:r>
      <w:r>
        <w:br/>
      </w:r>
      <w:r>
        <w:rPr>
          <w:rStyle w:val="VerbatimChar"/>
        </w:rPr>
        <w:t xml:space="preserve">#&gt;  class         7.3-19  2021-05-03 [4] CRAN (R 4.0.5)</w:t>
      </w:r>
      <w:r>
        <w:br/>
      </w:r>
      <w:r>
        <w:rPr>
          <w:rStyle w:val="VerbatimChar"/>
        </w:rPr>
        <w:t xml:space="preserve">#&gt;  classInt      0.4-3   2020-04-07 [1] CRAN (R 4.1.0)</w:t>
      </w:r>
      <w:r>
        <w:br/>
      </w:r>
      <w:r>
        <w:rPr>
          <w:rStyle w:val="VerbatimChar"/>
        </w:rPr>
        <w:t xml:space="preserve">#&gt;  cli           3.1.0   2021-10-27 [1] CRAN (R 4.1.2)</w:t>
      </w:r>
      <w:r>
        <w:br/>
      </w:r>
      <w:r>
        <w:rPr>
          <w:rStyle w:val="VerbatimChar"/>
        </w:rPr>
        <w:t xml:space="preserve">#&gt;  colorspace    2.0-2   2021-06-24 [1] CRAN (R 4.1.0)</w:t>
      </w:r>
      <w:r>
        <w:br/>
      </w:r>
      <w:r>
        <w:rPr>
          <w:rStyle w:val="VerbatimChar"/>
        </w:rPr>
        <w:t xml:space="preserve">#&gt;  crayon        1.4.2   2021-10-29 [1] CRAN (R 4.1.2)</w:t>
      </w:r>
      <w:r>
        <w:br/>
      </w:r>
      <w:r>
        <w:rPr>
          <w:rStyle w:val="VerbatimChar"/>
        </w:rPr>
        <w:t xml:space="preserve">#&gt;  DBI           1.1.1   2021-01-15 [1] CRAN (R 4.1.0)</w:t>
      </w:r>
      <w:r>
        <w:br/>
      </w:r>
      <w:r>
        <w:rPr>
          <w:rStyle w:val="VerbatimChar"/>
        </w:rPr>
        <w:t xml:space="preserve">#&gt;  dbplyr        2.1.1   2021-04-06 [1] CRAN (R 4.1.0)</w:t>
      </w:r>
      <w:r>
        <w:br/>
      </w:r>
      <w:r>
        <w:rPr>
          <w:rStyle w:val="VerbatimChar"/>
        </w:rPr>
        <w:t xml:space="preserve">#&gt;  desc          1.4.0   2021-09-28 [1] CRAN (R 4.1.2)</w:t>
      </w:r>
      <w:r>
        <w:br/>
      </w:r>
      <w:r>
        <w:rPr>
          <w:rStyle w:val="VerbatimChar"/>
        </w:rPr>
        <w:t xml:space="preserve">#&gt;  devtools      2.4.2   2021-06-07 [1] CRAN (R 4.1.0)</w:t>
      </w:r>
      <w:r>
        <w:br/>
      </w:r>
      <w:r>
        <w:rPr>
          <w:rStyle w:val="VerbatimChar"/>
        </w:rPr>
        <w:t xml:space="preserve">#&gt;  digest        0.6.28  2021-09-23 [1] CRAN (R 4.1.2)</w:t>
      </w:r>
      <w:r>
        <w:br/>
      </w:r>
      <w:r>
        <w:rPr>
          <w:rStyle w:val="VerbatimChar"/>
        </w:rPr>
        <w:t xml:space="preserve">#&gt;  dplyr       * 1.0.7   2021-06-18 [1] CRAN (R 4.1.0)</w:t>
      </w:r>
      <w:r>
        <w:br/>
      </w:r>
      <w:r>
        <w:rPr>
          <w:rStyle w:val="VerbatimChar"/>
        </w:rPr>
        <w:t xml:space="preserve">#&gt;  e1071         1.7-9   2021-09-16 [1] CRAN (R 4.1.2)</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fansi         0.5.0   2021-05-25 [1] CRAN (R 4.1.0)</w:t>
      </w:r>
      <w:r>
        <w:br/>
      </w:r>
      <w:r>
        <w:rPr>
          <w:rStyle w:val="VerbatimChar"/>
        </w:rPr>
        <w:t xml:space="preserve">#&gt;  fastmap       1.1.0   2021-01-25 [1] CRAN (R 4.1.0)</w:t>
      </w:r>
      <w:r>
        <w:br/>
      </w:r>
      <w:r>
        <w:rPr>
          <w:rStyle w:val="VerbatimChar"/>
        </w:rPr>
        <w:t xml:space="preserve">#&gt;  forcats     * 0.5.1   2021-01-27 [1] CRAN (R 4.1.0)</w:t>
      </w:r>
      <w:r>
        <w:br/>
      </w:r>
      <w:r>
        <w:rPr>
          <w:rStyle w:val="VerbatimChar"/>
        </w:rPr>
        <w:t xml:space="preserve">#&gt;  fs            1.5.0   2020-07-31 [1] CRAN (R 4.1.0)</w:t>
      </w:r>
      <w:r>
        <w:br/>
      </w:r>
      <w:r>
        <w:rPr>
          <w:rStyle w:val="VerbatimChar"/>
        </w:rPr>
        <w:t xml:space="preserve">#&gt;  generics      0.1.1   2021-10-25 [1] CRAN (R 4.1.2)</w:t>
      </w:r>
      <w:r>
        <w:br/>
      </w:r>
      <w:r>
        <w:rPr>
          <w:rStyle w:val="VerbatimChar"/>
        </w:rPr>
        <w:t xml:space="preserve">#&gt;  ggplot2     * 3.3.5   2021-06-25 [1] CRAN (R 4.1.0)</w:t>
      </w:r>
      <w:r>
        <w:br/>
      </w:r>
      <w:r>
        <w:rPr>
          <w:rStyle w:val="VerbatimChar"/>
        </w:rPr>
        <w:t xml:space="preserve">#&gt;  glue          1.5.0   2021-11-07 [1] CRAN (R 4.1.2)</w:t>
      </w:r>
      <w:r>
        <w:br/>
      </w:r>
      <w:r>
        <w:rPr>
          <w:rStyle w:val="VerbatimChar"/>
        </w:rPr>
        <w:t xml:space="preserve">#&gt;  gtable        0.3.0   2019-03-25 [1] CRAN (R 4.1.0)</w:t>
      </w:r>
      <w:r>
        <w:br/>
      </w:r>
      <w:r>
        <w:rPr>
          <w:rStyle w:val="VerbatimChar"/>
        </w:rPr>
        <w:t xml:space="preserve">#&gt;  haven         2.4.3   2021-08-04 [1] CRAN (R 4.1.1)</w:t>
      </w:r>
      <w:r>
        <w:br/>
      </w:r>
      <w:r>
        <w:rPr>
          <w:rStyle w:val="VerbatimChar"/>
        </w:rPr>
        <w:t xml:space="preserve">#&gt;  here        * 1.0.1   2020-12-13 [1] CRAN (R 4.1.0)</w:t>
      </w:r>
      <w:r>
        <w:br/>
      </w:r>
      <w:r>
        <w:rPr>
          <w:rStyle w:val="VerbatimChar"/>
        </w:rPr>
        <w:t xml:space="preserve">#&gt;  hms           1.1.1   2021-09-26 [1] CRAN (R 4.1.2)</w:t>
      </w:r>
      <w:r>
        <w:br/>
      </w:r>
      <w:r>
        <w:rPr>
          <w:rStyle w:val="VerbatimChar"/>
        </w:rPr>
        <w:t xml:space="preserve">#&gt;  htmltools     0.5.2   2021-08-25 [1] CRAN (R 4.1.1)</w:t>
      </w:r>
      <w:r>
        <w:br/>
      </w:r>
      <w:r>
        <w:rPr>
          <w:rStyle w:val="VerbatimChar"/>
        </w:rPr>
        <w:t xml:space="preserve">#&gt;  httr          1.4.2   2020-07-20 [1] CRAN (R 4.1.0)</w:t>
      </w:r>
      <w:r>
        <w:br/>
      </w:r>
      <w:r>
        <w:rPr>
          <w:rStyle w:val="VerbatimChar"/>
        </w:rPr>
        <w:t xml:space="preserve">#&gt;  jsonlite      1.7.2   2020-12-09 [1] CRAN (R 4.1.0)</w:t>
      </w:r>
      <w:r>
        <w:br/>
      </w:r>
      <w:r>
        <w:rPr>
          <w:rStyle w:val="VerbatimChar"/>
        </w:rPr>
        <w:t xml:space="preserve">#&gt;  KernSmooth    2.23-20 2021-05-03 [4] CRAN (R 4.0.5)</w:t>
      </w:r>
      <w:r>
        <w:br/>
      </w:r>
      <w:r>
        <w:rPr>
          <w:rStyle w:val="VerbatimChar"/>
        </w:rPr>
        <w:t xml:space="preserve">#&gt;  knitr         1.36    2021-09-29 [1] CRAN (R 4.1.2)</w:t>
      </w:r>
      <w:r>
        <w:br/>
      </w:r>
      <w:r>
        <w:rPr>
          <w:rStyle w:val="VerbatimChar"/>
        </w:rPr>
        <w:t xml:space="preserve">#&gt;  lifecycle     1.0.1   2021-09-24 [1] CRAN (R 4.1.1)</w:t>
      </w:r>
      <w:r>
        <w:br/>
      </w:r>
      <w:r>
        <w:rPr>
          <w:rStyle w:val="VerbatimChar"/>
        </w:rPr>
        <w:t xml:space="preserve">#&gt;  lubridate     1.8.0   2021-10-07 [1] CRAN (R 4.1.2)</w:t>
      </w:r>
      <w:r>
        <w:br/>
      </w:r>
      <w:r>
        <w:rPr>
          <w:rStyle w:val="VerbatimChar"/>
        </w:rPr>
        <w:t xml:space="preserve">#&gt;  magrittr      2.0.1   2020-11-17 [1] CRAN (R 4.1.0)</w:t>
      </w:r>
      <w:r>
        <w:br/>
      </w:r>
      <w:r>
        <w:rPr>
          <w:rStyle w:val="VerbatimChar"/>
        </w:rPr>
        <w:t xml:space="preserve">#&gt;  memoise       2.0.0   2021-01-26 [1] CRAN (R 4.1.0)</w:t>
      </w:r>
      <w:r>
        <w:br/>
      </w:r>
      <w:r>
        <w:rPr>
          <w:rStyle w:val="VerbatimChar"/>
        </w:rPr>
        <w:t xml:space="preserve">#&gt;  modelr        0.1.8   2020-05-19 [1] CRAN (R 4.1.0)</w:t>
      </w:r>
      <w:r>
        <w:br/>
      </w:r>
      <w:r>
        <w:rPr>
          <w:rStyle w:val="VerbatimChar"/>
        </w:rPr>
        <w:t xml:space="preserve">#&gt;  munsell       0.5.0   2018-06-12 [1] CRAN (R 4.1.0)</w:t>
      </w:r>
      <w:r>
        <w:br/>
      </w:r>
      <w:r>
        <w:rPr>
          <w:rStyle w:val="VerbatimChar"/>
        </w:rPr>
        <w:t xml:space="preserve">#&gt;  pillar        1.6.4   2021-10-18 [1] CRAN (R 4.1.1)</w:t>
      </w:r>
      <w:r>
        <w:br/>
      </w:r>
      <w:r>
        <w:rPr>
          <w:rStyle w:val="VerbatimChar"/>
        </w:rPr>
        <w:t xml:space="preserve">#&gt;  pkgbuild      1.2.0   2020-12-15 [1] CRAN (R 4.1.0)</w:t>
      </w:r>
      <w:r>
        <w:br/>
      </w:r>
      <w:r>
        <w:rPr>
          <w:rStyle w:val="VerbatimChar"/>
        </w:rPr>
        <w:t xml:space="preserve">#&gt;  pkgconfig     2.0.3   2019-09-22 [1] CRAN (R 4.1.0)</w:t>
      </w:r>
      <w:r>
        <w:br/>
      </w:r>
      <w:r>
        <w:rPr>
          <w:rStyle w:val="VerbatimChar"/>
        </w:rPr>
        <w:t xml:space="preserve">#&gt;  pkgload       1.2.3   2021-10-13 [1] CRAN (R 4.1.2)</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proxy         0.4-26  2021-06-07 [1] CRAN (R 4.1.0)</w:t>
      </w:r>
      <w:r>
        <w:br/>
      </w:r>
      <w:r>
        <w:rPr>
          <w:rStyle w:val="VerbatimChar"/>
        </w:rPr>
        <w:t xml:space="preserve">#&gt;  ps            1.6.0   2021-02-28 [1] CRAN (R 4.1.0)</w:t>
      </w:r>
      <w:r>
        <w:br/>
      </w:r>
      <w:r>
        <w:rPr>
          <w:rStyle w:val="VerbatimChar"/>
        </w:rPr>
        <w:t xml:space="preserve">#&gt;  purrr       * 0.3.4   2020-04-17 [1] CRAN (R 4.1.0)</w:t>
      </w:r>
      <w:r>
        <w:br/>
      </w:r>
      <w:r>
        <w:rPr>
          <w:rStyle w:val="VerbatimChar"/>
        </w:rPr>
        <w:t xml:space="preserve">#&gt;  R6            2.5.1   2021-08-19 [1] CRAN (R 4.1.1)</w:t>
      </w:r>
      <w:r>
        <w:br/>
      </w:r>
      <w:r>
        <w:rPr>
          <w:rStyle w:val="VerbatimChar"/>
        </w:rPr>
        <w:t xml:space="preserve">#&gt;  Rcpp          1.0.7   2021-07-07 [1] CRAN (R 4.1.0)</w:t>
      </w:r>
      <w:r>
        <w:br/>
      </w:r>
      <w:r>
        <w:rPr>
          <w:rStyle w:val="VerbatimChar"/>
        </w:rPr>
        <w:t xml:space="preserve">#&gt;  readr       * 2.1.0   2021-11-11 [1] CRAN (R 4.1.2)</w:t>
      </w:r>
      <w:r>
        <w:br/>
      </w:r>
      <w:r>
        <w:rPr>
          <w:rStyle w:val="VerbatimChar"/>
        </w:rPr>
        <w:t xml:space="preserve">#&gt;  readxl        1.3.1   2019-03-13 [1] CRAN (R 4.1.0)</w:t>
      </w:r>
      <w:r>
        <w:br/>
      </w:r>
      <w:r>
        <w:rPr>
          <w:rStyle w:val="VerbatimChar"/>
        </w:rPr>
        <w:t xml:space="preserve">#&gt;  remotes       2.4.1   2021-09-29 [1] CRAN (R 4.1.2)</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4.1.2)</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rvest         1.0.2   2021-10-16 [1] CRAN (R 4.1.2)</w:t>
      </w:r>
      <w:r>
        <w:br/>
      </w:r>
      <w:r>
        <w:rPr>
          <w:rStyle w:val="VerbatimChar"/>
        </w:rPr>
        <w:t xml:space="preserve">#&gt;  scales        1.1.1   2020-05-11 [1] CRAN (R 4.1.0)</w:t>
      </w:r>
      <w:r>
        <w:br/>
      </w:r>
      <w:r>
        <w:rPr>
          <w:rStyle w:val="VerbatimChar"/>
        </w:rPr>
        <w:t xml:space="preserve">#&gt;  sessioninfo   1.2.1   2021-11-02 [1] CRAN (R 4.1.2)</w:t>
      </w:r>
      <w:r>
        <w:br/>
      </w:r>
      <w:r>
        <w:rPr>
          <w:rStyle w:val="VerbatimChar"/>
        </w:rPr>
        <w:t xml:space="preserve">#&gt;  sf          * 1.0-4   2021-11-14 [1] CRAN (R 4.1.2)</w:t>
      </w:r>
      <w:r>
        <w:br/>
      </w:r>
      <w:r>
        <w:rPr>
          <w:rStyle w:val="VerbatimChar"/>
        </w:rPr>
        <w:t xml:space="preserve">#&gt;  stringi       1.7.5   2021-10-04 [1] CRAN (R 4.1.1)</w:t>
      </w:r>
      <w:r>
        <w:br/>
      </w:r>
      <w:r>
        <w:rPr>
          <w:rStyle w:val="VerbatimChar"/>
        </w:rPr>
        <w:t xml:space="preserve">#&gt;  stringr     * 1.4.0   2019-02-10 [1] CRAN (R 4.1.0)</w:t>
      </w:r>
      <w:r>
        <w:br/>
      </w:r>
      <w:r>
        <w:rPr>
          <w:rStyle w:val="VerbatimChar"/>
        </w:rPr>
        <w:t xml:space="preserve">#&gt;  testthat      3.1.0   2021-10-04 [1] CRAN (R 4.1.2)</w:t>
      </w:r>
      <w:r>
        <w:br/>
      </w:r>
      <w:r>
        <w:rPr>
          <w:rStyle w:val="VerbatimChar"/>
        </w:rPr>
        <w:t xml:space="preserve">#&gt;  tibble      * 3.1.6   2021-11-07 [1] CRAN (R 4.1.2)</w:t>
      </w:r>
      <w:r>
        <w:br/>
      </w:r>
      <w:r>
        <w:rPr>
          <w:rStyle w:val="VerbatimChar"/>
        </w:rPr>
        <w:t xml:space="preserve">#&gt;  tidyr       * 1.1.4   2021-09-27 [1] CRAN (R 4.1.2)</w:t>
      </w:r>
      <w:r>
        <w:br/>
      </w:r>
      <w:r>
        <w:rPr>
          <w:rStyle w:val="VerbatimChar"/>
        </w:rPr>
        <w:t xml:space="preserve">#&gt;  tidyselect    1.1.1   2021-04-30 [1] CRAN (R 4.1.0)</w:t>
      </w:r>
      <w:r>
        <w:br/>
      </w:r>
      <w:r>
        <w:rPr>
          <w:rStyle w:val="VerbatimChar"/>
        </w:rPr>
        <w:t xml:space="preserve">#&gt;  tidyverse   * 1.3.1   2021-04-15 [1] CRAN (R 4.1.0)</w:t>
      </w:r>
      <w:r>
        <w:br/>
      </w:r>
      <w:r>
        <w:rPr>
          <w:rStyle w:val="VerbatimChar"/>
        </w:rPr>
        <w:t xml:space="preserve">#&gt;  tzdb          0.2.0   2021-10-27 [1] CRAN (R 4.1.2)</w:t>
      </w:r>
      <w:r>
        <w:br/>
      </w:r>
      <w:r>
        <w:rPr>
          <w:rStyle w:val="VerbatimChar"/>
        </w:rPr>
        <w:t xml:space="preserve">#&gt;  units         0.7-2   2021-06-08 [1] CRAN (R 4.1.0)</w:t>
      </w:r>
      <w:r>
        <w:br/>
      </w:r>
      <w:r>
        <w:rPr>
          <w:rStyle w:val="VerbatimChar"/>
        </w:rPr>
        <w:t xml:space="preserve">#&gt;  usethis       2.1.3   2021-10-27 [1] CRAN (R 4.1.2)</w:t>
      </w:r>
      <w:r>
        <w:br/>
      </w:r>
      <w:r>
        <w:rPr>
          <w:rStyle w:val="VerbatimChar"/>
        </w:rPr>
        <w:t xml:space="preserve">#&gt;  utf8          1.2.2   2021-07-24 [1] CRAN (R 4.1.0)</w:t>
      </w:r>
      <w:r>
        <w:br/>
      </w:r>
      <w:r>
        <w:rPr>
          <w:rStyle w:val="VerbatimChar"/>
        </w:rPr>
        <w:t xml:space="preserve">#&gt;  vctrs         0.3.8   2021-04-29 [1] CRAN (R 4.1.0)</w:t>
      </w:r>
      <w:r>
        <w:br/>
      </w:r>
      <w:r>
        <w:rPr>
          <w:rStyle w:val="VerbatimChar"/>
        </w:rPr>
        <w:t xml:space="preserve">#&gt;  withr         2.4.2   2021-04-18 [1] CRAN (R 4.1.0)</w:t>
      </w:r>
      <w:r>
        <w:br/>
      </w:r>
      <w:r>
        <w:rPr>
          <w:rStyle w:val="VerbatimChar"/>
        </w:rPr>
        <w:t xml:space="preserve">#&gt;  xfun          0.28    2021-11-04 [1] CRAN (R 4.1.2)</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w:t>
      </w:r>
      <w:r>
        <w:br/>
      </w:r>
      <w:r>
        <w:rPr>
          <w:rStyle w:val="VerbatimChar"/>
        </w:rPr>
        <w:t xml:space="preserve">#&gt;  [1] /home/isak/R/x86_64-pc-linux-gnu-library/4.1</w:t>
      </w:r>
      <w:r>
        <w:br/>
      </w:r>
      <w:r>
        <w:rPr>
          <w:rStyle w:val="VerbatimChar"/>
        </w:rPr>
        <w:t xml:space="preserve">#&gt;  [2] /usr/local/lib/R/site-library</w:t>
      </w:r>
      <w:r>
        <w:br/>
      </w:r>
      <w:r>
        <w:rPr>
          <w:rStyle w:val="VerbatimChar"/>
        </w:rPr>
        <w:t xml:space="preserve">#&gt;  [3] /usr/lib/R/site-library</w:t>
      </w:r>
      <w:r>
        <w:br/>
      </w:r>
      <w:r>
        <w:rPr>
          <w:rStyle w:val="VerbatimChar"/>
        </w:rPr>
        <w:t xml:space="preserve">#&gt;  [4] /usr/lib/R/library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/home/isak/phd/assessing.sealevel.dating</w:t>
      </w:r>
      <w:r>
        <w:br/>
      </w:r>
      <w:r>
        <w:rPr>
          <w:rStyle w:val="VerbatimChar"/>
        </w:rPr>
        <w:t xml:space="preserve">#&gt; Remote:   master @ origin (https://github.com/isakro/assessing.sealevel.dating.git)</w:t>
      </w:r>
      <w:r>
        <w:br/>
      </w:r>
      <w:r>
        <w:rPr>
          <w:rStyle w:val="VerbatimChar"/>
        </w:rPr>
        <w:t xml:space="preserve">#&gt; Head:     [80ef14e] 2021-11-25: Minor changes</w:t>
      </w:r>
    </w:p>
    <w:bookmarkEnd w:id="64"/>
    <w:bookmarkEnd w:id="65"/>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dx.doi.org/10.1080/00291958708552171" TargetMode="External" /><Relationship Type="http://schemas.openxmlformats.org/officeDocument/2006/relationships/hyperlink" Id="rId61" Target="https://doi.org/10.1002/jqs.3390020205" TargetMode="External" /><Relationship Type="http://schemas.openxmlformats.org/officeDocument/2006/relationships/hyperlink" Id="rId35" Target="https://doi.org/10.1007/s10816-011-9122-3" TargetMode="External" /><Relationship Type="http://schemas.openxmlformats.org/officeDocument/2006/relationships/hyperlink" Id="rId37" Target="https://doi.org/10.1016/j.jas.2009.12.012" TargetMode="External" /><Relationship Type="http://schemas.openxmlformats.org/officeDocument/2006/relationships/hyperlink" Id="rId31" Target="https://doi.org/10.1016/j.quaint.2016.12.019" TargetMode="External" /><Relationship Type="http://schemas.openxmlformats.org/officeDocument/2006/relationships/hyperlink" Id="rId52" Target="https://doi.org/10.1016/j.quascirev.2008.07.009" TargetMode="External" /><Relationship Type="http://schemas.openxmlformats.org/officeDocument/2006/relationships/hyperlink" Id="rId55" Target="https://doi.org/10.1017/RDC.2020.41" TargetMode="External" /><Relationship Type="http://schemas.openxmlformats.org/officeDocument/2006/relationships/hyperlink" Id="rId33" Target="https://doi.org/10.1017/S0033822200033865" TargetMode="External" /><Relationship Type="http://schemas.openxmlformats.org/officeDocument/2006/relationships/hyperlink" Id="rId45" Target="https://doi.org/10.1038/ngeo544" TargetMode="External" /><Relationship Type="http://schemas.openxmlformats.org/officeDocument/2006/relationships/hyperlink" Id="rId42" Target="https://doi.org/10.1080/00031305.2017.1375986" TargetMode="External" /><Relationship Type="http://schemas.openxmlformats.org/officeDocument/2006/relationships/hyperlink" Id="rId49" Target="https://doi.org/10.1086/628184" TargetMode="External" /><Relationship Type="http://schemas.openxmlformats.org/officeDocument/2006/relationships/hyperlink" Id="rId40" Target="https://doi.org/10.1177/2515245918770963" TargetMode="External" /><Relationship Type="http://schemas.openxmlformats.org/officeDocument/2006/relationships/hyperlink" Id="rId20" Target="mailto:fl@oneplace.edu" TargetMode="External" /></Relationships>
</file>

<file path=word/_rels/footnotes.xml.rels><?xml version="1.0" encoding="UTF-8"?><Relationships xmlns="http://schemas.openxmlformats.org/package/2006/relationships"><Relationship Type="http://schemas.openxmlformats.org/officeDocument/2006/relationships/hyperlink" Id="rId47" Target="http://dx.doi.org/10.1080/00291958708552171" TargetMode="External" /><Relationship Type="http://schemas.openxmlformats.org/officeDocument/2006/relationships/hyperlink" Id="rId61" Target="https://doi.org/10.1002/jqs.3390020205" TargetMode="External" /><Relationship Type="http://schemas.openxmlformats.org/officeDocument/2006/relationships/hyperlink" Id="rId35" Target="https://doi.org/10.1007/s10816-011-9122-3" TargetMode="External" /><Relationship Type="http://schemas.openxmlformats.org/officeDocument/2006/relationships/hyperlink" Id="rId37" Target="https://doi.org/10.1016/j.jas.2009.12.012" TargetMode="External" /><Relationship Type="http://schemas.openxmlformats.org/officeDocument/2006/relationships/hyperlink" Id="rId31" Target="https://doi.org/10.1016/j.quaint.2016.12.019" TargetMode="External" /><Relationship Type="http://schemas.openxmlformats.org/officeDocument/2006/relationships/hyperlink" Id="rId52" Target="https://doi.org/10.1016/j.quascirev.2008.07.009" TargetMode="External" /><Relationship Type="http://schemas.openxmlformats.org/officeDocument/2006/relationships/hyperlink" Id="rId55" Target="https://doi.org/10.1017/RDC.2020.41" TargetMode="External" /><Relationship Type="http://schemas.openxmlformats.org/officeDocument/2006/relationships/hyperlink" Id="rId33" Target="https://doi.org/10.1017/S0033822200033865" TargetMode="External" /><Relationship Type="http://schemas.openxmlformats.org/officeDocument/2006/relationships/hyperlink" Id="rId45" Target="https://doi.org/10.1038/ngeo544" TargetMode="External" /><Relationship Type="http://schemas.openxmlformats.org/officeDocument/2006/relationships/hyperlink" Id="rId42" Target="https://doi.org/10.1080/00031305.2017.1375986" TargetMode="External" /><Relationship Type="http://schemas.openxmlformats.org/officeDocument/2006/relationships/hyperlink" Id="rId49" Target="https://doi.org/10.1086/628184" TargetMode="External" /><Relationship Type="http://schemas.openxmlformats.org/officeDocument/2006/relationships/hyperlink" Id="rId40" Target="https://doi.org/10.1177/2515245918770963" TargetMode="External" /><Relationship Type="http://schemas.openxmlformats.org/officeDocument/2006/relationships/hyperlink" Id="rId20" Target="mailto:fl@oneplac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simulation-based assessment of the relation between Stone Age sites and relative sea-level change along the Norwegian Skagerrak coast</dc:title>
  <dc:creator>Myfirstname Mylastname1,✉, and Yourfirstname Yourlastname2</dc:creator>
  <cp:keywords/>
  <dcterms:created xsi:type="dcterms:W3CDTF">2021-11-28T10:56:05Z</dcterms:created>
  <dcterms:modified xsi:type="dcterms:W3CDTF">2021-11-28T10:56:05Z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28 November, 2021</vt:lpwstr>
  </property>
  <property fmtid="{D5CDD505-2E9C-101B-9397-08002B2CF9AE}" pid="6" name="highlights">
    <vt:lpwstr>These are the highlights.</vt:lpwstr>
  </property>
  <property fmtid="{D5CDD505-2E9C-101B-9397-08002B2CF9AE}" pid="7" name="output">
    <vt:lpwstr/>
  </property>
</Properties>
</file>