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Restore a DB to SSMS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Delete a DB – tick Close existing connections tickbox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50800" l="50800" r="50800" t="508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Right-click Database -&gt; Restore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50800" l="50800" r="50800" t="508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 -&gt; Device -&gt; Local machine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50800" l="50800" r="50800" t="508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add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50800" l="50800" r="50800" t="508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Change drop-down to All 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50800" l="50800" r="50800" t="508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Click Ok to complete import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change the Destination -&gt; database name if required.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50800" l="50800" r="50800" t="508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