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2849" w:rsidRPr="00C504AF" w:rsidRDefault="007E0408" w:rsidP="00BE2849">
      <w:pPr>
        <w:pBdr>
          <w:top w:val="single" w:sz="6" w:space="1" w:color="auto"/>
          <w:bottom w:val="single" w:sz="6" w:space="1" w:color="auto"/>
        </w:pBdr>
        <w:rPr>
          <w:rFonts w:cs="Arial"/>
          <w:b/>
          <w:color w:val="000000"/>
        </w:rPr>
      </w:pPr>
      <w:r>
        <w:rPr>
          <w:rFonts w:cs="Arial"/>
          <w:bCs/>
          <w:color w:val="FF0000"/>
          <w:sz w:val="32"/>
          <w:szCs w:val="27"/>
        </w:rPr>
        <w:t xml:space="preserve">201: </w:t>
      </w:r>
      <w:r w:rsidRPr="00C465CA">
        <w:rPr>
          <w:rFonts w:cs="Arial"/>
          <w:bCs/>
          <w:color w:val="FF0000"/>
          <w:sz w:val="32"/>
          <w:szCs w:val="27"/>
        </w:rPr>
        <w:t xml:space="preserve">Health and </w:t>
      </w:r>
      <w:r>
        <w:rPr>
          <w:rFonts w:cs="Arial"/>
          <w:bCs/>
          <w:color w:val="FF0000"/>
          <w:sz w:val="32"/>
          <w:szCs w:val="27"/>
        </w:rPr>
        <w:t>s</w:t>
      </w:r>
      <w:r w:rsidRPr="00C465CA">
        <w:rPr>
          <w:rFonts w:cs="Arial"/>
          <w:bCs/>
          <w:color w:val="FF0000"/>
          <w:sz w:val="32"/>
          <w:szCs w:val="27"/>
        </w:rPr>
        <w:t>afety in building services engineering</w:t>
      </w:r>
      <w:r w:rsidR="00B6304E">
        <w:rPr>
          <w:rFonts w:cs="Arial"/>
          <w:bCs/>
          <w:color w:val="FF0000"/>
          <w:sz w:val="32"/>
          <w:szCs w:val="27"/>
        </w:rPr>
        <w:br/>
      </w:r>
      <w:r w:rsidR="00BE2849" w:rsidRPr="00C504AF">
        <w:rPr>
          <w:rFonts w:cs="Arial"/>
          <w:b/>
          <w:color w:val="000000"/>
        </w:rPr>
        <w:t>Handout</w:t>
      </w:r>
      <w:r w:rsidR="00B6304E">
        <w:rPr>
          <w:rFonts w:cs="Arial"/>
          <w:b/>
          <w:color w:val="000000"/>
        </w:rPr>
        <w:t> </w:t>
      </w:r>
      <w:r w:rsidR="00BE2849">
        <w:rPr>
          <w:rFonts w:cs="Arial"/>
          <w:b/>
          <w:color w:val="000000"/>
        </w:rPr>
        <w:t>1</w:t>
      </w:r>
      <w:r w:rsidR="00BE2849" w:rsidRPr="00C504AF">
        <w:rPr>
          <w:rFonts w:cs="Arial"/>
          <w:b/>
          <w:color w:val="000000"/>
        </w:rPr>
        <w:t xml:space="preserve">: </w:t>
      </w:r>
      <w:r w:rsidRPr="007E0408">
        <w:rPr>
          <w:rFonts w:cs="Arial"/>
          <w:b/>
        </w:rPr>
        <w:t>Health and safety legislation</w:t>
      </w:r>
    </w:p>
    <w:p w:rsidR="007E0408" w:rsidRPr="007E0408" w:rsidRDefault="007E0408" w:rsidP="009A74A5">
      <w:pPr>
        <w:pStyle w:val="Default"/>
        <w:spacing w:before="120"/>
        <w:rPr>
          <w:color w:val="auto"/>
          <w:sz w:val="22"/>
          <w:szCs w:val="22"/>
        </w:rPr>
      </w:pPr>
      <w:r w:rsidRPr="007E0408">
        <w:rPr>
          <w:b/>
          <w:bCs/>
          <w:color w:val="auto"/>
          <w:sz w:val="22"/>
          <w:szCs w:val="22"/>
        </w:rPr>
        <w:t>Learning outcome</w:t>
      </w:r>
    </w:p>
    <w:p w:rsidR="007E0408" w:rsidRPr="007E0408" w:rsidRDefault="007E0408" w:rsidP="009F081F">
      <w:pPr>
        <w:pStyle w:val="Default"/>
        <w:rPr>
          <w:color w:val="auto"/>
          <w:sz w:val="22"/>
          <w:szCs w:val="22"/>
        </w:rPr>
      </w:pPr>
      <w:r w:rsidRPr="007E0408">
        <w:rPr>
          <w:color w:val="auto"/>
          <w:sz w:val="22"/>
          <w:szCs w:val="22"/>
        </w:rPr>
        <w:t>The learner will:</w:t>
      </w:r>
    </w:p>
    <w:p w:rsidR="007E0408" w:rsidRDefault="009A74A5" w:rsidP="009A74A5">
      <w:pPr>
        <w:pStyle w:val="Default"/>
        <w:numPr>
          <w:ilvl w:val="0"/>
          <w:numId w:val="21"/>
        </w:numPr>
        <w:spacing w:after="120"/>
        <w:rPr>
          <w:color w:val="auto"/>
          <w:sz w:val="22"/>
          <w:szCs w:val="22"/>
        </w:rPr>
      </w:pPr>
      <w:r w:rsidRPr="009A74A5">
        <w:rPr>
          <w:color w:val="auto"/>
          <w:sz w:val="22"/>
          <w:szCs w:val="22"/>
        </w:rPr>
        <w:t>Understand how relevant legislation applies in the workplace</w:t>
      </w:r>
    </w:p>
    <w:p w:rsidR="007E0408" w:rsidRPr="007E0408" w:rsidRDefault="007E0408" w:rsidP="009F081F">
      <w:pPr>
        <w:pStyle w:val="Default"/>
        <w:rPr>
          <w:color w:val="auto"/>
          <w:sz w:val="22"/>
          <w:szCs w:val="22"/>
        </w:rPr>
      </w:pPr>
      <w:r w:rsidRPr="007E0408">
        <w:rPr>
          <w:b/>
          <w:bCs/>
          <w:color w:val="auto"/>
          <w:sz w:val="22"/>
          <w:szCs w:val="22"/>
        </w:rPr>
        <w:t>Assessment Criteria</w:t>
      </w:r>
    </w:p>
    <w:p w:rsidR="007E0408" w:rsidRPr="007E0408" w:rsidRDefault="007E0408" w:rsidP="009F081F">
      <w:pPr>
        <w:pStyle w:val="Default"/>
        <w:rPr>
          <w:color w:val="auto"/>
          <w:sz w:val="22"/>
          <w:szCs w:val="22"/>
        </w:rPr>
      </w:pPr>
      <w:r>
        <w:rPr>
          <w:color w:val="auto"/>
          <w:sz w:val="22"/>
          <w:szCs w:val="22"/>
        </w:rPr>
        <w:t>The learner can:</w:t>
      </w:r>
    </w:p>
    <w:p w:rsidR="009A74A5" w:rsidRPr="009A74A5" w:rsidRDefault="009A74A5" w:rsidP="009A74A5">
      <w:pPr>
        <w:pStyle w:val="Default"/>
        <w:ind w:left="567" w:hanging="567"/>
        <w:rPr>
          <w:color w:val="auto"/>
          <w:sz w:val="22"/>
          <w:szCs w:val="22"/>
        </w:rPr>
      </w:pPr>
      <w:r>
        <w:rPr>
          <w:color w:val="auto"/>
          <w:sz w:val="22"/>
          <w:szCs w:val="22"/>
        </w:rPr>
        <w:t>1.1</w:t>
      </w:r>
      <w:r>
        <w:rPr>
          <w:color w:val="auto"/>
          <w:sz w:val="22"/>
          <w:szCs w:val="22"/>
        </w:rPr>
        <w:tab/>
      </w:r>
      <w:r w:rsidRPr="009A74A5">
        <w:rPr>
          <w:color w:val="auto"/>
          <w:sz w:val="22"/>
          <w:szCs w:val="22"/>
        </w:rPr>
        <w:t xml:space="preserve">identify </w:t>
      </w:r>
      <w:r w:rsidRPr="00B06D48">
        <w:rPr>
          <w:b/>
          <w:color w:val="auto"/>
          <w:sz w:val="22"/>
          <w:szCs w:val="22"/>
        </w:rPr>
        <w:t>roles</w:t>
      </w:r>
      <w:r w:rsidRPr="009A74A5">
        <w:rPr>
          <w:color w:val="auto"/>
          <w:sz w:val="22"/>
          <w:szCs w:val="22"/>
        </w:rPr>
        <w:t xml:space="preserve"> and responsibilities with regard to current </w:t>
      </w:r>
      <w:r w:rsidRPr="00B06D48">
        <w:rPr>
          <w:b/>
          <w:color w:val="auto"/>
          <w:sz w:val="22"/>
          <w:szCs w:val="22"/>
        </w:rPr>
        <w:t>relevant Health and Safety legislation</w:t>
      </w:r>
      <w:r w:rsidRPr="009A74A5">
        <w:rPr>
          <w:color w:val="auto"/>
          <w:sz w:val="22"/>
          <w:szCs w:val="22"/>
        </w:rPr>
        <w:t>.</w:t>
      </w:r>
    </w:p>
    <w:p w:rsidR="009A74A5" w:rsidRDefault="009A74A5" w:rsidP="009A74A5">
      <w:pPr>
        <w:pStyle w:val="Default"/>
        <w:spacing w:after="120"/>
        <w:ind w:left="567" w:hanging="567"/>
        <w:rPr>
          <w:color w:val="auto"/>
          <w:sz w:val="22"/>
          <w:szCs w:val="22"/>
        </w:rPr>
      </w:pPr>
      <w:r>
        <w:rPr>
          <w:color w:val="auto"/>
          <w:sz w:val="22"/>
          <w:szCs w:val="22"/>
        </w:rPr>
        <w:t>1.2</w:t>
      </w:r>
      <w:r>
        <w:rPr>
          <w:color w:val="auto"/>
          <w:sz w:val="22"/>
          <w:szCs w:val="22"/>
        </w:rPr>
        <w:tab/>
      </w:r>
      <w:r w:rsidRPr="009A74A5">
        <w:rPr>
          <w:color w:val="auto"/>
          <w:sz w:val="22"/>
          <w:szCs w:val="22"/>
        </w:rPr>
        <w:t xml:space="preserve">identify roles and responsibilities with regard to current </w:t>
      </w:r>
      <w:r w:rsidRPr="00B06D48">
        <w:rPr>
          <w:b/>
          <w:color w:val="auto"/>
          <w:sz w:val="22"/>
          <w:szCs w:val="22"/>
        </w:rPr>
        <w:t>relevant environmental legislation</w:t>
      </w:r>
      <w:r w:rsidR="00B06D48">
        <w:rPr>
          <w:color w:val="auto"/>
          <w:sz w:val="22"/>
          <w:szCs w:val="22"/>
        </w:rPr>
        <w:t>.</w:t>
      </w:r>
    </w:p>
    <w:p w:rsidR="007E0408" w:rsidRPr="007E0408" w:rsidRDefault="007E0408" w:rsidP="00922233">
      <w:pPr>
        <w:pStyle w:val="Default"/>
        <w:rPr>
          <w:color w:val="auto"/>
          <w:sz w:val="22"/>
          <w:szCs w:val="22"/>
        </w:rPr>
      </w:pPr>
      <w:r w:rsidRPr="007E0408">
        <w:rPr>
          <w:b/>
          <w:bCs/>
          <w:color w:val="auto"/>
          <w:sz w:val="22"/>
          <w:szCs w:val="22"/>
        </w:rPr>
        <w:t>Range</w:t>
      </w:r>
    </w:p>
    <w:p w:rsidR="00922233" w:rsidRPr="00922233" w:rsidRDefault="00922233" w:rsidP="00922233">
      <w:pPr>
        <w:pStyle w:val="Default"/>
        <w:rPr>
          <w:bCs/>
          <w:color w:val="auto"/>
          <w:sz w:val="22"/>
          <w:szCs w:val="22"/>
        </w:rPr>
      </w:pPr>
      <w:r w:rsidRPr="00922233">
        <w:rPr>
          <w:b/>
          <w:bCs/>
          <w:color w:val="auto"/>
          <w:sz w:val="22"/>
          <w:szCs w:val="22"/>
        </w:rPr>
        <w:t>Roles</w:t>
      </w:r>
      <w:r w:rsidRPr="00922233">
        <w:rPr>
          <w:bCs/>
          <w:color w:val="auto"/>
          <w:sz w:val="22"/>
          <w:szCs w:val="22"/>
        </w:rPr>
        <w:t>: Employers, Employees, Organisations, Clients.</w:t>
      </w:r>
    </w:p>
    <w:p w:rsidR="00922233" w:rsidRPr="00922233" w:rsidRDefault="00922233" w:rsidP="00922233">
      <w:pPr>
        <w:pStyle w:val="Default"/>
        <w:rPr>
          <w:bCs/>
          <w:color w:val="auto"/>
          <w:sz w:val="22"/>
          <w:szCs w:val="22"/>
        </w:rPr>
      </w:pPr>
      <w:r w:rsidRPr="00922233">
        <w:rPr>
          <w:b/>
          <w:bCs/>
          <w:color w:val="auto"/>
          <w:sz w:val="22"/>
          <w:szCs w:val="22"/>
        </w:rPr>
        <w:t>Relevant Health and Safety legislation</w:t>
      </w:r>
      <w:r w:rsidRPr="00922233">
        <w:rPr>
          <w:bCs/>
          <w:color w:val="auto"/>
          <w:sz w:val="22"/>
          <w:szCs w:val="22"/>
        </w:rPr>
        <w:t xml:space="preserve">: </w:t>
      </w:r>
      <w:r w:rsidR="00E74393" w:rsidRPr="00E74393">
        <w:rPr>
          <w:bCs/>
          <w:color w:val="auto"/>
          <w:sz w:val="22"/>
          <w:szCs w:val="22"/>
        </w:rPr>
        <w:t>Health and Safety at Work etc Act 1974</w:t>
      </w:r>
      <w:r w:rsidRPr="00B321CF">
        <w:rPr>
          <w:bCs/>
          <w:color w:val="auto"/>
          <w:sz w:val="22"/>
          <w:szCs w:val="22"/>
        </w:rPr>
        <w:t>, The Electricity at Work Regulations, The Management of Health and Safety at Work Regulations, Workplace (Health and Safety and Welfare) Regulations, Control of Substances Hazardous to Health (COSHH) Regulations, Working at Height Regulations, Personal Protective Equipment at Work Regulations, Manual Handling Operations Regulations, Provision and Use of Work Equipment Regulations, Control of Asbestos at Work Regulations</w:t>
      </w:r>
      <w:r w:rsidRPr="00922233">
        <w:rPr>
          <w:bCs/>
          <w:color w:val="auto"/>
          <w:sz w:val="22"/>
          <w:szCs w:val="22"/>
        </w:rPr>
        <w:t>.</w:t>
      </w:r>
    </w:p>
    <w:p w:rsidR="007E0408" w:rsidRDefault="00922233" w:rsidP="00922233">
      <w:pPr>
        <w:pStyle w:val="Default"/>
        <w:rPr>
          <w:color w:val="auto"/>
          <w:sz w:val="22"/>
          <w:szCs w:val="22"/>
        </w:rPr>
      </w:pPr>
      <w:r w:rsidRPr="00922233">
        <w:rPr>
          <w:b/>
          <w:bCs/>
          <w:color w:val="auto"/>
          <w:sz w:val="22"/>
          <w:szCs w:val="22"/>
        </w:rPr>
        <w:t>Relevant environmental legislation</w:t>
      </w:r>
      <w:r w:rsidRPr="00922233">
        <w:rPr>
          <w:bCs/>
          <w:color w:val="auto"/>
          <w:sz w:val="22"/>
          <w:szCs w:val="22"/>
        </w:rPr>
        <w:t>: Control of Asbestos at Work Regulations, Environmental Protection Act, The Hazardous Waste Regulations, Pollution Prevention and Control Act, Control of Pollution Act, The Control of Noise at Work Regulations, The Waste Electrical and E</w:t>
      </w:r>
      <w:r>
        <w:rPr>
          <w:bCs/>
          <w:color w:val="auto"/>
          <w:sz w:val="22"/>
          <w:szCs w:val="22"/>
        </w:rPr>
        <w:t>lectronic Equipment Regulations</w:t>
      </w:r>
      <w:r w:rsidR="009F081F" w:rsidRPr="00922233">
        <w:rPr>
          <w:color w:val="auto"/>
          <w:sz w:val="22"/>
          <w:szCs w:val="22"/>
        </w:rPr>
        <w:t>.</w:t>
      </w:r>
    </w:p>
    <w:p w:rsidR="00922233" w:rsidRDefault="00553544" w:rsidP="000702A9">
      <w:pPr>
        <w:pStyle w:val="Default"/>
        <w:spacing w:after="120"/>
        <w:jc w:val="center"/>
        <w:rPr>
          <w:color w:val="auto"/>
          <w:sz w:val="22"/>
          <w:szCs w:val="22"/>
        </w:rPr>
      </w:pPr>
      <w:r>
        <w:rPr>
          <w:color w:val="auto"/>
          <w:sz w:val="22"/>
          <w:szCs w:val="22"/>
        </w:rPr>
        <w:pict>
          <v:rect id="_x0000_i1025" style="width:0;height:1.5pt" o:hralign="center" o:hrstd="t" o:hr="t" fillcolor="#a0a0a0" stroked="f"/>
        </w:pict>
      </w:r>
    </w:p>
    <w:p w:rsidR="007E0408" w:rsidRDefault="007E0408" w:rsidP="000702A9">
      <w:pPr>
        <w:pStyle w:val="Default"/>
        <w:spacing w:after="120"/>
        <w:jc w:val="center"/>
        <w:rPr>
          <w:b/>
          <w:bCs/>
          <w:color w:val="auto"/>
        </w:rPr>
      </w:pPr>
      <w:r w:rsidRPr="00894B5F">
        <w:rPr>
          <w:b/>
          <w:bCs/>
          <w:color w:val="auto"/>
        </w:rPr>
        <w:t>Health and Safety Legislation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6629"/>
        <w:gridCol w:w="2657"/>
      </w:tblGrid>
      <w:tr w:rsidR="0078013B" w:rsidTr="00EC117E">
        <w:tc>
          <w:tcPr>
            <w:tcW w:w="6629" w:type="dxa"/>
          </w:tcPr>
          <w:p w:rsidR="0078013B" w:rsidRDefault="0078013B" w:rsidP="00B06D48">
            <w:r w:rsidRPr="007E0408">
              <w:t xml:space="preserve">Health, safety and welfare legislation has increased the awareness of everyone to the risks involved in the workplace. All Acts of Parliament must be obeyed and, therefore, we all need an understanding of the laws as they apply to </w:t>
            </w:r>
            <w:r>
              <w:t>the building services industry.</w:t>
            </w:r>
          </w:p>
          <w:p w:rsidR="0078013B" w:rsidRDefault="0078013B" w:rsidP="00B06D48">
            <w:r w:rsidRPr="007E0408">
              <w:t>There are several pieces of legislation that, directly or indirectly, impact on safety in the workplace. Statutory legislation results from the passing of an Act of Parliament. It may be interpreted by the courts as the result of test cases brought before them. Such Acts are supported by Regulations which, although not in themselves statutory, amplify the law.</w:t>
            </w:r>
          </w:p>
        </w:tc>
        <w:tc>
          <w:tcPr>
            <w:tcW w:w="2657" w:type="dxa"/>
            <w:vAlign w:val="center"/>
          </w:tcPr>
          <w:p w:rsidR="0078013B" w:rsidRDefault="0078013B" w:rsidP="0078013B">
            <w:pPr>
              <w:pStyle w:val="Default"/>
              <w:jc w:val="right"/>
              <w:rPr>
                <w:color w:val="auto"/>
                <w:sz w:val="22"/>
                <w:szCs w:val="22"/>
              </w:rPr>
            </w:pPr>
            <w:r>
              <w:rPr>
                <w:noProof/>
                <w:color w:val="auto"/>
                <w:sz w:val="22"/>
                <w:szCs w:val="22"/>
                <w:lang w:eastAsia="en-GB"/>
              </w:rPr>
              <w:drawing>
                <wp:inline distT="0" distB="0" distL="0" distR="0">
                  <wp:extent cx="1529773" cy="1514475"/>
                  <wp:effectExtent l="19050" t="0" r="0" b="0"/>
                  <wp:docPr id="1" name="Picture 0" descr="01 Hse 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Hse Logo.gif"/>
                          <pic:cNvPicPr/>
                        </pic:nvPicPr>
                        <pic:blipFill>
                          <a:blip r:embed="rId7"/>
                          <a:stretch>
                            <a:fillRect/>
                          </a:stretch>
                        </pic:blipFill>
                        <pic:spPr>
                          <a:xfrm>
                            <a:off x="0" y="0"/>
                            <a:ext cx="1529773" cy="1514475"/>
                          </a:xfrm>
                          <a:prstGeom prst="rect">
                            <a:avLst/>
                          </a:prstGeom>
                        </pic:spPr>
                      </pic:pic>
                    </a:graphicData>
                  </a:graphic>
                </wp:inline>
              </w:drawing>
            </w:r>
          </w:p>
        </w:tc>
      </w:tr>
    </w:tbl>
    <w:p w:rsidR="007E0408" w:rsidRDefault="007E0408" w:rsidP="000702A9">
      <w:pPr>
        <w:pStyle w:val="Default"/>
        <w:spacing w:after="120"/>
        <w:rPr>
          <w:color w:val="auto"/>
          <w:sz w:val="22"/>
          <w:szCs w:val="22"/>
        </w:rPr>
      </w:pPr>
      <w:r w:rsidRPr="007E0408">
        <w:rPr>
          <w:color w:val="auto"/>
          <w:sz w:val="22"/>
          <w:szCs w:val="22"/>
        </w:rPr>
        <w:t>When interpreting these Acts and Regulations the following definitions apply:</w:t>
      </w:r>
    </w:p>
    <w:p w:rsidR="007E0408" w:rsidRDefault="007E0408" w:rsidP="000702A9">
      <w:pPr>
        <w:pStyle w:val="Default"/>
        <w:spacing w:after="120"/>
        <w:rPr>
          <w:color w:val="auto"/>
          <w:sz w:val="22"/>
          <w:szCs w:val="22"/>
        </w:rPr>
      </w:pPr>
      <w:r w:rsidRPr="007E0408">
        <w:rPr>
          <w:b/>
          <w:bCs/>
          <w:color w:val="auto"/>
          <w:sz w:val="22"/>
          <w:szCs w:val="22"/>
        </w:rPr>
        <w:t>Employer</w:t>
      </w:r>
      <w:r w:rsidRPr="00B06D48">
        <w:rPr>
          <w:bCs/>
          <w:color w:val="auto"/>
          <w:sz w:val="22"/>
          <w:szCs w:val="22"/>
        </w:rPr>
        <w:t xml:space="preserve"> </w:t>
      </w:r>
      <w:r w:rsidRPr="007E0408">
        <w:rPr>
          <w:color w:val="auto"/>
          <w:sz w:val="22"/>
          <w:szCs w:val="22"/>
        </w:rPr>
        <w:t>– A person or body that employs one or more persons under a contract of employment.</w:t>
      </w:r>
    </w:p>
    <w:p w:rsidR="007E0408" w:rsidRDefault="007E0408" w:rsidP="000702A9">
      <w:pPr>
        <w:pStyle w:val="Default"/>
        <w:spacing w:after="120"/>
        <w:rPr>
          <w:color w:val="auto"/>
          <w:sz w:val="22"/>
          <w:szCs w:val="22"/>
        </w:rPr>
      </w:pPr>
      <w:r w:rsidRPr="007E0408">
        <w:rPr>
          <w:b/>
          <w:bCs/>
          <w:color w:val="auto"/>
          <w:sz w:val="22"/>
          <w:szCs w:val="22"/>
        </w:rPr>
        <w:t>Employee</w:t>
      </w:r>
      <w:r w:rsidRPr="00B06D48">
        <w:rPr>
          <w:bCs/>
          <w:color w:val="auto"/>
          <w:sz w:val="22"/>
          <w:szCs w:val="22"/>
        </w:rPr>
        <w:t xml:space="preserve"> </w:t>
      </w:r>
      <w:r w:rsidRPr="007E0408">
        <w:rPr>
          <w:color w:val="auto"/>
          <w:sz w:val="22"/>
          <w:szCs w:val="22"/>
        </w:rPr>
        <w:t>– A person employed by an employer under a contract of employ</w:t>
      </w:r>
      <w:r w:rsidR="00052405">
        <w:rPr>
          <w:color w:val="auto"/>
          <w:sz w:val="22"/>
          <w:szCs w:val="22"/>
        </w:rPr>
        <w:t>ment</w:t>
      </w:r>
      <w:r w:rsidRPr="007E0408">
        <w:rPr>
          <w:color w:val="auto"/>
          <w:sz w:val="22"/>
          <w:szCs w:val="22"/>
        </w:rPr>
        <w:t>.</w:t>
      </w:r>
    </w:p>
    <w:p w:rsidR="007E0408" w:rsidRPr="00616CE4" w:rsidRDefault="00B06D48" w:rsidP="000702A9">
      <w:pPr>
        <w:pStyle w:val="Default"/>
        <w:spacing w:after="120"/>
        <w:rPr>
          <w:color w:val="auto"/>
          <w:sz w:val="22"/>
          <w:szCs w:val="22"/>
        </w:rPr>
      </w:pPr>
      <w:r w:rsidRPr="00616CE4">
        <w:rPr>
          <w:b/>
          <w:bCs/>
          <w:color w:val="auto"/>
          <w:sz w:val="22"/>
          <w:szCs w:val="22"/>
        </w:rPr>
        <w:t>Organisations</w:t>
      </w:r>
      <w:r w:rsidR="007E0408" w:rsidRPr="00616CE4">
        <w:rPr>
          <w:bCs/>
          <w:color w:val="auto"/>
          <w:sz w:val="22"/>
          <w:szCs w:val="22"/>
        </w:rPr>
        <w:t xml:space="preserve"> </w:t>
      </w:r>
      <w:r w:rsidR="007E0408" w:rsidRPr="00616CE4">
        <w:rPr>
          <w:color w:val="auto"/>
          <w:sz w:val="22"/>
          <w:szCs w:val="22"/>
        </w:rPr>
        <w:t>–</w:t>
      </w:r>
      <w:r w:rsidR="00616CE4" w:rsidRPr="00616CE4">
        <w:rPr>
          <w:color w:val="auto"/>
          <w:sz w:val="22"/>
          <w:szCs w:val="22"/>
        </w:rPr>
        <w:t xml:space="preserve"> An organisation is an entity comprising multiple people, such as an institution or an association, that has a collective goal and is linked to an external environment</w:t>
      </w:r>
      <w:r w:rsidR="007E0408" w:rsidRPr="00616CE4">
        <w:rPr>
          <w:color w:val="auto"/>
          <w:sz w:val="22"/>
          <w:szCs w:val="22"/>
        </w:rPr>
        <w:t>.</w:t>
      </w:r>
    </w:p>
    <w:p w:rsidR="007E0408" w:rsidRDefault="00E74393" w:rsidP="000702A9">
      <w:pPr>
        <w:pStyle w:val="Default"/>
        <w:spacing w:after="120"/>
        <w:rPr>
          <w:color w:val="auto"/>
          <w:sz w:val="22"/>
          <w:szCs w:val="22"/>
        </w:rPr>
      </w:pPr>
      <w:r w:rsidRPr="00616CE4">
        <w:rPr>
          <w:b/>
          <w:bCs/>
          <w:color w:val="auto"/>
          <w:sz w:val="22"/>
          <w:szCs w:val="22"/>
        </w:rPr>
        <w:t>Clients</w:t>
      </w:r>
      <w:r w:rsidR="007E0408" w:rsidRPr="00616CE4">
        <w:rPr>
          <w:bCs/>
          <w:color w:val="auto"/>
          <w:sz w:val="22"/>
          <w:szCs w:val="22"/>
        </w:rPr>
        <w:t xml:space="preserve"> </w:t>
      </w:r>
      <w:r w:rsidR="007E0408" w:rsidRPr="00616CE4">
        <w:rPr>
          <w:color w:val="auto"/>
          <w:sz w:val="22"/>
          <w:szCs w:val="22"/>
        </w:rPr>
        <w:t>–</w:t>
      </w:r>
      <w:r w:rsidR="00616CE4">
        <w:rPr>
          <w:color w:val="auto"/>
          <w:sz w:val="22"/>
          <w:szCs w:val="22"/>
        </w:rPr>
        <w:t xml:space="preserve"> </w:t>
      </w:r>
      <w:r w:rsidR="00B32255" w:rsidRPr="00B32255">
        <w:rPr>
          <w:color w:val="auto"/>
          <w:sz w:val="22"/>
          <w:szCs w:val="22"/>
        </w:rPr>
        <w:t>a person or organi</w:t>
      </w:r>
      <w:r w:rsidR="00B32255">
        <w:rPr>
          <w:color w:val="auto"/>
          <w:sz w:val="22"/>
          <w:szCs w:val="22"/>
        </w:rPr>
        <w:t>s</w:t>
      </w:r>
      <w:r w:rsidR="00B32255" w:rsidRPr="00B32255">
        <w:rPr>
          <w:color w:val="auto"/>
          <w:sz w:val="22"/>
          <w:szCs w:val="22"/>
        </w:rPr>
        <w:t xml:space="preserve">ation using the services of </w:t>
      </w:r>
      <w:r w:rsidR="00B32255">
        <w:rPr>
          <w:color w:val="auto"/>
          <w:sz w:val="22"/>
          <w:szCs w:val="22"/>
        </w:rPr>
        <w:t>the company. In other words, the customer.</w:t>
      </w:r>
    </w:p>
    <w:p w:rsidR="007E0408" w:rsidRDefault="007E0408" w:rsidP="000702A9">
      <w:pPr>
        <w:pStyle w:val="Default"/>
        <w:spacing w:after="120"/>
        <w:rPr>
          <w:color w:val="auto"/>
          <w:sz w:val="22"/>
          <w:szCs w:val="22"/>
        </w:rPr>
      </w:pPr>
      <w:r w:rsidRPr="007E0408">
        <w:rPr>
          <w:b/>
          <w:bCs/>
          <w:color w:val="auto"/>
          <w:sz w:val="22"/>
          <w:szCs w:val="22"/>
        </w:rPr>
        <w:t>Statutory</w:t>
      </w:r>
      <w:r w:rsidRPr="00B06D48">
        <w:rPr>
          <w:bCs/>
          <w:color w:val="auto"/>
          <w:sz w:val="22"/>
          <w:szCs w:val="22"/>
        </w:rPr>
        <w:t xml:space="preserve"> </w:t>
      </w:r>
      <w:r w:rsidRPr="007E0408">
        <w:rPr>
          <w:color w:val="auto"/>
          <w:sz w:val="22"/>
          <w:szCs w:val="22"/>
        </w:rPr>
        <w:t>– This means that it is binding in law and is a criminal act to contravene it.</w:t>
      </w:r>
    </w:p>
    <w:p w:rsidR="000702A9" w:rsidRPr="007E0408" w:rsidRDefault="000702A9" w:rsidP="000702A9">
      <w:pPr>
        <w:pStyle w:val="Default"/>
        <w:spacing w:after="120"/>
        <w:rPr>
          <w:color w:val="auto"/>
          <w:sz w:val="22"/>
          <w:szCs w:val="22"/>
        </w:rPr>
      </w:pPr>
      <w:r w:rsidRPr="000702A9">
        <w:rPr>
          <w:b/>
          <w:color w:val="auto"/>
          <w:sz w:val="22"/>
          <w:szCs w:val="22"/>
        </w:rPr>
        <w:t>Non-statutory</w:t>
      </w:r>
      <w:r>
        <w:rPr>
          <w:color w:val="auto"/>
          <w:sz w:val="22"/>
          <w:szCs w:val="22"/>
        </w:rPr>
        <w:t xml:space="preserve"> – Not legally binding. However, many non</w:t>
      </w:r>
      <w:r>
        <w:rPr>
          <w:color w:val="auto"/>
          <w:sz w:val="22"/>
          <w:szCs w:val="22"/>
        </w:rPr>
        <w:noBreakHyphen/>
        <w:t>statutory regulations are based on statutory ones so breaking them could mean that a law may have been broken somewhere.</w:t>
      </w:r>
    </w:p>
    <w:p w:rsidR="007E0408" w:rsidRPr="007E0408" w:rsidRDefault="00894B5F" w:rsidP="000702A9">
      <w:pPr>
        <w:pStyle w:val="Default"/>
        <w:spacing w:after="120"/>
        <w:rPr>
          <w:color w:val="auto"/>
          <w:sz w:val="22"/>
          <w:szCs w:val="22"/>
        </w:rPr>
      </w:pPr>
      <w:r>
        <w:rPr>
          <w:color w:val="auto"/>
          <w:sz w:val="22"/>
          <w:szCs w:val="22"/>
        </w:rPr>
        <w:br w:type="page"/>
      </w:r>
    </w:p>
    <w:p w:rsidR="007E0408" w:rsidRPr="003D1AB0" w:rsidRDefault="007E0408" w:rsidP="0078013B">
      <w:pPr>
        <w:pStyle w:val="Default"/>
        <w:spacing w:after="120"/>
        <w:rPr>
          <w:b/>
          <w:bCs/>
          <w:color w:val="auto"/>
          <w:sz w:val="22"/>
          <w:szCs w:val="22"/>
        </w:rPr>
      </w:pPr>
      <w:r w:rsidRPr="003D1AB0">
        <w:rPr>
          <w:b/>
          <w:bCs/>
          <w:color w:val="auto"/>
          <w:sz w:val="22"/>
          <w:szCs w:val="22"/>
        </w:rPr>
        <w:lastRenderedPageBreak/>
        <w:t>Status of Acts &amp; Regulations</w:t>
      </w:r>
    </w:p>
    <w:p w:rsidR="007E0408" w:rsidRPr="003D1AB0" w:rsidRDefault="007E0408" w:rsidP="0078013B">
      <w:pPr>
        <w:pStyle w:val="Default"/>
        <w:spacing w:after="120"/>
        <w:rPr>
          <w:color w:val="auto"/>
          <w:sz w:val="22"/>
          <w:szCs w:val="22"/>
        </w:rPr>
      </w:pPr>
      <w:r w:rsidRPr="003D1AB0">
        <w:rPr>
          <w:b/>
          <w:bCs/>
          <w:color w:val="auto"/>
          <w:sz w:val="22"/>
          <w:szCs w:val="22"/>
        </w:rPr>
        <w:t xml:space="preserve">Acts (of Parliament) </w:t>
      </w:r>
      <w:r w:rsidRPr="003D1AB0">
        <w:rPr>
          <w:color w:val="auto"/>
          <w:sz w:val="22"/>
          <w:szCs w:val="22"/>
        </w:rPr>
        <w:t>are ‘</w:t>
      </w:r>
      <w:r w:rsidRPr="00E74393">
        <w:rPr>
          <w:b/>
          <w:bCs/>
          <w:i/>
          <w:iCs/>
          <w:color w:val="FF0000"/>
          <w:sz w:val="22"/>
          <w:szCs w:val="22"/>
        </w:rPr>
        <w:t>statutory</w:t>
      </w:r>
      <w:r w:rsidRPr="003D1AB0">
        <w:rPr>
          <w:color w:val="auto"/>
          <w:sz w:val="22"/>
          <w:szCs w:val="22"/>
        </w:rPr>
        <w:t xml:space="preserve">’ that means they are legally binding and therefore enforceable by law. Certain </w:t>
      </w:r>
      <w:r w:rsidRPr="00E74393">
        <w:rPr>
          <w:b/>
          <w:bCs/>
          <w:color w:val="FF0000"/>
          <w:sz w:val="22"/>
          <w:szCs w:val="22"/>
        </w:rPr>
        <w:t>Regulations</w:t>
      </w:r>
      <w:r w:rsidRPr="003D1AB0">
        <w:rPr>
          <w:b/>
          <w:bCs/>
          <w:color w:val="auto"/>
          <w:sz w:val="22"/>
          <w:szCs w:val="22"/>
        </w:rPr>
        <w:t xml:space="preserve"> </w:t>
      </w:r>
      <w:r w:rsidRPr="003D1AB0">
        <w:rPr>
          <w:color w:val="auto"/>
          <w:sz w:val="22"/>
          <w:szCs w:val="22"/>
        </w:rPr>
        <w:t xml:space="preserve">are made under </w:t>
      </w:r>
      <w:r w:rsidRPr="00E74393">
        <w:rPr>
          <w:b/>
          <w:bCs/>
          <w:color w:val="FF0000"/>
          <w:sz w:val="22"/>
          <w:szCs w:val="22"/>
        </w:rPr>
        <w:t xml:space="preserve">Acts of Parliament </w:t>
      </w:r>
      <w:r w:rsidRPr="003D1AB0">
        <w:rPr>
          <w:color w:val="auto"/>
          <w:sz w:val="22"/>
          <w:szCs w:val="22"/>
        </w:rPr>
        <w:t>and, as a result, are also statutory.</w:t>
      </w:r>
    </w:p>
    <w:p w:rsidR="007E0408" w:rsidRPr="003D1AB0" w:rsidRDefault="007E0408" w:rsidP="0078013B">
      <w:pPr>
        <w:pStyle w:val="Default"/>
        <w:spacing w:after="120"/>
        <w:rPr>
          <w:color w:val="auto"/>
          <w:sz w:val="22"/>
          <w:szCs w:val="22"/>
        </w:rPr>
      </w:pPr>
      <w:r w:rsidRPr="003D1AB0">
        <w:rPr>
          <w:color w:val="auto"/>
          <w:sz w:val="22"/>
          <w:szCs w:val="22"/>
        </w:rPr>
        <w:t xml:space="preserve">Regulations made under health and safety legislation are sometimes supplemented by Codes of Practice approved and/or issued by the Health and Safety Commission. </w:t>
      </w:r>
      <w:r w:rsidRPr="00E74393">
        <w:rPr>
          <w:b/>
          <w:bCs/>
          <w:color w:val="FF0000"/>
          <w:sz w:val="22"/>
          <w:szCs w:val="22"/>
        </w:rPr>
        <w:t xml:space="preserve">Approved Codes of </w:t>
      </w:r>
      <w:r w:rsidRPr="003D1AB0">
        <w:rPr>
          <w:b/>
          <w:bCs/>
          <w:color w:val="auto"/>
          <w:sz w:val="22"/>
          <w:szCs w:val="22"/>
        </w:rPr>
        <w:t xml:space="preserve">Practice </w:t>
      </w:r>
      <w:r w:rsidR="00DD7560" w:rsidRPr="003D1AB0">
        <w:rPr>
          <w:color w:val="auto"/>
          <w:sz w:val="22"/>
          <w:szCs w:val="22"/>
        </w:rPr>
        <w:t>gives</w:t>
      </w:r>
      <w:r w:rsidRPr="003D1AB0">
        <w:rPr>
          <w:color w:val="auto"/>
          <w:sz w:val="22"/>
          <w:szCs w:val="22"/>
        </w:rPr>
        <w:t xml:space="preserve"> practical guidance on compliance. Failure to comply with an Approved Code of Practice is not an offence in itself. However, these codes have special legal status. If an employer/individual faces criminal prosecution under health and safety law, and it is proved that the advice of the Approved Code of Practice has not been followed, a court can regard it as evidence of guilt unless it is satisfied that the employer/individual has complied with the law in some other way. Following Approved Codes of Practice is there</w:t>
      </w:r>
      <w:r w:rsidR="003D1AB0" w:rsidRPr="003D1AB0">
        <w:rPr>
          <w:color w:val="auto"/>
          <w:sz w:val="22"/>
          <w:szCs w:val="22"/>
        </w:rPr>
        <w:t>fore regarded as best practice.</w:t>
      </w:r>
    </w:p>
    <w:p w:rsidR="007E0408" w:rsidRPr="003D1AB0" w:rsidRDefault="007E0408" w:rsidP="0078013B">
      <w:pPr>
        <w:pStyle w:val="Default"/>
        <w:spacing w:after="120"/>
        <w:rPr>
          <w:color w:val="auto"/>
          <w:sz w:val="22"/>
          <w:szCs w:val="22"/>
        </w:rPr>
      </w:pPr>
      <w:r w:rsidRPr="003D1AB0">
        <w:rPr>
          <w:color w:val="auto"/>
          <w:sz w:val="22"/>
          <w:szCs w:val="22"/>
        </w:rPr>
        <w:t>Other Regulations have advisory/guidance purposes only and as a result they are ‘</w:t>
      </w:r>
      <w:r w:rsidRPr="00E74393">
        <w:rPr>
          <w:b/>
          <w:bCs/>
          <w:i/>
          <w:iCs/>
          <w:color w:val="FF0000"/>
          <w:sz w:val="22"/>
          <w:szCs w:val="22"/>
        </w:rPr>
        <w:t>non-statutory</w:t>
      </w:r>
      <w:r w:rsidRPr="003D1AB0">
        <w:rPr>
          <w:color w:val="auto"/>
          <w:sz w:val="22"/>
          <w:szCs w:val="22"/>
        </w:rPr>
        <w:t>’, that is, they cann</w:t>
      </w:r>
      <w:r w:rsidR="003D1AB0" w:rsidRPr="003D1AB0">
        <w:rPr>
          <w:color w:val="auto"/>
          <w:sz w:val="22"/>
          <w:szCs w:val="22"/>
        </w:rPr>
        <w:t>ot be enforced by law.</w:t>
      </w:r>
    </w:p>
    <w:p w:rsidR="007E0408" w:rsidRDefault="007E0408" w:rsidP="0078013B">
      <w:pPr>
        <w:pStyle w:val="Default"/>
        <w:spacing w:after="120"/>
        <w:rPr>
          <w:color w:val="auto"/>
          <w:sz w:val="22"/>
          <w:szCs w:val="22"/>
        </w:rPr>
      </w:pPr>
      <w:r w:rsidRPr="003D1AB0">
        <w:rPr>
          <w:color w:val="auto"/>
          <w:sz w:val="22"/>
          <w:szCs w:val="22"/>
        </w:rPr>
        <w:t>However, non-statutory Regulations are generally considered to reflect standards of good practice and may be cited in a court of law. Additionally, although certain Regulations have no legal status themselves, they are based on Acts/Regulations that are statutory and consequently, breaking the non-statutory Regulations will often result in breaking one or more statutory Acts or Regulations.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7338"/>
        <w:gridCol w:w="1948"/>
      </w:tblGrid>
      <w:tr w:rsidR="0078013B" w:rsidTr="00EC117E">
        <w:tc>
          <w:tcPr>
            <w:tcW w:w="7338" w:type="dxa"/>
          </w:tcPr>
          <w:p w:rsidR="002531A4" w:rsidRDefault="002531A4" w:rsidP="0078013B">
            <w:pPr>
              <w:rPr>
                <w:rFonts w:cs="Arial"/>
                <w:szCs w:val="22"/>
              </w:rPr>
            </w:pPr>
            <w:r w:rsidRPr="00E74393">
              <w:rPr>
                <w:rFonts w:cs="Arial"/>
                <w:b/>
                <w:szCs w:val="22"/>
              </w:rPr>
              <w:t>Health and Safety at Work etc Act</w:t>
            </w:r>
            <w:r>
              <w:rPr>
                <w:rFonts w:cs="Arial"/>
                <w:b/>
                <w:szCs w:val="22"/>
              </w:rPr>
              <w:br/>
            </w:r>
            <w:r w:rsidRPr="005A2EA9">
              <w:rPr>
                <w:rFonts w:cs="Arial"/>
                <w:szCs w:val="22"/>
              </w:rPr>
              <w:t>This covers all places where work is carried out. The ‘etc’ was added to cover voluntary work etc. All persons are responsible for their own and others safety.</w:t>
            </w:r>
          </w:p>
          <w:p w:rsidR="0078013B" w:rsidRDefault="0078013B" w:rsidP="002531A4">
            <w:pPr>
              <w:rPr>
                <w:rFonts w:cs="Arial"/>
              </w:rPr>
            </w:pPr>
            <w:r w:rsidRPr="005A2EA9">
              <w:rPr>
                <w:rFonts w:cs="Arial"/>
                <w:b/>
                <w:szCs w:val="22"/>
              </w:rPr>
              <w:t>The Electricity at work regulations</w:t>
            </w:r>
            <w:r>
              <w:rPr>
                <w:rFonts w:cs="Arial"/>
                <w:b/>
                <w:szCs w:val="22"/>
              </w:rPr>
              <w:br/>
            </w:r>
            <w:r w:rsidRPr="005A2EA9">
              <w:rPr>
                <w:rFonts w:cs="Arial"/>
                <w:szCs w:val="22"/>
              </w:rPr>
              <w:t>There are currently 33</w:t>
            </w:r>
            <w:r>
              <w:rPr>
                <w:rFonts w:cs="Arial"/>
                <w:szCs w:val="22"/>
              </w:rPr>
              <w:t> </w:t>
            </w:r>
            <w:r w:rsidRPr="005A2EA9">
              <w:rPr>
                <w:rFonts w:cs="Arial"/>
                <w:szCs w:val="22"/>
              </w:rPr>
              <w:t>regulations of which 1-16 and 29 are the most relevant to most electricians. This is a legal (statutory) document whereas the wiring regulations (BS 7671) are not.</w:t>
            </w:r>
            <w:r w:rsidR="00B321CF">
              <w:rPr>
                <w:rFonts w:cs="Arial"/>
                <w:szCs w:val="22"/>
              </w:rPr>
              <w:t xml:space="preserve"> They cover the use of electricity by everyone </w:t>
            </w:r>
            <w:r w:rsidR="002531A4">
              <w:rPr>
                <w:rFonts w:cs="Arial"/>
                <w:szCs w:val="22"/>
              </w:rPr>
              <w:t xml:space="preserve">in the workplace, </w:t>
            </w:r>
            <w:r w:rsidR="00B321CF">
              <w:rPr>
                <w:rFonts w:cs="Arial"/>
                <w:szCs w:val="22"/>
              </w:rPr>
              <w:t>not just electricians.</w:t>
            </w:r>
          </w:p>
        </w:tc>
        <w:tc>
          <w:tcPr>
            <w:tcW w:w="1948" w:type="dxa"/>
            <w:vAlign w:val="center"/>
          </w:tcPr>
          <w:p w:rsidR="0078013B" w:rsidRDefault="0078013B" w:rsidP="0078013B">
            <w:pPr>
              <w:jc w:val="right"/>
              <w:rPr>
                <w:rFonts w:cs="Arial"/>
                <w:szCs w:val="22"/>
              </w:rPr>
            </w:pPr>
            <w:r>
              <w:rPr>
                <w:rFonts w:cs="Arial"/>
                <w:noProof/>
                <w:szCs w:val="22"/>
              </w:rPr>
              <w:drawing>
                <wp:inline distT="0" distB="0" distL="0" distR="0">
                  <wp:extent cx="1023112" cy="1447800"/>
                  <wp:effectExtent l="19050" t="0" r="5588" b="0"/>
                  <wp:docPr id="2" name="Picture 1" descr="02 EAW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2 EAWR.JPG"/>
                          <pic:cNvPicPr/>
                        </pic:nvPicPr>
                        <pic:blipFill>
                          <a:blip r:embed="rId8"/>
                          <a:stretch>
                            <a:fillRect/>
                          </a:stretch>
                        </pic:blipFill>
                        <pic:spPr>
                          <a:xfrm>
                            <a:off x="0" y="0"/>
                            <a:ext cx="1021674" cy="1445766"/>
                          </a:xfrm>
                          <a:prstGeom prst="rect">
                            <a:avLst/>
                          </a:prstGeom>
                        </pic:spPr>
                      </pic:pic>
                    </a:graphicData>
                  </a:graphic>
                </wp:inline>
              </w:drawing>
            </w:r>
          </w:p>
        </w:tc>
      </w:tr>
    </w:tbl>
    <w:p w:rsidR="002531A4" w:rsidRPr="002531A4" w:rsidRDefault="002531A4" w:rsidP="002531A4">
      <w:r w:rsidRPr="002531A4">
        <w:rPr>
          <w:b/>
          <w:bCs/>
          <w:szCs w:val="22"/>
        </w:rPr>
        <w:t>The Management of Health and Safety at Work Regulations</w:t>
      </w:r>
      <w:r>
        <w:rPr>
          <w:b/>
          <w:bCs/>
          <w:szCs w:val="22"/>
        </w:rPr>
        <w:br/>
      </w:r>
      <w:r w:rsidRPr="002531A4">
        <w:t xml:space="preserve">The Regulations were introduced to reinforce the </w:t>
      </w:r>
      <w:r w:rsidRPr="002531A4">
        <w:rPr>
          <w:rFonts w:cs="Arial"/>
          <w:szCs w:val="22"/>
        </w:rPr>
        <w:t>Health and Safety at Work etc Act (1974).</w:t>
      </w:r>
      <w:r w:rsidRPr="002531A4">
        <w:t xml:space="preserve"> The MHSWR places duties on employers and employees including those who are clients, designers, principal contractors or other contractors.</w:t>
      </w:r>
    </w:p>
    <w:p w:rsidR="002531A4" w:rsidRPr="002531A4" w:rsidRDefault="002531A4" w:rsidP="002531A4">
      <w:r w:rsidRPr="002531A4">
        <w:t xml:space="preserve">Many of the duties overlap with those of </w:t>
      </w:r>
      <w:r w:rsidR="00553544" w:rsidRPr="00553544">
        <w:t>Construction Design and Management</w:t>
      </w:r>
      <w:r w:rsidR="00553544">
        <w:t xml:space="preserve"> regulations (</w:t>
      </w:r>
      <w:r w:rsidRPr="002531A4">
        <w:t>CDM</w:t>
      </w:r>
      <w:r w:rsidR="00553544">
        <w:t>)</w:t>
      </w:r>
      <w:r w:rsidRPr="002531A4">
        <w:t xml:space="preserve"> but where they go beyond CDM (for example concerning young people and expectant mothers) additional measures will be needed to comply fully with MHSWR.</w:t>
      </w:r>
    </w:p>
    <w:p w:rsidR="00E74393" w:rsidRPr="00567DCD" w:rsidRDefault="00E74393" w:rsidP="00E74393">
      <w:pPr>
        <w:rPr>
          <w:rFonts w:cs="Arial"/>
          <w:szCs w:val="22"/>
        </w:rPr>
      </w:pPr>
      <w:r w:rsidRPr="00567DCD">
        <w:rPr>
          <w:rFonts w:cs="Arial"/>
          <w:b/>
          <w:szCs w:val="22"/>
        </w:rPr>
        <w:t xml:space="preserve">Workplace (Health and Safety </w:t>
      </w:r>
      <w:bookmarkStart w:id="0" w:name="_GoBack"/>
      <w:bookmarkEnd w:id="0"/>
      <w:r w:rsidRPr="00567DCD">
        <w:rPr>
          <w:rFonts w:cs="Arial"/>
          <w:b/>
          <w:szCs w:val="22"/>
        </w:rPr>
        <w:t>and Welfare) Regulations</w:t>
      </w:r>
      <w:r w:rsidRPr="00567DCD">
        <w:rPr>
          <w:rFonts w:cs="Arial"/>
          <w:b/>
          <w:szCs w:val="22"/>
        </w:rPr>
        <w:br/>
      </w:r>
      <w:r w:rsidRPr="00567DCD">
        <w:rPr>
          <w:rFonts w:cs="Arial"/>
          <w:szCs w:val="22"/>
        </w:rPr>
        <w:t>Employers have a general duty under section 2 of the Health and Safety at Work etc Act 1974 to ensure, as far as is reasonably practicable, the health, safety and welfare of their employees at work. People in control of non-domestic premises have a duty towards people who are not their employees but use their premises. The Regulations expand on these duties and are intended to protect the health and safety of everyone in the workplace, and ensure that adequate welfare facilities are provided for people at work.</w:t>
      </w:r>
    </w:p>
    <w:p w:rsidR="00E74393" w:rsidRPr="00567DCD" w:rsidRDefault="00E74393" w:rsidP="00E74393">
      <w:pPr>
        <w:pStyle w:val="Default"/>
        <w:spacing w:after="120"/>
        <w:rPr>
          <w:sz w:val="22"/>
          <w:szCs w:val="22"/>
        </w:rPr>
      </w:pPr>
      <w:r w:rsidRPr="00567DCD">
        <w:rPr>
          <w:sz w:val="22"/>
          <w:szCs w:val="22"/>
        </w:rPr>
        <w:t>The Regulations aim to ensure that workplaces meet the health, safety and welfare needs of all members of a workforce, including people with disabilities. Workstations should be made accessible for disabled people.</w:t>
      </w:r>
    </w:p>
    <w:p w:rsidR="00E74393" w:rsidRDefault="00E74393" w:rsidP="002531A4">
      <w:pPr>
        <w:pStyle w:val="ListParagraph"/>
        <w:tabs>
          <w:tab w:val="left" w:pos="601"/>
          <w:tab w:val="left" w:pos="884"/>
        </w:tabs>
        <w:autoSpaceDE w:val="0"/>
        <w:autoSpaceDN w:val="0"/>
        <w:adjustRightInd w:val="0"/>
        <w:spacing w:after="0"/>
        <w:ind w:left="0"/>
        <w:rPr>
          <w:rFonts w:cs="Arial"/>
        </w:rPr>
      </w:pPr>
      <w:r w:rsidRPr="000B2B3A">
        <w:rPr>
          <w:rFonts w:cs="Arial"/>
          <w:b/>
        </w:rPr>
        <w:t>Control of Substances Hazardous to Health (COSHH) Regulations</w:t>
      </w:r>
      <w:r>
        <w:rPr>
          <w:rFonts w:cs="Arial"/>
          <w:b/>
        </w:rPr>
        <w:br/>
      </w:r>
      <w:r w:rsidRPr="000B2B3A">
        <w:rPr>
          <w:rFonts w:cs="Arial"/>
        </w:rPr>
        <w:t xml:space="preserve">As the name suggests, these regulations cover anything used in the workplace that could be considered hazardous to health. </w:t>
      </w:r>
      <w:r>
        <w:rPr>
          <w:rFonts w:cs="Arial"/>
        </w:rPr>
        <w:t>This would include chemicals,</w:t>
      </w:r>
      <w:r w:rsidRPr="000B2B3A">
        <w:rPr>
          <w:rFonts w:cs="Arial"/>
        </w:rPr>
        <w:t xml:space="preserve"> cements, oils, sprays etc.</w:t>
      </w:r>
    </w:p>
    <w:p w:rsidR="002531A4" w:rsidRDefault="002531A4" w:rsidP="002531A4">
      <w:pPr>
        <w:pStyle w:val="ListParagraph"/>
        <w:tabs>
          <w:tab w:val="left" w:pos="601"/>
          <w:tab w:val="left" w:pos="884"/>
        </w:tabs>
        <w:autoSpaceDE w:val="0"/>
        <w:autoSpaceDN w:val="0"/>
        <w:adjustRightInd w:val="0"/>
        <w:spacing w:after="0"/>
        <w:ind w:left="0"/>
        <w:rPr>
          <w:rFonts w:cs="Arial"/>
          <w:b/>
        </w:rPr>
      </w:pPr>
      <w:r>
        <w:rPr>
          <w:rFonts w:cs="Arial"/>
          <w:b/>
        </w:rPr>
        <w:br w:type="page"/>
      </w:r>
    </w:p>
    <w:p w:rsidR="000B2B3A" w:rsidRPr="000B2B3A" w:rsidRDefault="000B2B3A" w:rsidP="0078013B">
      <w:pPr>
        <w:pStyle w:val="ListParagraph"/>
        <w:tabs>
          <w:tab w:val="left" w:pos="601"/>
          <w:tab w:val="left" w:pos="884"/>
        </w:tabs>
        <w:autoSpaceDE w:val="0"/>
        <w:autoSpaceDN w:val="0"/>
        <w:adjustRightInd w:val="0"/>
        <w:ind w:left="0"/>
        <w:rPr>
          <w:rFonts w:cs="Arial"/>
        </w:rPr>
      </w:pPr>
      <w:r w:rsidRPr="000B2B3A">
        <w:rPr>
          <w:rFonts w:cs="Arial"/>
          <w:b/>
        </w:rPr>
        <w:lastRenderedPageBreak/>
        <w:t>Working at Height Regulations</w:t>
      </w:r>
      <w:r w:rsidR="0078013B">
        <w:rPr>
          <w:rFonts w:cs="Arial"/>
          <w:b/>
        </w:rPr>
        <w:br/>
      </w:r>
      <w:r w:rsidRPr="000B2B3A">
        <w:rPr>
          <w:rFonts w:cs="Arial"/>
        </w:rPr>
        <w:t>Again the title adequately describes the area that the regulations cover. More people are killed and injured by falls than any other cause.</w:t>
      </w:r>
    </w:p>
    <w:p w:rsidR="000B2B3A" w:rsidRPr="000B2B3A" w:rsidRDefault="000B2B3A" w:rsidP="0078013B">
      <w:pPr>
        <w:pStyle w:val="Default"/>
        <w:spacing w:after="120"/>
        <w:rPr>
          <w:sz w:val="22"/>
          <w:szCs w:val="22"/>
        </w:rPr>
      </w:pPr>
      <w:r w:rsidRPr="000B2B3A">
        <w:rPr>
          <w:sz w:val="22"/>
          <w:szCs w:val="22"/>
        </w:rPr>
        <w:t>This document summarises what you need to do to comply with the Work at Height Regulations 2005. Some industry/trade associations may have produced more detailed guidance about working at height. You can also find more information on the HSE website.</w:t>
      </w:r>
    </w:p>
    <w:p w:rsidR="000B2B3A" w:rsidRPr="000B2B3A" w:rsidRDefault="000B2B3A" w:rsidP="0078013B">
      <w:pPr>
        <w:pStyle w:val="ListParagraph"/>
        <w:tabs>
          <w:tab w:val="left" w:pos="601"/>
          <w:tab w:val="left" w:pos="884"/>
        </w:tabs>
        <w:autoSpaceDE w:val="0"/>
        <w:autoSpaceDN w:val="0"/>
        <w:adjustRightInd w:val="0"/>
        <w:ind w:left="0"/>
        <w:rPr>
          <w:rFonts w:cs="Arial"/>
        </w:rPr>
      </w:pPr>
      <w:r w:rsidRPr="000B2B3A">
        <w:rPr>
          <w:rFonts w:cs="Arial"/>
          <w:b/>
        </w:rPr>
        <w:t>Personal Protective Equipment at Work Regulations</w:t>
      </w:r>
      <w:r w:rsidR="0078013B">
        <w:rPr>
          <w:rFonts w:cs="Arial"/>
          <w:b/>
        </w:rPr>
        <w:br/>
      </w:r>
      <w:r w:rsidRPr="000B2B3A">
        <w:rPr>
          <w:rFonts w:cs="Arial"/>
        </w:rPr>
        <w:t>Requires an assessment of PPE requirements to be carried out, the employer to supply the PPE and the employee to wear the protective equipment.</w:t>
      </w:r>
    </w:p>
    <w:p w:rsidR="000B2B3A" w:rsidRDefault="000B2B3A" w:rsidP="0078013B">
      <w:pPr>
        <w:pStyle w:val="Default"/>
        <w:spacing w:after="120"/>
        <w:rPr>
          <w:color w:val="auto"/>
          <w:sz w:val="22"/>
          <w:szCs w:val="22"/>
        </w:rPr>
      </w:pPr>
      <w:r w:rsidRPr="007E0408">
        <w:rPr>
          <w:b/>
          <w:bCs/>
          <w:color w:val="auto"/>
          <w:sz w:val="22"/>
          <w:szCs w:val="22"/>
        </w:rPr>
        <w:t>Manual handling Operations Regulations</w:t>
      </w:r>
      <w:r w:rsidR="0078013B">
        <w:rPr>
          <w:b/>
          <w:bCs/>
          <w:color w:val="auto"/>
          <w:sz w:val="22"/>
          <w:szCs w:val="22"/>
        </w:rPr>
        <w:br/>
      </w:r>
      <w:r w:rsidRPr="007E0408">
        <w:rPr>
          <w:color w:val="auto"/>
          <w:sz w:val="22"/>
          <w:szCs w:val="22"/>
        </w:rPr>
        <w:t>These Regulations aim to reduce the very large incidence of injury and ill health caused by the manual handling of loads at work.</w:t>
      </w:r>
    </w:p>
    <w:p w:rsidR="00095B50" w:rsidRPr="00567DCD" w:rsidRDefault="00095B50" w:rsidP="0078013B">
      <w:pPr>
        <w:pStyle w:val="ListParagraph"/>
        <w:tabs>
          <w:tab w:val="left" w:pos="601"/>
          <w:tab w:val="left" w:pos="884"/>
        </w:tabs>
        <w:autoSpaceDE w:val="0"/>
        <w:autoSpaceDN w:val="0"/>
        <w:adjustRightInd w:val="0"/>
        <w:ind w:left="0"/>
        <w:rPr>
          <w:rFonts w:cs="Arial"/>
        </w:rPr>
      </w:pPr>
      <w:r w:rsidRPr="00567DCD">
        <w:rPr>
          <w:rFonts w:cs="Arial"/>
          <w:b/>
        </w:rPr>
        <w:t>Provision and Use of Work Equipment Regulations</w:t>
      </w:r>
      <w:r w:rsidR="0078013B" w:rsidRPr="00567DCD">
        <w:rPr>
          <w:rFonts w:cs="Arial"/>
          <w:b/>
        </w:rPr>
        <w:br/>
      </w:r>
      <w:r w:rsidRPr="00567DCD">
        <w:rPr>
          <w:rFonts w:cs="Arial"/>
        </w:rPr>
        <w:t>Covers the supply and use of equipment in the workplace. Equipment must be safe to use and used safely by the operatives.</w:t>
      </w:r>
    </w:p>
    <w:p w:rsidR="00010CD8" w:rsidRDefault="00010CD8" w:rsidP="0078013B">
      <w:pPr>
        <w:pStyle w:val="ListParagraph"/>
        <w:tabs>
          <w:tab w:val="left" w:pos="601"/>
          <w:tab w:val="left" w:pos="884"/>
        </w:tabs>
        <w:autoSpaceDE w:val="0"/>
        <w:autoSpaceDN w:val="0"/>
        <w:adjustRightInd w:val="0"/>
        <w:ind w:left="0"/>
        <w:rPr>
          <w:rFonts w:cs="Arial"/>
        </w:rPr>
      </w:pPr>
      <w:r w:rsidRPr="00567DCD">
        <w:rPr>
          <w:rFonts w:cs="Arial"/>
          <w:b/>
        </w:rPr>
        <w:t>Control of asbestos at Work Regulations</w:t>
      </w:r>
      <w:r w:rsidR="0078013B" w:rsidRPr="00567DCD">
        <w:rPr>
          <w:rFonts w:cs="Arial"/>
          <w:b/>
        </w:rPr>
        <w:br/>
      </w:r>
      <w:r w:rsidRPr="00567DCD">
        <w:rPr>
          <w:rFonts w:cs="Arial"/>
        </w:rPr>
        <w:t>The name again clearly explains the coverage of the regulations. Asbestos is an extremely dangerous material when disturbed and any possible exposure to or presence of asbestos should be reported immediately.</w:t>
      </w:r>
    </w:p>
    <w:p w:rsidR="00E74393" w:rsidRPr="00B321CF" w:rsidRDefault="00E74393" w:rsidP="0078013B">
      <w:pPr>
        <w:pStyle w:val="ListParagraph"/>
        <w:tabs>
          <w:tab w:val="left" w:pos="601"/>
          <w:tab w:val="left" w:pos="884"/>
        </w:tabs>
        <w:autoSpaceDE w:val="0"/>
        <w:autoSpaceDN w:val="0"/>
        <w:adjustRightInd w:val="0"/>
        <w:ind w:left="0"/>
        <w:rPr>
          <w:bCs/>
        </w:rPr>
      </w:pPr>
      <w:r w:rsidRPr="00B321CF">
        <w:rPr>
          <w:b/>
          <w:bCs/>
        </w:rPr>
        <w:t>Environmental Protection Act</w:t>
      </w:r>
      <w:r w:rsidRPr="00B321CF">
        <w:rPr>
          <w:b/>
          <w:bCs/>
        </w:rPr>
        <w:br/>
      </w:r>
      <w:r w:rsidR="002531A4">
        <w:rPr>
          <w:bCs/>
        </w:rPr>
        <w:t xml:space="preserve">The </w:t>
      </w:r>
      <w:r w:rsidR="002531A4" w:rsidRPr="002531A4">
        <w:rPr>
          <w:bCs/>
        </w:rPr>
        <w:t>EPA</w:t>
      </w:r>
      <w:r w:rsidR="002531A4">
        <w:rPr>
          <w:bCs/>
        </w:rPr>
        <w:t xml:space="preserve"> is an Act </w:t>
      </w:r>
      <w:r w:rsidR="002531A4" w:rsidRPr="002531A4">
        <w:rPr>
          <w:bCs/>
        </w:rPr>
        <w:t>defines, within England and Wales and Scotland, the fundamental structure and authority for waste management and control of emissions into the environment.</w:t>
      </w:r>
    </w:p>
    <w:p w:rsidR="00B321CF" w:rsidRPr="00FD6F42" w:rsidRDefault="00E74393" w:rsidP="0078013B">
      <w:pPr>
        <w:pStyle w:val="ListParagraph"/>
        <w:tabs>
          <w:tab w:val="left" w:pos="601"/>
          <w:tab w:val="left" w:pos="884"/>
        </w:tabs>
        <w:autoSpaceDE w:val="0"/>
        <w:autoSpaceDN w:val="0"/>
        <w:adjustRightInd w:val="0"/>
        <w:ind w:left="0"/>
      </w:pPr>
      <w:r w:rsidRPr="00B321CF">
        <w:rPr>
          <w:b/>
          <w:bCs/>
        </w:rPr>
        <w:t>The Hazardous Waste Regulations</w:t>
      </w:r>
      <w:r w:rsidR="00B321CF" w:rsidRPr="00B321CF">
        <w:rPr>
          <w:b/>
          <w:bCs/>
        </w:rPr>
        <w:br/>
      </w:r>
      <w:r w:rsidR="002531A4" w:rsidRPr="00FD6F42">
        <w:t>These regulations have been introduced to control the storage, transport and disposal of</w:t>
      </w:r>
      <w:r w:rsidR="00FD6F42">
        <w:t xml:space="preserve"> </w:t>
      </w:r>
      <w:r w:rsidR="002531A4" w:rsidRPr="00FD6F42">
        <w:t>hazardous waste to ensure it is appropriately managed and any risks are limited.</w:t>
      </w:r>
    </w:p>
    <w:p w:rsidR="00FD6F42" w:rsidRDefault="00E74393" w:rsidP="00FD6F42">
      <w:pPr>
        <w:rPr>
          <w:shd w:val="clear" w:color="auto" w:fill="FFFFFF"/>
        </w:rPr>
      </w:pPr>
      <w:r w:rsidRPr="00B321CF">
        <w:rPr>
          <w:b/>
          <w:bCs/>
          <w:szCs w:val="22"/>
        </w:rPr>
        <w:t>Pollut</w:t>
      </w:r>
      <w:r w:rsidR="00B321CF" w:rsidRPr="00B321CF">
        <w:rPr>
          <w:b/>
          <w:bCs/>
        </w:rPr>
        <w:t>ion Prevention and Control Act</w:t>
      </w:r>
      <w:r w:rsidR="00B321CF" w:rsidRPr="00B321CF">
        <w:rPr>
          <w:b/>
          <w:bCs/>
        </w:rPr>
        <w:br/>
      </w:r>
      <w:r w:rsidR="00FD6F42">
        <w:rPr>
          <w:shd w:val="clear" w:color="auto" w:fill="FFFFFF"/>
        </w:rPr>
        <w:t>Under this new Act, Local Authorities are required to regulate the smaller industries termed Part A2 and Part B installations. Whereas the Environment Agency regulates the larger industries, which are known as Part A1 installations.</w:t>
      </w:r>
    </w:p>
    <w:p w:rsidR="00B321CF" w:rsidRPr="00B321CF" w:rsidRDefault="00FD6F42" w:rsidP="00FD6F42">
      <w:pPr>
        <w:rPr>
          <w:bCs/>
        </w:rPr>
      </w:pPr>
      <w:r>
        <w:rPr>
          <w:shd w:val="clear" w:color="auto" w:fill="FFFFFF"/>
        </w:rPr>
        <w:t>Emissions to all environmental media must be controlled from Part A1 and A2 installations and such installations are also required to account for energy efficiency and to control against Noise Pollution. Part B installations on the other hand are regulated for emissions to air only.</w:t>
      </w:r>
    </w:p>
    <w:p w:rsidR="00B321CF" w:rsidRPr="00FE3B2A" w:rsidRDefault="00E74393" w:rsidP="0078013B">
      <w:pPr>
        <w:pStyle w:val="ListParagraph"/>
        <w:tabs>
          <w:tab w:val="left" w:pos="601"/>
          <w:tab w:val="left" w:pos="884"/>
        </w:tabs>
        <w:autoSpaceDE w:val="0"/>
        <w:autoSpaceDN w:val="0"/>
        <w:adjustRightInd w:val="0"/>
        <w:ind w:left="0"/>
      </w:pPr>
      <w:r w:rsidRPr="00B321CF">
        <w:rPr>
          <w:b/>
          <w:bCs/>
        </w:rPr>
        <w:t>Control of Pollution Act</w:t>
      </w:r>
      <w:r w:rsidR="00B321CF" w:rsidRPr="00B321CF">
        <w:rPr>
          <w:b/>
          <w:bCs/>
        </w:rPr>
        <w:br/>
      </w:r>
      <w:r w:rsidR="00FE3B2A" w:rsidRPr="00FE3B2A">
        <w:t>The aim of the Act is to deal with a variety of environmental issues, including waste on land, water pollution, abandoned mines, noise pollution and the prevention of atmospheric pollution.</w:t>
      </w:r>
    </w:p>
    <w:p w:rsidR="00B321CF" w:rsidRPr="00B321CF" w:rsidRDefault="00E74393" w:rsidP="0078013B">
      <w:pPr>
        <w:pStyle w:val="ListParagraph"/>
        <w:tabs>
          <w:tab w:val="left" w:pos="601"/>
          <w:tab w:val="left" w:pos="884"/>
        </w:tabs>
        <w:autoSpaceDE w:val="0"/>
        <w:autoSpaceDN w:val="0"/>
        <w:adjustRightInd w:val="0"/>
        <w:ind w:left="0"/>
        <w:rPr>
          <w:bCs/>
        </w:rPr>
      </w:pPr>
      <w:r w:rsidRPr="00B321CF">
        <w:rPr>
          <w:b/>
          <w:bCs/>
        </w:rPr>
        <w:t>The Control of Noise at Work Regulations</w:t>
      </w:r>
      <w:r w:rsidR="00B321CF" w:rsidRPr="00B321CF">
        <w:rPr>
          <w:b/>
          <w:bCs/>
        </w:rPr>
        <w:br/>
      </w:r>
      <w:r w:rsidR="00FE3B2A">
        <w:rPr>
          <w:rFonts w:cs="Arial"/>
          <w:color w:val="222222"/>
          <w:sz w:val="21"/>
          <w:szCs w:val="21"/>
          <w:shd w:val="clear" w:color="auto" w:fill="FFFFFF"/>
        </w:rPr>
        <w:t>These regulations place a duty on employers to reduce the risk to their employees’ health by controlling the noise they are exposed to whilst at work</w:t>
      </w:r>
    </w:p>
    <w:p w:rsidR="00FE3B2A" w:rsidRDefault="00E74393" w:rsidP="00FE3B2A">
      <w:r w:rsidRPr="00B321CF">
        <w:rPr>
          <w:b/>
          <w:bCs/>
        </w:rPr>
        <w:t>The Waste Electrical and Electronic Equipment Regulations</w:t>
      </w:r>
      <w:r w:rsidR="00FE3B2A">
        <w:rPr>
          <w:b/>
          <w:bCs/>
        </w:rPr>
        <w:t xml:space="preserve"> (WEEE)</w:t>
      </w:r>
      <w:r w:rsidR="00FE3B2A">
        <w:rPr>
          <w:b/>
          <w:bCs/>
        </w:rPr>
        <w:br/>
      </w:r>
      <w:r w:rsidR="00604BC1">
        <w:t>These regulations</w:t>
      </w:r>
      <w:r w:rsidR="00FE3B2A">
        <w:t xml:space="preserve"> regulate the management of electrical and electronic waste</w:t>
      </w:r>
      <w:r w:rsidR="00604BC1">
        <w:t xml:space="preserve">. </w:t>
      </w:r>
      <w:r w:rsidR="00FE3B2A">
        <w:t>A key objective of the WEEE Regulations is to reduce the amount of WEEE that goes to landfills. This is achieved by placing an extended responsibility on producers and distributors of electrical and electronic equipment. Under the extended responsibility obligations, producers are required to finance the collection, treatment and recovery of WEEE.</w:t>
      </w:r>
    </w:p>
    <w:p w:rsidR="00FE3B2A" w:rsidRDefault="00FE3B2A" w:rsidP="00FE3B2A">
      <w:r>
        <w:t>The WEEE Regulations also place an obligation on distributors to offer to consumers a take-back system where WEEE items can be disposed of free of charge. There are two types of take-back systems, and distributors of EEE items must offer one of these schemes to their customers.</w:t>
      </w:r>
    </w:p>
    <w:p w:rsidR="003D1AB0" w:rsidRPr="00567DCD" w:rsidRDefault="00553544" w:rsidP="003D1AB0">
      <w:pPr>
        <w:pStyle w:val="Default"/>
        <w:rPr>
          <w:color w:val="auto"/>
          <w:sz w:val="22"/>
          <w:szCs w:val="22"/>
        </w:rPr>
      </w:pPr>
      <w:r>
        <w:rPr>
          <w:color w:val="auto"/>
          <w:sz w:val="22"/>
          <w:szCs w:val="22"/>
        </w:rPr>
        <w:pict>
          <v:rect id="_x0000_i1026" style="width:0;height:1.5pt" o:hralign="center" o:hrstd="t" o:hr="t" fillcolor="#a0a0a0" stroked="f"/>
        </w:pict>
      </w:r>
    </w:p>
    <w:sectPr w:rsidR="003D1AB0" w:rsidRPr="00567DCD" w:rsidSect="00B3195B">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E1784" w:rsidRDefault="00FE1784">
      <w:r>
        <w:separator/>
      </w:r>
    </w:p>
  </w:endnote>
  <w:endnote w:type="continuationSeparator" w:id="0">
    <w:p w:rsidR="00FE1784" w:rsidRDefault="00FE17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5B" w:rsidRDefault="00B31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6D48" w:rsidRPr="00B06D48" w:rsidRDefault="00B06D48" w:rsidP="00B06D48">
    <w:pPr>
      <w:pStyle w:val="Footer"/>
      <w:pBdr>
        <w:top w:val="single" w:sz="4" w:space="1" w:color="auto"/>
      </w:pBdr>
      <w:tabs>
        <w:tab w:val="clear" w:pos="4153"/>
        <w:tab w:val="clear" w:pos="8306"/>
        <w:tab w:val="center" w:pos="4820"/>
        <w:tab w:val="right" w:pos="9638"/>
      </w:tabs>
      <w:spacing w:before="120" w:after="0"/>
      <w:rPr>
        <w:rFonts w:cs="Arial"/>
        <w:sz w:val="18"/>
        <w:szCs w:val="18"/>
      </w:rPr>
    </w:pPr>
    <w:r w:rsidRPr="00B06D48">
      <w:rPr>
        <w:rFonts w:cs="Arial"/>
        <w:sz w:val="18"/>
        <w:szCs w:val="18"/>
      </w:rPr>
      <w:t xml:space="preserve">© </w:t>
    </w:r>
    <w:r w:rsidRPr="00B06D48">
      <w:rPr>
        <w:rFonts w:cs="Arial"/>
        <w:sz w:val="18"/>
        <w:szCs w:val="18"/>
      </w:rPr>
      <w:fldChar w:fldCharType="begin"/>
    </w:r>
    <w:r w:rsidRPr="00B06D48">
      <w:rPr>
        <w:rFonts w:cs="Arial"/>
        <w:sz w:val="18"/>
        <w:szCs w:val="18"/>
      </w:rPr>
      <w:instrText xml:space="preserve"> DATE \@ "yyyy" \* MERGEFORMAT </w:instrText>
    </w:r>
    <w:r w:rsidRPr="00B06D48">
      <w:rPr>
        <w:rFonts w:cs="Arial"/>
        <w:sz w:val="18"/>
        <w:szCs w:val="18"/>
      </w:rPr>
      <w:fldChar w:fldCharType="separate"/>
    </w:r>
    <w:r w:rsidR="00553544">
      <w:rPr>
        <w:rFonts w:cs="Arial"/>
        <w:noProof/>
        <w:sz w:val="18"/>
        <w:szCs w:val="18"/>
      </w:rPr>
      <w:t>2017</w:t>
    </w:r>
    <w:r w:rsidRPr="00B06D48">
      <w:rPr>
        <w:rFonts w:cs="Arial"/>
        <w:sz w:val="18"/>
        <w:szCs w:val="18"/>
      </w:rPr>
      <w:fldChar w:fldCharType="end"/>
    </w:r>
    <w:r w:rsidRPr="00B06D48">
      <w:rPr>
        <w:rFonts w:cs="Arial"/>
        <w:sz w:val="18"/>
        <w:szCs w:val="18"/>
      </w:rPr>
      <w:t xml:space="preserve"> City and Guilds of London Institute. All rights reserved.</w:t>
    </w:r>
    <w:r w:rsidRPr="00B06D48">
      <w:rPr>
        <w:rFonts w:cs="Arial"/>
        <w:sz w:val="18"/>
        <w:szCs w:val="18"/>
      </w:rPr>
      <w:tab/>
      <w:t xml:space="preserve">Page </w:t>
    </w:r>
    <w:r w:rsidRPr="00B06D48">
      <w:rPr>
        <w:rFonts w:cs="Arial"/>
        <w:sz w:val="18"/>
        <w:szCs w:val="18"/>
      </w:rPr>
      <w:fldChar w:fldCharType="begin"/>
    </w:r>
    <w:r w:rsidRPr="00B06D48">
      <w:rPr>
        <w:rFonts w:cs="Arial"/>
        <w:sz w:val="18"/>
        <w:szCs w:val="18"/>
      </w:rPr>
      <w:instrText xml:space="preserve"> PAGE   \* MERGEFORMAT </w:instrText>
    </w:r>
    <w:r w:rsidRPr="00B06D48">
      <w:rPr>
        <w:rFonts w:cs="Arial"/>
        <w:sz w:val="18"/>
        <w:szCs w:val="18"/>
      </w:rPr>
      <w:fldChar w:fldCharType="separate"/>
    </w:r>
    <w:r w:rsidR="00553544">
      <w:rPr>
        <w:rFonts w:cs="Arial"/>
        <w:noProof/>
        <w:sz w:val="18"/>
        <w:szCs w:val="18"/>
      </w:rPr>
      <w:t>3</w:t>
    </w:r>
    <w:r w:rsidRPr="00B06D48">
      <w:rPr>
        <w:rFonts w:cs="Arial"/>
        <w:sz w:val="18"/>
        <w:szCs w:val="18"/>
      </w:rPr>
      <w:fldChar w:fldCharType="end"/>
    </w:r>
    <w:r w:rsidRPr="00B06D48">
      <w:rPr>
        <w:rFonts w:cs="Arial"/>
        <w:sz w:val="18"/>
        <w:szCs w:val="18"/>
      </w:rPr>
      <w:t xml:space="preserve"> of </w:t>
    </w:r>
    <w:r w:rsidRPr="00B06D48">
      <w:rPr>
        <w:rFonts w:cs="Arial"/>
        <w:sz w:val="18"/>
        <w:szCs w:val="18"/>
      </w:rPr>
      <w:fldChar w:fldCharType="begin"/>
    </w:r>
    <w:r w:rsidRPr="00B06D48">
      <w:rPr>
        <w:rFonts w:cs="Arial"/>
        <w:sz w:val="18"/>
        <w:szCs w:val="18"/>
      </w:rPr>
      <w:instrText xml:space="preserve"> NUMPAGES   \* MERGEFORMAT </w:instrText>
    </w:r>
    <w:r w:rsidRPr="00B06D48">
      <w:rPr>
        <w:rFonts w:cs="Arial"/>
        <w:sz w:val="18"/>
        <w:szCs w:val="18"/>
      </w:rPr>
      <w:fldChar w:fldCharType="separate"/>
    </w:r>
    <w:r w:rsidR="00553544">
      <w:rPr>
        <w:rFonts w:cs="Arial"/>
        <w:noProof/>
        <w:sz w:val="18"/>
        <w:szCs w:val="18"/>
      </w:rPr>
      <w:t>3</w:t>
    </w:r>
    <w:r w:rsidRPr="00B06D48">
      <w:rPr>
        <w:rFonts w:cs="Arial"/>
        <w:sz w:val="18"/>
        <w:szCs w:val="18"/>
      </w:rPr>
      <w:fldChar w:fldCharType="end"/>
    </w:r>
  </w:p>
  <w:p w:rsidR="00B06D48" w:rsidRPr="00B06D48" w:rsidRDefault="00B06D48" w:rsidP="00B06D48">
    <w:pPr>
      <w:pStyle w:val="Footer"/>
      <w:tabs>
        <w:tab w:val="clear" w:pos="4153"/>
        <w:tab w:val="clear" w:pos="8306"/>
        <w:tab w:val="center" w:pos="4820"/>
        <w:tab w:val="right" w:pos="9638"/>
      </w:tabs>
      <w:spacing w:before="120" w:after="0"/>
      <w:rPr>
        <w:sz w:val="18"/>
        <w:szCs w:val="18"/>
      </w:rPr>
    </w:pPr>
    <w:r w:rsidRPr="00B06D48">
      <w:rPr>
        <w:sz w:val="18"/>
        <w:szCs w:val="18"/>
      </w:rPr>
      <w:t>www.SmartScreen.co.uk</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5B" w:rsidRDefault="00B31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E1784" w:rsidRDefault="00FE1784">
      <w:r>
        <w:separator/>
      </w:r>
    </w:p>
  </w:footnote>
  <w:footnote w:type="continuationSeparator" w:id="0">
    <w:p w:rsidR="00FE1784" w:rsidRDefault="00FE17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5B" w:rsidRDefault="00B31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22233" w:rsidRPr="00922233" w:rsidRDefault="00922233" w:rsidP="00B06D48">
    <w:pPr>
      <w:pStyle w:val="Header"/>
      <w:tabs>
        <w:tab w:val="clear" w:pos="4320"/>
        <w:tab w:val="clear" w:pos="8640"/>
        <w:tab w:val="center" w:pos="4820"/>
        <w:tab w:val="right" w:pos="9638"/>
      </w:tabs>
      <w:rPr>
        <w:sz w:val="18"/>
        <w:szCs w:val="18"/>
      </w:rPr>
    </w:pPr>
    <w:r w:rsidRPr="00922233">
      <w:rPr>
        <w:sz w:val="18"/>
        <w:szCs w:val="18"/>
      </w:rPr>
      <w:t>www.SmartScreen.co.uk</w:t>
    </w:r>
  </w:p>
  <w:p w:rsidR="00922233" w:rsidRPr="00922233" w:rsidRDefault="00922233" w:rsidP="00B3195B">
    <w:pPr>
      <w:pStyle w:val="Header"/>
      <w:pBdr>
        <w:bottom w:val="single" w:sz="4" w:space="1" w:color="auto"/>
      </w:pBdr>
      <w:tabs>
        <w:tab w:val="clear" w:pos="4320"/>
        <w:tab w:val="clear" w:pos="8640"/>
        <w:tab w:val="center" w:pos="4820"/>
        <w:tab w:val="right" w:pos="9638"/>
      </w:tabs>
    </w:pPr>
    <w:r w:rsidRPr="00922233">
      <w:rPr>
        <w:sz w:val="18"/>
        <w:szCs w:val="18"/>
      </w:rPr>
      <w:t>Level 2 Diploma in Electrical Installations (Buildings and Structures)</w:t>
    </w:r>
    <w:r>
      <w:rPr>
        <w:sz w:val="18"/>
        <w:szCs w:val="18"/>
      </w:rPr>
      <w:tab/>
    </w:r>
    <w:r w:rsidRPr="00922233">
      <w:rPr>
        <w:sz w:val="18"/>
        <w:szCs w:val="18"/>
      </w:rPr>
      <w:t>Unit 201 Handout 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3195B" w:rsidRDefault="00B31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44205"/>
    <w:multiLevelType w:val="hybridMultilevel"/>
    <w:tmpl w:val="1CAEAF04"/>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8E5829"/>
    <w:multiLevelType w:val="hybridMultilevel"/>
    <w:tmpl w:val="379A7B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A8056F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C0176C2"/>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C621630"/>
    <w:multiLevelType w:val="hybridMultilevel"/>
    <w:tmpl w:val="B5B0BA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64966B4"/>
    <w:multiLevelType w:val="hybridMultilevel"/>
    <w:tmpl w:val="8D8EEA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81512B"/>
    <w:multiLevelType w:val="multilevel"/>
    <w:tmpl w:val="9102760C"/>
    <w:lvl w:ilvl="0">
      <w:start w:val="1"/>
      <w:numFmt w:val="decimal"/>
      <w:lvlText w:val="%1."/>
      <w:lvlJc w:val="left"/>
      <w:pPr>
        <w:ind w:left="567" w:hanging="567"/>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6DC6DB0"/>
    <w:multiLevelType w:val="hybridMultilevel"/>
    <w:tmpl w:val="826AA61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2DAD071F"/>
    <w:multiLevelType w:val="hybridMultilevel"/>
    <w:tmpl w:val="9CB660BC"/>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2F325501"/>
    <w:multiLevelType w:val="hybridMultilevel"/>
    <w:tmpl w:val="96780A76"/>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319568E2"/>
    <w:multiLevelType w:val="hybridMultilevel"/>
    <w:tmpl w:val="D1E49D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A4354CE"/>
    <w:multiLevelType w:val="hybridMultilevel"/>
    <w:tmpl w:val="6020408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D3E2EBF"/>
    <w:multiLevelType w:val="hybridMultilevel"/>
    <w:tmpl w:val="3676974E"/>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1A87922"/>
    <w:multiLevelType w:val="hybridMultilevel"/>
    <w:tmpl w:val="B734C10E"/>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42F8789A"/>
    <w:multiLevelType w:val="hybridMultilevel"/>
    <w:tmpl w:val="0B60A7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557F43"/>
    <w:multiLevelType w:val="hybridMultilevel"/>
    <w:tmpl w:val="2260287A"/>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47141493"/>
    <w:multiLevelType w:val="hybridMultilevel"/>
    <w:tmpl w:val="E62CDEBC"/>
    <w:lvl w:ilvl="0" w:tplc="B1EE66AA">
      <w:start w:val="1"/>
      <w:numFmt w:val="bullet"/>
      <w:lvlText w:val=""/>
      <w:lvlJc w:val="left"/>
      <w:pPr>
        <w:tabs>
          <w:tab w:val="num" w:pos="1004"/>
        </w:tabs>
        <w:ind w:left="1004" w:hanging="284"/>
      </w:pPr>
      <w:rPr>
        <w:rFonts w:ascii="Symbol" w:hAnsi="Symbol" w:hint="default"/>
        <w:color w:val="auto"/>
        <w:sz w:val="16"/>
        <w:szCs w:val="16"/>
      </w:rPr>
    </w:lvl>
    <w:lvl w:ilvl="1" w:tplc="04090003" w:tentative="1">
      <w:start w:val="1"/>
      <w:numFmt w:val="bullet"/>
      <w:lvlText w:val="o"/>
      <w:lvlJc w:val="left"/>
      <w:pPr>
        <w:tabs>
          <w:tab w:val="num" w:pos="2160"/>
        </w:tabs>
        <w:ind w:left="2160" w:hanging="360"/>
      </w:pPr>
      <w:rPr>
        <w:rFonts w:ascii="Courier New" w:hAnsi="Courier New" w:cs="Aria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Aria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Aria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58BE3783"/>
    <w:multiLevelType w:val="hybridMultilevel"/>
    <w:tmpl w:val="B7665DB2"/>
    <w:lvl w:ilvl="0" w:tplc="B1EE66AA">
      <w:start w:val="1"/>
      <w:numFmt w:val="bullet"/>
      <w:lvlText w:val=""/>
      <w:lvlJc w:val="left"/>
      <w:pPr>
        <w:tabs>
          <w:tab w:val="num" w:pos="284"/>
        </w:tabs>
        <w:ind w:left="284" w:hanging="284"/>
      </w:pPr>
      <w:rPr>
        <w:rFonts w:ascii="Symbol" w:hAnsi="Symbol" w:hint="default"/>
        <w:color w:val="auto"/>
        <w:sz w:val="16"/>
        <w:szCs w:val="16"/>
      </w:rPr>
    </w:lvl>
    <w:lvl w:ilvl="1" w:tplc="08090003" w:tentative="1">
      <w:start w:val="1"/>
      <w:numFmt w:val="bullet"/>
      <w:lvlText w:val="o"/>
      <w:lvlJc w:val="left"/>
      <w:pPr>
        <w:tabs>
          <w:tab w:val="num" w:pos="720"/>
        </w:tabs>
        <w:ind w:left="720" w:hanging="360"/>
      </w:pPr>
      <w:rPr>
        <w:rFonts w:ascii="Courier New" w:hAnsi="Courier New" w:cs="Arial" w:hint="default"/>
      </w:rPr>
    </w:lvl>
    <w:lvl w:ilvl="2" w:tplc="08090005" w:tentative="1">
      <w:start w:val="1"/>
      <w:numFmt w:val="bullet"/>
      <w:lvlText w:val=""/>
      <w:lvlJc w:val="left"/>
      <w:pPr>
        <w:tabs>
          <w:tab w:val="num" w:pos="1440"/>
        </w:tabs>
        <w:ind w:left="1440" w:hanging="360"/>
      </w:pPr>
      <w:rPr>
        <w:rFonts w:ascii="Wingdings" w:hAnsi="Wingdings" w:hint="default"/>
      </w:rPr>
    </w:lvl>
    <w:lvl w:ilvl="3" w:tplc="08090001" w:tentative="1">
      <w:start w:val="1"/>
      <w:numFmt w:val="bullet"/>
      <w:lvlText w:val=""/>
      <w:lvlJc w:val="left"/>
      <w:pPr>
        <w:tabs>
          <w:tab w:val="num" w:pos="2160"/>
        </w:tabs>
        <w:ind w:left="2160" w:hanging="360"/>
      </w:pPr>
      <w:rPr>
        <w:rFonts w:ascii="Symbol" w:hAnsi="Symbol" w:hint="default"/>
      </w:rPr>
    </w:lvl>
    <w:lvl w:ilvl="4" w:tplc="08090003" w:tentative="1">
      <w:start w:val="1"/>
      <w:numFmt w:val="bullet"/>
      <w:lvlText w:val="o"/>
      <w:lvlJc w:val="left"/>
      <w:pPr>
        <w:tabs>
          <w:tab w:val="num" w:pos="2880"/>
        </w:tabs>
        <w:ind w:left="2880" w:hanging="360"/>
      </w:pPr>
      <w:rPr>
        <w:rFonts w:ascii="Courier New" w:hAnsi="Courier New" w:cs="Arial" w:hint="default"/>
      </w:rPr>
    </w:lvl>
    <w:lvl w:ilvl="5" w:tplc="08090005" w:tentative="1">
      <w:start w:val="1"/>
      <w:numFmt w:val="bullet"/>
      <w:lvlText w:val=""/>
      <w:lvlJc w:val="left"/>
      <w:pPr>
        <w:tabs>
          <w:tab w:val="num" w:pos="3600"/>
        </w:tabs>
        <w:ind w:left="3600" w:hanging="360"/>
      </w:pPr>
      <w:rPr>
        <w:rFonts w:ascii="Wingdings" w:hAnsi="Wingdings" w:hint="default"/>
      </w:rPr>
    </w:lvl>
    <w:lvl w:ilvl="6" w:tplc="08090001" w:tentative="1">
      <w:start w:val="1"/>
      <w:numFmt w:val="bullet"/>
      <w:lvlText w:val=""/>
      <w:lvlJc w:val="left"/>
      <w:pPr>
        <w:tabs>
          <w:tab w:val="num" w:pos="4320"/>
        </w:tabs>
        <w:ind w:left="4320" w:hanging="360"/>
      </w:pPr>
      <w:rPr>
        <w:rFonts w:ascii="Symbol" w:hAnsi="Symbol" w:hint="default"/>
      </w:rPr>
    </w:lvl>
    <w:lvl w:ilvl="7" w:tplc="08090003" w:tentative="1">
      <w:start w:val="1"/>
      <w:numFmt w:val="bullet"/>
      <w:lvlText w:val="o"/>
      <w:lvlJc w:val="left"/>
      <w:pPr>
        <w:tabs>
          <w:tab w:val="num" w:pos="5040"/>
        </w:tabs>
        <w:ind w:left="5040" w:hanging="360"/>
      </w:pPr>
      <w:rPr>
        <w:rFonts w:ascii="Courier New" w:hAnsi="Courier New" w:cs="Arial" w:hint="default"/>
      </w:rPr>
    </w:lvl>
    <w:lvl w:ilvl="8" w:tplc="08090005" w:tentative="1">
      <w:start w:val="1"/>
      <w:numFmt w:val="bullet"/>
      <w:lvlText w:val=""/>
      <w:lvlJc w:val="left"/>
      <w:pPr>
        <w:tabs>
          <w:tab w:val="num" w:pos="5760"/>
        </w:tabs>
        <w:ind w:left="5760" w:hanging="360"/>
      </w:pPr>
      <w:rPr>
        <w:rFonts w:ascii="Wingdings" w:hAnsi="Wingdings" w:hint="default"/>
      </w:rPr>
    </w:lvl>
  </w:abstractNum>
  <w:abstractNum w:abstractNumId="18" w15:restartNumberingAfterBreak="0">
    <w:nsid w:val="66120A98"/>
    <w:multiLevelType w:val="hybridMultilevel"/>
    <w:tmpl w:val="58F8809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C067796"/>
    <w:multiLevelType w:val="hybridMultilevel"/>
    <w:tmpl w:val="156E9D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CE97094"/>
    <w:multiLevelType w:val="hybridMultilevel"/>
    <w:tmpl w:val="51080B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8673E2"/>
    <w:multiLevelType w:val="hybridMultilevel"/>
    <w:tmpl w:val="5CAEF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6DBF7EF9"/>
    <w:multiLevelType w:val="hybridMultilevel"/>
    <w:tmpl w:val="E9AC2722"/>
    <w:lvl w:ilvl="0" w:tplc="BAF00A2C">
      <w:start w:val="1"/>
      <w:numFmt w:val="bullet"/>
      <w:lvlText w:val=""/>
      <w:lvlJc w:val="left"/>
      <w:pPr>
        <w:tabs>
          <w:tab w:val="num" w:pos="720"/>
        </w:tabs>
        <w:ind w:left="720" w:hanging="360"/>
      </w:pPr>
      <w:rPr>
        <w:rFonts w:ascii="Wingdings" w:hAnsi="Wing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192C77"/>
    <w:multiLevelType w:val="hybridMultilevel"/>
    <w:tmpl w:val="2A2C36C8"/>
    <w:lvl w:ilvl="0" w:tplc="7A28D0E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A3E72D1"/>
    <w:multiLevelType w:val="hybridMultilevel"/>
    <w:tmpl w:val="2800D4E8"/>
    <w:lvl w:ilvl="0" w:tplc="E52094A0">
      <w:start w:val="1"/>
      <w:numFmt w:val="bullet"/>
      <w:lvlText w:val=""/>
      <w:lvlJc w:val="left"/>
      <w:pPr>
        <w:tabs>
          <w:tab w:val="num" w:pos="600"/>
        </w:tabs>
        <w:ind w:left="600" w:hanging="360"/>
      </w:pPr>
      <w:rPr>
        <w:rFonts w:ascii="Symbol" w:hAnsi="Symbol" w:hint="default"/>
      </w:rPr>
    </w:lvl>
    <w:lvl w:ilvl="1" w:tplc="08090003" w:tentative="1">
      <w:start w:val="1"/>
      <w:numFmt w:val="bullet"/>
      <w:lvlText w:val="o"/>
      <w:lvlJc w:val="left"/>
      <w:pPr>
        <w:tabs>
          <w:tab w:val="num" w:pos="1320"/>
        </w:tabs>
        <w:ind w:left="1320" w:hanging="360"/>
      </w:pPr>
      <w:rPr>
        <w:rFonts w:ascii="Courier New" w:hAnsi="Courier New" w:cs="Courier New" w:hint="default"/>
      </w:rPr>
    </w:lvl>
    <w:lvl w:ilvl="2" w:tplc="08090005" w:tentative="1">
      <w:start w:val="1"/>
      <w:numFmt w:val="bullet"/>
      <w:lvlText w:val=""/>
      <w:lvlJc w:val="left"/>
      <w:pPr>
        <w:tabs>
          <w:tab w:val="num" w:pos="2040"/>
        </w:tabs>
        <w:ind w:left="2040" w:hanging="360"/>
      </w:pPr>
      <w:rPr>
        <w:rFonts w:ascii="Wingdings" w:hAnsi="Wingdings" w:hint="default"/>
      </w:rPr>
    </w:lvl>
    <w:lvl w:ilvl="3" w:tplc="08090001" w:tentative="1">
      <w:start w:val="1"/>
      <w:numFmt w:val="bullet"/>
      <w:lvlText w:val=""/>
      <w:lvlJc w:val="left"/>
      <w:pPr>
        <w:tabs>
          <w:tab w:val="num" w:pos="2760"/>
        </w:tabs>
        <w:ind w:left="2760" w:hanging="360"/>
      </w:pPr>
      <w:rPr>
        <w:rFonts w:ascii="Symbol" w:hAnsi="Symbol" w:hint="default"/>
      </w:rPr>
    </w:lvl>
    <w:lvl w:ilvl="4" w:tplc="08090003" w:tentative="1">
      <w:start w:val="1"/>
      <w:numFmt w:val="bullet"/>
      <w:lvlText w:val="o"/>
      <w:lvlJc w:val="left"/>
      <w:pPr>
        <w:tabs>
          <w:tab w:val="num" w:pos="3480"/>
        </w:tabs>
        <w:ind w:left="3480" w:hanging="360"/>
      </w:pPr>
      <w:rPr>
        <w:rFonts w:ascii="Courier New" w:hAnsi="Courier New" w:cs="Courier New" w:hint="default"/>
      </w:rPr>
    </w:lvl>
    <w:lvl w:ilvl="5" w:tplc="08090005" w:tentative="1">
      <w:start w:val="1"/>
      <w:numFmt w:val="bullet"/>
      <w:lvlText w:val=""/>
      <w:lvlJc w:val="left"/>
      <w:pPr>
        <w:tabs>
          <w:tab w:val="num" w:pos="4200"/>
        </w:tabs>
        <w:ind w:left="4200" w:hanging="360"/>
      </w:pPr>
      <w:rPr>
        <w:rFonts w:ascii="Wingdings" w:hAnsi="Wingdings" w:hint="default"/>
      </w:rPr>
    </w:lvl>
    <w:lvl w:ilvl="6" w:tplc="08090001" w:tentative="1">
      <w:start w:val="1"/>
      <w:numFmt w:val="bullet"/>
      <w:lvlText w:val=""/>
      <w:lvlJc w:val="left"/>
      <w:pPr>
        <w:tabs>
          <w:tab w:val="num" w:pos="4920"/>
        </w:tabs>
        <w:ind w:left="4920" w:hanging="360"/>
      </w:pPr>
      <w:rPr>
        <w:rFonts w:ascii="Symbol" w:hAnsi="Symbol" w:hint="default"/>
      </w:rPr>
    </w:lvl>
    <w:lvl w:ilvl="7" w:tplc="08090003" w:tentative="1">
      <w:start w:val="1"/>
      <w:numFmt w:val="bullet"/>
      <w:lvlText w:val="o"/>
      <w:lvlJc w:val="left"/>
      <w:pPr>
        <w:tabs>
          <w:tab w:val="num" w:pos="5640"/>
        </w:tabs>
        <w:ind w:left="5640" w:hanging="360"/>
      </w:pPr>
      <w:rPr>
        <w:rFonts w:ascii="Courier New" w:hAnsi="Courier New" w:cs="Courier New" w:hint="default"/>
      </w:rPr>
    </w:lvl>
    <w:lvl w:ilvl="8" w:tplc="08090005" w:tentative="1">
      <w:start w:val="1"/>
      <w:numFmt w:val="bullet"/>
      <w:lvlText w:val=""/>
      <w:lvlJc w:val="left"/>
      <w:pPr>
        <w:tabs>
          <w:tab w:val="num" w:pos="6360"/>
        </w:tabs>
        <w:ind w:left="6360" w:hanging="360"/>
      </w:pPr>
      <w:rPr>
        <w:rFonts w:ascii="Wingdings" w:hAnsi="Wingdings" w:hint="default"/>
      </w:rPr>
    </w:lvl>
  </w:abstractNum>
  <w:abstractNum w:abstractNumId="25" w15:restartNumberingAfterBreak="0">
    <w:nsid w:val="7EA4319B"/>
    <w:multiLevelType w:val="hybridMultilevel"/>
    <w:tmpl w:val="8206A8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18"/>
  </w:num>
  <w:num w:numId="3">
    <w:abstractNumId w:val="19"/>
  </w:num>
  <w:num w:numId="4">
    <w:abstractNumId w:val="8"/>
  </w:num>
  <w:num w:numId="5">
    <w:abstractNumId w:val="22"/>
  </w:num>
  <w:num w:numId="6">
    <w:abstractNumId w:val="12"/>
  </w:num>
  <w:num w:numId="7">
    <w:abstractNumId w:val="17"/>
  </w:num>
  <w:num w:numId="8">
    <w:abstractNumId w:val="0"/>
  </w:num>
  <w:num w:numId="9">
    <w:abstractNumId w:val="15"/>
  </w:num>
  <w:num w:numId="10">
    <w:abstractNumId w:val="16"/>
  </w:num>
  <w:num w:numId="11">
    <w:abstractNumId w:val="13"/>
  </w:num>
  <w:num w:numId="12">
    <w:abstractNumId w:val="7"/>
  </w:num>
  <w:num w:numId="13">
    <w:abstractNumId w:val="21"/>
  </w:num>
  <w:num w:numId="14">
    <w:abstractNumId w:val="23"/>
  </w:num>
  <w:num w:numId="15">
    <w:abstractNumId w:val="1"/>
  </w:num>
  <w:num w:numId="16">
    <w:abstractNumId w:val="11"/>
  </w:num>
  <w:num w:numId="17">
    <w:abstractNumId w:val="25"/>
  </w:num>
  <w:num w:numId="18">
    <w:abstractNumId w:val="4"/>
  </w:num>
  <w:num w:numId="19">
    <w:abstractNumId w:val="3"/>
  </w:num>
  <w:num w:numId="20">
    <w:abstractNumId w:val="2"/>
  </w:num>
  <w:num w:numId="21">
    <w:abstractNumId w:val="6"/>
  </w:num>
  <w:num w:numId="22">
    <w:abstractNumId w:val="14"/>
  </w:num>
  <w:num w:numId="23">
    <w:abstractNumId w:val="10"/>
  </w:num>
  <w:num w:numId="24">
    <w:abstractNumId w:val="24"/>
  </w:num>
  <w:num w:numId="25">
    <w:abstractNumId w:val="20"/>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6" w:nlCheck="1"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24D2"/>
    <w:rsid w:val="00010CD8"/>
    <w:rsid w:val="00052405"/>
    <w:rsid w:val="000702A9"/>
    <w:rsid w:val="00095B50"/>
    <w:rsid w:val="000B2B3A"/>
    <w:rsid w:val="001924D2"/>
    <w:rsid w:val="002531A4"/>
    <w:rsid w:val="0025798D"/>
    <w:rsid w:val="003224C2"/>
    <w:rsid w:val="003D1AB0"/>
    <w:rsid w:val="00505C63"/>
    <w:rsid w:val="00540532"/>
    <w:rsid w:val="00553544"/>
    <w:rsid w:val="00567DCD"/>
    <w:rsid w:val="005F3C51"/>
    <w:rsid w:val="00604BC1"/>
    <w:rsid w:val="00604E57"/>
    <w:rsid w:val="00616CE4"/>
    <w:rsid w:val="006503A8"/>
    <w:rsid w:val="00676C0B"/>
    <w:rsid w:val="00752165"/>
    <w:rsid w:val="0078013B"/>
    <w:rsid w:val="00780A60"/>
    <w:rsid w:val="007E0408"/>
    <w:rsid w:val="0085046A"/>
    <w:rsid w:val="00894B5F"/>
    <w:rsid w:val="008C403F"/>
    <w:rsid w:val="008E0047"/>
    <w:rsid w:val="00922233"/>
    <w:rsid w:val="009375D9"/>
    <w:rsid w:val="009552EA"/>
    <w:rsid w:val="009A74A5"/>
    <w:rsid w:val="009C0C93"/>
    <w:rsid w:val="009F081F"/>
    <w:rsid w:val="00A104DF"/>
    <w:rsid w:val="00B06D48"/>
    <w:rsid w:val="00B3195B"/>
    <w:rsid w:val="00B321CF"/>
    <w:rsid w:val="00B32255"/>
    <w:rsid w:val="00B6304E"/>
    <w:rsid w:val="00BB3347"/>
    <w:rsid w:val="00BE2849"/>
    <w:rsid w:val="00CB5820"/>
    <w:rsid w:val="00D20E9C"/>
    <w:rsid w:val="00D812EA"/>
    <w:rsid w:val="00D90174"/>
    <w:rsid w:val="00DA688A"/>
    <w:rsid w:val="00DD7560"/>
    <w:rsid w:val="00DE60FB"/>
    <w:rsid w:val="00E74393"/>
    <w:rsid w:val="00EC117E"/>
    <w:rsid w:val="00EE1B5D"/>
    <w:rsid w:val="00FC717F"/>
    <w:rsid w:val="00FD6F42"/>
    <w:rsid w:val="00FE1784"/>
    <w:rsid w:val="00FE3B2A"/>
    <w:rsid w:val="00FF2BD9"/>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41"/>
    <o:shapelayout v:ext="edit">
      <o:idmap v:ext="edit" data="1"/>
    </o:shapelayout>
  </w:shapeDefaults>
  <w:decimalSymbol w:val="."/>
  <w:listSeparator w:val=","/>
  <w14:docId w14:val="70772763"/>
  <w15:docId w15:val="{6CDF0524-B2EC-41B0-B152-6FBD1743E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Bob normal"/>
    <w:qFormat/>
    <w:rsid w:val="00922233"/>
    <w:pPr>
      <w:spacing w:after="120"/>
    </w:pPr>
    <w:rPr>
      <w:rFonts w:ascii="Arial" w:hAnsi="Arial"/>
      <w:sz w:val="22"/>
      <w:szCs w:val="24"/>
    </w:rPr>
  </w:style>
  <w:style w:type="paragraph" w:styleId="Heading1">
    <w:name w:val="heading 1"/>
    <w:basedOn w:val="Normal"/>
    <w:next w:val="Normal"/>
    <w:qFormat/>
    <w:rsid w:val="0049187F"/>
    <w:pPr>
      <w:keepNext/>
      <w:outlineLvl w:val="0"/>
    </w:pPr>
    <w:rPr>
      <w:szCs w:val="20"/>
      <w:lang w:eastAsia="en-US"/>
    </w:rPr>
  </w:style>
  <w:style w:type="paragraph" w:styleId="Heading2">
    <w:name w:val="heading 2"/>
    <w:basedOn w:val="Normal"/>
    <w:next w:val="Normal"/>
    <w:qFormat/>
    <w:rsid w:val="0049187F"/>
    <w:pPr>
      <w:keepNext/>
      <w:outlineLvl w:val="1"/>
    </w:pPr>
    <w:rPr>
      <w:b/>
      <w:szCs w:val="20"/>
      <w:lang w:eastAsia="en-US"/>
    </w:rPr>
  </w:style>
  <w:style w:type="paragraph" w:styleId="Heading3">
    <w:name w:val="heading 3"/>
    <w:basedOn w:val="Normal"/>
    <w:next w:val="Normal"/>
    <w:qFormat/>
    <w:rsid w:val="0049187F"/>
    <w:pPr>
      <w:keepNext/>
      <w:outlineLvl w:val="2"/>
    </w:pPr>
    <w:rPr>
      <w:b/>
      <w:szCs w:val="20"/>
      <w:lang w:eastAsia="en-US"/>
    </w:rPr>
  </w:style>
  <w:style w:type="paragraph" w:styleId="Heading4">
    <w:name w:val="heading 4"/>
    <w:basedOn w:val="Normal"/>
    <w:next w:val="Normal"/>
    <w:qFormat/>
    <w:rsid w:val="0049187F"/>
    <w:pPr>
      <w:keepNext/>
      <w:ind w:left="360"/>
      <w:outlineLvl w:val="3"/>
    </w:pPr>
    <w:rPr>
      <w:b/>
      <w:sz w:val="28"/>
      <w:szCs w:val="20"/>
      <w:lang w:eastAsia="en-US"/>
    </w:rPr>
  </w:style>
  <w:style w:type="paragraph" w:styleId="Heading5">
    <w:name w:val="heading 5"/>
    <w:basedOn w:val="Normal"/>
    <w:next w:val="Normal"/>
    <w:qFormat/>
    <w:rsid w:val="00EF0D15"/>
    <w:pPr>
      <w:spacing w:before="240" w:after="60"/>
      <w:outlineLvl w:val="4"/>
    </w:pPr>
    <w:rPr>
      <w:b/>
      <w:bCs/>
      <w:i/>
      <w:iCs/>
      <w:sz w:val="26"/>
      <w:szCs w:val="26"/>
    </w:rPr>
  </w:style>
  <w:style w:type="paragraph" w:styleId="Heading6">
    <w:name w:val="heading 6"/>
    <w:basedOn w:val="Normal"/>
    <w:next w:val="Normal"/>
    <w:qFormat/>
    <w:rsid w:val="0049187F"/>
    <w:pPr>
      <w:keepNext/>
      <w:outlineLvl w:val="5"/>
    </w:pPr>
    <w:rPr>
      <w:b/>
      <w:sz w:val="20"/>
      <w:szCs w:val="20"/>
      <w:lang w:eastAsia="en-US"/>
    </w:rPr>
  </w:style>
  <w:style w:type="paragraph" w:styleId="Heading7">
    <w:name w:val="heading 7"/>
    <w:basedOn w:val="Normal"/>
    <w:next w:val="Normal"/>
    <w:qFormat/>
    <w:rsid w:val="00B3160F"/>
    <w:pPr>
      <w:spacing w:before="240" w:after="60"/>
      <w:outlineLvl w:val="6"/>
    </w:pPr>
  </w:style>
  <w:style w:type="paragraph" w:styleId="Heading8">
    <w:name w:val="heading 8"/>
    <w:basedOn w:val="Normal"/>
    <w:next w:val="Normal"/>
    <w:qFormat/>
    <w:rsid w:val="00C041F8"/>
    <w:pPr>
      <w:spacing w:before="240" w:after="60"/>
      <w:outlineLvl w:val="7"/>
    </w:pPr>
    <w:rPr>
      <w:i/>
      <w:iCs/>
    </w:rPr>
  </w:style>
  <w:style w:type="paragraph" w:styleId="Heading9">
    <w:name w:val="heading 9"/>
    <w:basedOn w:val="Normal"/>
    <w:next w:val="Normal"/>
    <w:qFormat/>
    <w:rsid w:val="0049187F"/>
    <w:pPr>
      <w:keepNext/>
      <w:ind w:left="360"/>
      <w:jc w:val="center"/>
      <w:outlineLvl w:val="8"/>
    </w:pPr>
    <w:rPr>
      <w:b/>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9187F"/>
    <w:pPr>
      <w:ind w:left="1080"/>
    </w:pPr>
    <w:rPr>
      <w:sz w:val="20"/>
      <w:szCs w:val="20"/>
      <w:lang w:eastAsia="en-US"/>
    </w:rPr>
  </w:style>
  <w:style w:type="paragraph" w:styleId="BodyTextIndent2">
    <w:name w:val="Body Text Indent 2"/>
    <w:basedOn w:val="Normal"/>
    <w:rsid w:val="0049187F"/>
    <w:pPr>
      <w:ind w:left="360"/>
    </w:pPr>
    <w:rPr>
      <w:sz w:val="20"/>
      <w:szCs w:val="20"/>
      <w:lang w:eastAsia="en-US"/>
    </w:rPr>
  </w:style>
  <w:style w:type="paragraph" w:styleId="BodyTextIndent3">
    <w:name w:val="Body Text Indent 3"/>
    <w:basedOn w:val="Normal"/>
    <w:rsid w:val="0049187F"/>
    <w:pPr>
      <w:ind w:left="720"/>
    </w:pPr>
    <w:rPr>
      <w:sz w:val="20"/>
      <w:szCs w:val="20"/>
      <w:lang w:eastAsia="en-US"/>
    </w:rPr>
  </w:style>
  <w:style w:type="paragraph" w:styleId="BodyText2">
    <w:name w:val="Body Text 2"/>
    <w:basedOn w:val="Normal"/>
    <w:rsid w:val="0049187F"/>
    <w:rPr>
      <w:bCs/>
      <w:szCs w:val="20"/>
      <w:lang w:eastAsia="en-US"/>
    </w:rPr>
  </w:style>
  <w:style w:type="paragraph" w:styleId="Footer">
    <w:name w:val="footer"/>
    <w:basedOn w:val="Normal"/>
    <w:link w:val="FooterChar"/>
    <w:rsid w:val="00C124A8"/>
    <w:pPr>
      <w:tabs>
        <w:tab w:val="center" w:pos="4153"/>
        <w:tab w:val="right" w:pos="8306"/>
      </w:tabs>
    </w:pPr>
    <w:rPr>
      <w:lang w:eastAsia="en-US"/>
    </w:rPr>
  </w:style>
  <w:style w:type="paragraph" w:styleId="BodyText">
    <w:name w:val="Body Text"/>
    <w:basedOn w:val="Normal"/>
    <w:rsid w:val="00EF0D15"/>
  </w:style>
  <w:style w:type="paragraph" w:styleId="Header">
    <w:name w:val="header"/>
    <w:basedOn w:val="Normal"/>
    <w:rsid w:val="00B168C3"/>
    <w:pPr>
      <w:tabs>
        <w:tab w:val="center" w:pos="4320"/>
        <w:tab w:val="right" w:pos="8640"/>
      </w:tabs>
    </w:pPr>
  </w:style>
  <w:style w:type="table" w:styleId="TableGrid">
    <w:name w:val="Table Grid"/>
    <w:basedOn w:val="TableNormal"/>
    <w:rsid w:val="00B168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E0408"/>
    <w:pPr>
      <w:autoSpaceDE w:val="0"/>
      <w:autoSpaceDN w:val="0"/>
      <w:adjustRightInd w:val="0"/>
    </w:pPr>
    <w:rPr>
      <w:rFonts w:ascii="Arial" w:eastAsiaTheme="minorHAnsi" w:hAnsi="Arial" w:cs="Arial"/>
      <w:color w:val="000000"/>
      <w:sz w:val="24"/>
      <w:szCs w:val="24"/>
      <w:lang w:eastAsia="en-US"/>
    </w:rPr>
  </w:style>
  <w:style w:type="paragraph" w:styleId="ListParagraph">
    <w:name w:val="List Paragraph"/>
    <w:basedOn w:val="Normal"/>
    <w:uiPriority w:val="34"/>
    <w:qFormat/>
    <w:rsid w:val="000B2B3A"/>
    <w:pPr>
      <w:ind w:left="720"/>
    </w:pPr>
    <w:rPr>
      <w:szCs w:val="22"/>
      <w:lang w:eastAsia="en-US"/>
    </w:rPr>
  </w:style>
  <w:style w:type="paragraph" w:styleId="BalloonText">
    <w:name w:val="Balloon Text"/>
    <w:basedOn w:val="Normal"/>
    <w:link w:val="BalloonTextChar"/>
    <w:rsid w:val="0078013B"/>
    <w:rPr>
      <w:rFonts w:ascii="Tahoma" w:hAnsi="Tahoma" w:cs="Tahoma"/>
      <w:sz w:val="16"/>
      <w:szCs w:val="16"/>
    </w:rPr>
  </w:style>
  <w:style w:type="character" w:customStyle="1" w:styleId="BalloonTextChar">
    <w:name w:val="Balloon Text Char"/>
    <w:basedOn w:val="DefaultParagraphFont"/>
    <w:link w:val="BalloonText"/>
    <w:rsid w:val="0078013B"/>
    <w:rPr>
      <w:rFonts w:ascii="Tahoma" w:hAnsi="Tahoma" w:cs="Tahoma"/>
      <w:sz w:val="16"/>
      <w:szCs w:val="16"/>
    </w:rPr>
  </w:style>
  <w:style w:type="character" w:styleId="Hyperlink">
    <w:name w:val="Hyperlink"/>
    <w:basedOn w:val="DefaultParagraphFont"/>
    <w:unhideWhenUsed/>
    <w:rsid w:val="00922233"/>
    <w:rPr>
      <w:color w:val="0000FF" w:themeColor="hyperlink"/>
      <w:u w:val="single"/>
    </w:rPr>
  </w:style>
  <w:style w:type="character" w:styleId="UnresolvedMention">
    <w:name w:val="Unresolved Mention"/>
    <w:basedOn w:val="DefaultParagraphFont"/>
    <w:uiPriority w:val="99"/>
    <w:semiHidden/>
    <w:unhideWhenUsed/>
    <w:rsid w:val="00922233"/>
    <w:rPr>
      <w:color w:val="808080"/>
      <w:shd w:val="clear" w:color="auto" w:fill="E6E6E6"/>
    </w:rPr>
  </w:style>
  <w:style w:type="character" w:customStyle="1" w:styleId="FooterChar">
    <w:name w:val="Footer Char"/>
    <w:link w:val="Footer"/>
    <w:rsid w:val="00B06D48"/>
    <w:rPr>
      <w:rFonts w:ascii="Arial" w:hAnsi="Arial"/>
      <w:sz w:val="22"/>
      <w:szCs w:val="24"/>
      <w:lang w:eastAsia="en-US"/>
    </w:rPr>
  </w:style>
  <w:style w:type="paragraph" w:styleId="NormalWeb">
    <w:name w:val="Normal (Web)"/>
    <w:basedOn w:val="Normal"/>
    <w:uiPriority w:val="99"/>
    <w:semiHidden/>
    <w:unhideWhenUsed/>
    <w:rsid w:val="002531A4"/>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FE3B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781823">
      <w:bodyDiv w:val="1"/>
      <w:marLeft w:val="0"/>
      <w:marRight w:val="0"/>
      <w:marTop w:val="0"/>
      <w:marBottom w:val="0"/>
      <w:divBdr>
        <w:top w:val="none" w:sz="0" w:space="0" w:color="auto"/>
        <w:left w:val="none" w:sz="0" w:space="0" w:color="auto"/>
        <w:bottom w:val="none" w:sz="0" w:space="0" w:color="auto"/>
        <w:right w:val="none" w:sz="0" w:space="0" w:color="auto"/>
      </w:divBdr>
    </w:div>
    <w:div w:id="1766608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1481</Words>
  <Characters>8194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Level 2 EFK Manual</vt:lpstr>
    </vt:vector>
  </TitlesOfParts>
  <Company>City and Guilds</Company>
  <LinksUpToDate>false</LinksUpToDate>
  <CharactersWithSpaces>9656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Level 2 EFK Manual</dc:title>
  <dc:creator>Bob Hibbert</dc:creator>
  <cp:lastModifiedBy>Bob Hibbert</cp:lastModifiedBy>
  <cp:revision>8</cp:revision>
  <cp:lastPrinted>2013-02-19T16:44:00Z</cp:lastPrinted>
  <dcterms:created xsi:type="dcterms:W3CDTF">2017-10-07T20:33:00Z</dcterms:created>
  <dcterms:modified xsi:type="dcterms:W3CDTF">2017-11-07T17:02:00Z</dcterms:modified>
</cp:coreProperties>
</file>