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B24160">
        <w:rPr>
          <w:rFonts w:ascii="Arial" w:hAnsi="Arial" w:cs="Arial"/>
          <w:bCs/>
          <w:color w:val="FF0000"/>
          <w:sz w:val="32"/>
          <w:szCs w:val="27"/>
        </w:rPr>
        <w:t>2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B24160">
        <w:rPr>
          <w:rFonts w:ascii="Arial" w:hAnsi="Arial" w:cs="Arial"/>
          <w:bCs/>
          <w:color w:val="FF0000"/>
          <w:sz w:val="32"/>
          <w:szCs w:val="27"/>
        </w:rPr>
        <w:t>Principles of electrical science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E94825">
        <w:rPr>
          <w:rFonts w:ascii="Arial" w:hAnsi="Arial" w:cs="Arial"/>
          <w:b/>
          <w:color w:val="000000"/>
        </w:rPr>
        <w:t>4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E94825">
        <w:rPr>
          <w:rFonts w:ascii="Arial" w:hAnsi="Arial" w:cs="Arial"/>
          <w:b/>
        </w:rPr>
        <w:t>Resistors in series</w:t>
      </w:r>
    </w:p>
    <w:p w:rsidR="007E0408" w:rsidRPr="007E0408" w:rsidRDefault="007E0408" w:rsidP="00246CC0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91555E" w:rsidP="0091555E">
      <w:pPr>
        <w:pStyle w:val="Default"/>
        <w:numPr>
          <w:ilvl w:val="0"/>
          <w:numId w:val="21"/>
        </w:numPr>
        <w:spacing w:after="120"/>
        <w:rPr>
          <w:color w:val="auto"/>
          <w:sz w:val="22"/>
          <w:szCs w:val="22"/>
        </w:rPr>
      </w:pPr>
      <w:r w:rsidRPr="0091555E">
        <w:rPr>
          <w:color w:val="auto"/>
          <w:sz w:val="22"/>
          <w:szCs w:val="22"/>
        </w:rPr>
        <w:t>Understand the relationship between resistance, resi</w:t>
      </w:r>
      <w:bookmarkStart w:id="0" w:name="_GoBack"/>
      <w:bookmarkEnd w:id="0"/>
      <w:r w:rsidRPr="0091555E">
        <w:rPr>
          <w:color w:val="auto"/>
          <w:sz w:val="22"/>
          <w:szCs w:val="22"/>
        </w:rPr>
        <w:t>stivity, voltage, current and power</w:t>
      </w:r>
      <w:r w:rsidR="00EA09A5">
        <w:rPr>
          <w:sz w:val="22"/>
          <w:szCs w:val="22"/>
        </w:rPr>
        <w:t>.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EA09A5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24160" w:rsidRPr="00B24160" w:rsidRDefault="0091555E" w:rsidP="0091555E">
      <w:pPr>
        <w:pStyle w:val="Default"/>
        <w:ind w:left="567" w:hanging="567"/>
        <w:rPr>
          <w:sz w:val="22"/>
          <w:szCs w:val="22"/>
        </w:rPr>
      </w:pPr>
      <w:r>
        <w:rPr>
          <w:bCs/>
          <w:sz w:val="22"/>
          <w:szCs w:val="22"/>
        </w:rPr>
        <w:t>4.</w:t>
      </w:r>
      <w:r w:rsidR="00E94825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ab/>
      </w:r>
      <w:r w:rsidR="00E94825" w:rsidRPr="00E94825">
        <w:rPr>
          <w:bCs/>
          <w:sz w:val="22"/>
          <w:szCs w:val="22"/>
        </w:rPr>
        <w:t>calculate the values of current, voltage and resistance in parallel and series D.C. circuits</w:t>
      </w:r>
      <w:r w:rsidR="00B24160" w:rsidRPr="00B24160">
        <w:rPr>
          <w:bCs/>
          <w:sz w:val="22"/>
          <w:szCs w:val="22"/>
        </w:rPr>
        <w:t>.</w:t>
      </w:r>
    </w:p>
    <w:p w:rsidR="00E20202" w:rsidRPr="00B24160" w:rsidRDefault="00EE1981" w:rsidP="00246CC0">
      <w:pPr>
        <w:pStyle w:val="Default"/>
        <w:spacing w:after="120"/>
        <w:rPr>
          <w:bCs/>
          <w:color w:val="auto"/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E94825" w:rsidRPr="007C5321" w:rsidRDefault="00E94825" w:rsidP="00E94825">
      <w:pPr>
        <w:spacing w:after="120"/>
        <w:jc w:val="center"/>
        <w:rPr>
          <w:rFonts w:ascii="Arial" w:hAnsi="Arial" w:cs="Arial"/>
          <w:b/>
          <w:bCs/>
          <w:color w:val="000000"/>
        </w:rPr>
      </w:pPr>
      <w:r w:rsidRPr="007C5321">
        <w:rPr>
          <w:rFonts w:ascii="Arial" w:hAnsi="Arial" w:cs="Arial"/>
          <w:b/>
          <w:bCs/>
          <w:color w:val="000000"/>
        </w:rPr>
        <w:t>Resistors in series</w:t>
      </w:r>
    </w:p>
    <w:p w:rsidR="00E94825" w:rsidRDefault="00E94825" w:rsidP="00E94825">
      <w:pPr>
        <w:spacing w:after="12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When there is only one resistance in a circuit, the Ohm’s law calculation is straightforward.</w:t>
      </w:r>
    </w:p>
    <w:p w:rsidR="00E94825" w:rsidRDefault="00E94825" w:rsidP="00E94825">
      <w:pPr>
        <w:spacing w:after="12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However, when there are two or more resistors in a circuit, the total effective resistance must be calculated first. Resistors can be connected in many configurations: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193"/>
        <w:gridCol w:w="6696"/>
      </w:tblGrid>
      <w:tr w:rsidR="00E94825" w:rsidRPr="00C2641E" w:rsidTr="000D06C8">
        <w:tc>
          <w:tcPr>
            <w:tcW w:w="3193" w:type="dxa"/>
            <w:shd w:val="clear" w:color="auto" w:fill="auto"/>
            <w:vAlign w:val="center"/>
          </w:tcPr>
          <w:p w:rsidR="00E94825" w:rsidRPr="0056509F" w:rsidRDefault="00E94825" w:rsidP="00E94825">
            <w:pPr>
              <w:pStyle w:val="ListParagraph"/>
              <w:numPr>
                <w:ilvl w:val="0"/>
                <w:numId w:val="44"/>
              </w:numPr>
              <w:spacing w:after="120"/>
              <w:ind w:left="425" w:hanging="425"/>
              <w:rPr>
                <w:rFonts w:ascii="Arial" w:hAnsi="Arial" w:cs="Arial"/>
                <w:bCs/>
                <w:color w:val="000000"/>
              </w:rPr>
            </w:pPr>
            <w:r w:rsidRPr="0056509F">
              <w:rPr>
                <w:rFonts w:ascii="Arial" w:hAnsi="Arial" w:cs="Arial"/>
                <w:bCs/>
                <w:color w:val="000000"/>
              </w:rPr>
              <w:t>series</w:t>
            </w:r>
          </w:p>
          <w:p w:rsidR="00E94825" w:rsidRDefault="00E94825" w:rsidP="00E94825">
            <w:pPr>
              <w:pStyle w:val="ListParagraph"/>
              <w:numPr>
                <w:ilvl w:val="0"/>
                <w:numId w:val="44"/>
              </w:numPr>
              <w:spacing w:after="120"/>
              <w:ind w:left="425" w:hanging="425"/>
              <w:rPr>
                <w:rFonts w:ascii="Arial" w:hAnsi="Arial" w:cs="Arial"/>
                <w:bCs/>
                <w:color w:val="000000"/>
              </w:rPr>
            </w:pPr>
            <w:r w:rsidRPr="00C42F76">
              <w:rPr>
                <w:rFonts w:ascii="Arial" w:hAnsi="Arial" w:cs="Arial"/>
                <w:bCs/>
                <w:color w:val="000000"/>
              </w:rPr>
              <w:t>parallel</w:t>
            </w:r>
          </w:p>
          <w:p w:rsidR="00E94825" w:rsidRPr="00C42F76" w:rsidRDefault="00E94825" w:rsidP="00E94825">
            <w:pPr>
              <w:pStyle w:val="ListParagraph"/>
              <w:numPr>
                <w:ilvl w:val="0"/>
                <w:numId w:val="44"/>
              </w:numPr>
              <w:spacing w:after="120"/>
              <w:ind w:left="425" w:hanging="425"/>
              <w:rPr>
                <w:rFonts w:ascii="Arial" w:hAnsi="Arial" w:cs="Arial"/>
                <w:bCs/>
                <w:color w:val="000000"/>
              </w:rPr>
            </w:pPr>
            <w:r w:rsidRPr="00C42F76">
              <w:rPr>
                <w:rFonts w:ascii="Arial" w:hAnsi="Arial" w:cs="Arial"/>
                <w:bCs/>
                <w:color w:val="000000"/>
              </w:rPr>
              <w:t>series-parallel.</w:t>
            </w:r>
          </w:p>
          <w:p w:rsidR="00E94825" w:rsidRPr="003F1CD3" w:rsidRDefault="00E94825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F1CD3">
              <w:rPr>
                <w:rFonts w:ascii="Arial" w:hAnsi="Arial" w:cs="Arial"/>
                <w:sz w:val="22"/>
                <w:szCs w:val="22"/>
              </w:rPr>
              <w:t>In order to</w:t>
            </w:r>
            <w:proofErr w:type="gramEnd"/>
            <w:r w:rsidRPr="003F1CD3">
              <w:rPr>
                <w:rFonts w:ascii="Arial" w:hAnsi="Arial" w:cs="Arial"/>
                <w:sz w:val="22"/>
                <w:szCs w:val="22"/>
              </w:rPr>
              <w:t xml:space="preserve"> find the total resistance of any series circuit, just add all the resistances together.</w:t>
            </w:r>
          </w:p>
        </w:tc>
        <w:tc>
          <w:tcPr>
            <w:tcW w:w="6696" w:type="dxa"/>
            <w:shd w:val="clear" w:color="auto" w:fill="auto"/>
            <w:vAlign w:val="center"/>
          </w:tcPr>
          <w:p w:rsidR="00E94825" w:rsidRPr="003F1CD3" w:rsidRDefault="00E94825" w:rsidP="000D06C8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A2D3AB0" wp14:editId="34316494">
                  <wp:extent cx="4105275" cy="352425"/>
                  <wp:effectExtent l="0" t="0" r="9525" b="9525"/>
                  <wp:docPr id="3" name="Picture 12" descr="series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eries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4825" w:rsidRDefault="00E94825" w:rsidP="00E94825">
      <w:pPr>
        <w:spacing w:after="120"/>
        <w:rPr>
          <w:rFonts w:ascii="Arial" w:hAnsi="Arial" w:cs="Arial"/>
          <w:bCs/>
          <w:sz w:val="22"/>
          <w:szCs w:val="22"/>
        </w:rPr>
      </w:pPr>
      <w:r w:rsidRPr="00C2641E">
        <w:rPr>
          <w:rFonts w:ascii="Arial" w:hAnsi="Arial" w:cs="Arial"/>
          <w:bCs/>
          <w:sz w:val="22"/>
          <w:szCs w:val="22"/>
        </w:rPr>
        <w:t>The formula for calculating the total resistance of resistors connected in series is given below</w:t>
      </w:r>
      <w:r>
        <w:rPr>
          <w:rFonts w:ascii="Arial" w:hAnsi="Arial" w:cs="Arial"/>
          <w:bCs/>
          <w:sz w:val="22"/>
          <w:szCs w:val="22"/>
        </w:rPr>
        <w:t>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94825" w:rsidRPr="00C8563B" w:rsidTr="000D06C8"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:rsidR="00E94825" w:rsidRPr="009E78CB" w:rsidRDefault="00EE1981" w:rsidP="000D06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E94825" w:rsidRPr="00C8563B" w:rsidRDefault="00E94825" w:rsidP="00E94825">
      <w:pPr>
        <w:rPr>
          <w:rFonts w:ascii="Arial" w:hAnsi="Arial" w:cs="Arial"/>
          <w:sz w:val="16"/>
          <w:szCs w:val="16"/>
        </w:rPr>
      </w:pPr>
    </w:p>
    <w:p w:rsidR="00E94825" w:rsidRPr="004671D2" w:rsidRDefault="00E94825" w:rsidP="00E94825">
      <w:pPr>
        <w:pStyle w:val="Default"/>
        <w:rPr>
          <w:b/>
          <w:color w:val="auto"/>
          <w:sz w:val="22"/>
          <w:szCs w:val="22"/>
        </w:rPr>
      </w:pPr>
      <w:r w:rsidRPr="004671D2">
        <w:rPr>
          <w:b/>
          <w:color w:val="auto"/>
          <w:sz w:val="22"/>
          <w:szCs w:val="22"/>
        </w:rPr>
        <w:t>Example </w:t>
      </w:r>
      <w:r>
        <w:rPr>
          <w:b/>
          <w:color w:val="auto"/>
          <w:sz w:val="22"/>
          <w:szCs w:val="22"/>
        </w:rPr>
        <w:t>1</w:t>
      </w:r>
    </w:p>
    <w:p w:rsidR="00E94825" w:rsidRDefault="00E94825" w:rsidP="00E94825">
      <w:pPr>
        <w:spacing w:after="120"/>
        <w:rPr>
          <w:rFonts w:ascii="Arial" w:hAnsi="Arial" w:cs="Arial"/>
          <w:sz w:val="22"/>
          <w:szCs w:val="22"/>
        </w:rPr>
      </w:pPr>
      <w:r w:rsidRPr="0056509F">
        <w:rPr>
          <w:rFonts w:ascii="Arial" w:hAnsi="Arial" w:cs="Arial"/>
          <w:sz w:val="22"/>
          <w:szCs w:val="22"/>
        </w:rPr>
        <w:t>Calculate the total resist</w:t>
      </w:r>
      <w:r>
        <w:rPr>
          <w:rFonts w:ascii="Arial" w:hAnsi="Arial" w:cs="Arial"/>
          <w:sz w:val="22"/>
          <w:szCs w:val="22"/>
        </w:rPr>
        <w:t>ance of the circuit shown below: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94825" w:rsidTr="000D06C8">
        <w:tc>
          <w:tcPr>
            <w:tcW w:w="9889" w:type="dxa"/>
            <w:shd w:val="clear" w:color="auto" w:fill="auto"/>
          </w:tcPr>
          <w:p w:rsidR="00E94825" w:rsidRPr="003F1CD3" w:rsidRDefault="00E94825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5EC584E" wp14:editId="3704A0AC">
                  <wp:extent cx="5753100" cy="609600"/>
                  <wp:effectExtent l="0" t="0" r="0" b="0"/>
                  <wp:docPr id="5" name="Picture 13" descr="series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eries 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4825" w:rsidRDefault="00E94825" w:rsidP="00E94825">
      <w:pPr>
        <w:rPr>
          <w:rFonts w:ascii="Arial" w:hAnsi="Arial" w:cs="Arial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3828"/>
        <w:gridCol w:w="1417"/>
      </w:tblGrid>
      <w:tr w:rsidR="00E94825" w:rsidTr="000D06C8">
        <w:tc>
          <w:tcPr>
            <w:tcW w:w="4077" w:type="dxa"/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17" w:type="dxa"/>
            <w:vMerge w:val="restart"/>
            <w:shd w:val="clear" w:color="auto" w:fill="auto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94825" w:rsidTr="000D06C8">
        <w:tc>
          <w:tcPr>
            <w:tcW w:w="4077" w:type="dxa"/>
            <w:shd w:val="clear" w:color="auto" w:fill="auto"/>
            <w:vAlign w:val="center"/>
          </w:tcPr>
          <w:p w:rsidR="00E94825" w:rsidRPr="00C42F76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2+5+8+3</m:t>
                </m:r>
              </m:oMath>
            </m:oMathPara>
          </w:p>
        </w:tc>
        <w:tc>
          <w:tcPr>
            <w:tcW w:w="1417" w:type="dxa"/>
            <w:vMerge/>
            <w:shd w:val="clear" w:color="auto" w:fill="auto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94825" w:rsidTr="000D06C8">
        <w:tc>
          <w:tcPr>
            <w:tcW w:w="4077" w:type="dxa"/>
            <w:shd w:val="clear" w:color="auto" w:fill="auto"/>
            <w:vAlign w:val="center"/>
          </w:tcPr>
          <w:p w:rsidR="00E94825" w:rsidRPr="00C42F76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rPr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18Ω</m:t>
                </m:r>
              </m:oMath>
            </m:oMathPara>
          </w:p>
        </w:tc>
        <w:tc>
          <w:tcPr>
            <w:tcW w:w="1417" w:type="dxa"/>
            <w:vMerge/>
            <w:shd w:val="clear" w:color="auto" w:fill="auto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</w:tbl>
    <w:p w:rsidR="00E94825" w:rsidRPr="008E68BB" w:rsidRDefault="00E94825" w:rsidP="00E94825">
      <w:pPr>
        <w:spacing w:after="120"/>
        <w:rPr>
          <w:rFonts w:ascii="Arial" w:hAnsi="Arial" w:cs="Arial"/>
          <w:sz w:val="22"/>
          <w:szCs w:val="22"/>
        </w:rPr>
      </w:pPr>
      <w:r w:rsidRPr="008E68BB">
        <w:rPr>
          <w:rFonts w:ascii="Arial" w:hAnsi="Arial" w:cs="Arial"/>
          <w:b/>
          <w:sz w:val="22"/>
          <w:szCs w:val="22"/>
        </w:rPr>
        <w:t>Method of determining current flow in a series circuit</w:t>
      </w:r>
    </w:p>
    <w:p w:rsidR="00E94825" w:rsidRPr="008E68BB" w:rsidRDefault="00E94825" w:rsidP="00E94825">
      <w:pPr>
        <w:numPr>
          <w:ilvl w:val="0"/>
          <w:numId w:val="45"/>
        </w:numPr>
        <w:tabs>
          <w:tab w:val="left" w:pos="426"/>
        </w:tabs>
        <w:overflowPunct w:val="0"/>
        <w:autoSpaceDE w:val="0"/>
        <w:autoSpaceDN w:val="0"/>
        <w:adjustRightInd w:val="0"/>
        <w:spacing w:after="120"/>
        <w:ind w:left="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8E68BB">
        <w:rPr>
          <w:rFonts w:ascii="Arial" w:hAnsi="Arial" w:cs="Arial"/>
          <w:sz w:val="22"/>
          <w:szCs w:val="22"/>
        </w:rPr>
        <w:t>Calculate the total resistance of the circuit, using the series resistor formula.</w:t>
      </w:r>
    </w:p>
    <w:p w:rsidR="00E94825" w:rsidRPr="008E68BB" w:rsidRDefault="00E94825" w:rsidP="00E94825">
      <w:pPr>
        <w:numPr>
          <w:ilvl w:val="0"/>
          <w:numId w:val="45"/>
        </w:numPr>
        <w:tabs>
          <w:tab w:val="left" w:pos="426"/>
        </w:tabs>
        <w:overflowPunct w:val="0"/>
        <w:autoSpaceDE w:val="0"/>
        <w:autoSpaceDN w:val="0"/>
        <w:adjustRightInd w:val="0"/>
        <w:spacing w:after="120"/>
        <w:ind w:left="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8E68BB">
        <w:rPr>
          <w:rFonts w:ascii="Arial" w:hAnsi="Arial" w:cs="Arial"/>
          <w:sz w:val="22"/>
          <w:szCs w:val="22"/>
        </w:rPr>
        <w:t>Redraw the circuit diagram, using the equivalent total resistance.</w:t>
      </w:r>
    </w:p>
    <w:p w:rsidR="00E94825" w:rsidRPr="008E68BB" w:rsidRDefault="00E94825" w:rsidP="00E94825">
      <w:pPr>
        <w:numPr>
          <w:ilvl w:val="0"/>
          <w:numId w:val="45"/>
        </w:numPr>
        <w:tabs>
          <w:tab w:val="left" w:pos="426"/>
        </w:tabs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8E68BB">
        <w:rPr>
          <w:rFonts w:ascii="Arial" w:hAnsi="Arial" w:cs="Arial"/>
          <w:sz w:val="22"/>
          <w:szCs w:val="22"/>
        </w:rPr>
        <w:t>Using Ohm</w:t>
      </w:r>
      <w:r>
        <w:rPr>
          <w:rFonts w:ascii="Arial" w:hAnsi="Arial" w:cs="Arial"/>
          <w:sz w:val="22"/>
          <w:szCs w:val="22"/>
        </w:rPr>
        <w:t>’s l</w:t>
      </w:r>
      <w:r w:rsidRPr="008E68BB">
        <w:rPr>
          <w:rFonts w:ascii="Arial" w:hAnsi="Arial" w:cs="Arial"/>
          <w:sz w:val="22"/>
          <w:szCs w:val="22"/>
        </w:rPr>
        <w:t>aw</w:t>
      </w:r>
      <w:r>
        <w:rPr>
          <w:rFonts w:ascii="Arial" w:hAnsi="Arial" w:cs="Arial"/>
          <w:sz w:val="22"/>
          <w:szCs w:val="22"/>
        </w:rPr>
        <w:t>,</w:t>
      </w:r>
      <w:r w:rsidRPr="008E68BB">
        <w:rPr>
          <w:rFonts w:ascii="Arial" w:hAnsi="Arial" w:cs="Arial"/>
          <w:sz w:val="22"/>
          <w:szCs w:val="22"/>
        </w:rPr>
        <w:t xml:space="preserve"> calculate the current flowing.</w:t>
      </w:r>
    </w:p>
    <w:p w:rsidR="00E94825" w:rsidRPr="002F3631" w:rsidRDefault="00E94825" w:rsidP="00E94825">
      <w:pPr>
        <w:rPr>
          <w:rFonts w:ascii="Arial" w:hAnsi="Arial" w:cs="Arial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Pr="002F3631">
        <w:rPr>
          <w:rFonts w:ascii="Arial" w:hAnsi="Arial" w:cs="Arial"/>
          <w:b/>
          <w:sz w:val="22"/>
          <w:szCs w:val="22"/>
        </w:rPr>
        <w:lastRenderedPageBreak/>
        <w:t>Example 2</w:t>
      </w:r>
    </w:p>
    <w:p w:rsidR="00E94825" w:rsidRDefault="00E94825" w:rsidP="00E94825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56509F">
        <w:rPr>
          <w:rFonts w:ascii="Arial" w:hAnsi="Arial" w:cs="Arial"/>
          <w:sz w:val="22"/>
          <w:szCs w:val="22"/>
        </w:rPr>
        <w:t xml:space="preserve">Calculate </w:t>
      </w:r>
      <w:r w:rsidRPr="008E68BB">
        <w:rPr>
          <w:rFonts w:ascii="Arial" w:hAnsi="Arial" w:cs="Arial"/>
          <w:sz w:val="22"/>
          <w:szCs w:val="22"/>
        </w:rPr>
        <w:t>the current that will flow in the circuit shown below: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94825" w:rsidTr="000D06C8">
        <w:tc>
          <w:tcPr>
            <w:tcW w:w="9889" w:type="dxa"/>
            <w:shd w:val="clear" w:color="auto" w:fill="auto"/>
          </w:tcPr>
          <w:p w:rsidR="00E94825" w:rsidRPr="003F1CD3" w:rsidRDefault="00E94825" w:rsidP="000D06C8">
            <w:pPr>
              <w:pStyle w:val="Header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794B562" wp14:editId="2EFF54B5">
                  <wp:extent cx="4476750" cy="1476375"/>
                  <wp:effectExtent l="0" t="0" r="0" b="9525"/>
                  <wp:docPr id="13" name="Picture 16" descr="series 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eries 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4825" w:rsidRDefault="00E94825" w:rsidP="00E94825">
      <w:pPr>
        <w:pStyle w:val="Header"/>
        <w:rPr>
          <w:rFonts w:ascii="Arial" w:hAnsi="Arial" w:cs="Arial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3828"/>
        <w:gridCol w:w="1417"/>
      </w:tblGrid>
      <w:tr w:rsidR="00E94825" w:rsidTr="000D06C8">
        <w:tc>
          <w:tcPr>
            <w:tcW w:w="4077" w:type="dxa"/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7" w:type="dxa"/>
            <w:vMerge w:val="restart"/>
            <w:shd w:val="clear" w:color="auto" w:fill="auto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94825" w:rsidTr="000D06C8">
        <w:tc>
          <w:tcPr>
            <w:tcW w:w="4077" w:type="dxa"/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2+3+7</m:t>
                </m:r>
              </m:oMath>
            </m:oMathPara>
          </w:p>
        </w:tc>
        <w:tc>
          <w:tcPr>
            <w:tcW w:w="1417" w:type="dxa"/>
            <w:vMerge/>
            <w:shd w:val="clear" w:color="auto" w:fill="auto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94825" w:rsidTr="000D06C8">
        <w:tc>
          <w:tcPr>
            <w:tcW w:w="4077" w:type="dxa"/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rPr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12Ω</m:t>
                </m:r>
              </m:oMath>
            </m:oMathPara>
          </w:p>
        </w:tc>
        <w:tc>
          <w:tcPr>
            <w:tcW w:w="1417" w:type="dxa"/>
            <w:vMerge/>
            <w:shd w:val="clear" w:color="auto" w:fill="auto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</w:tbl>
    <w:p w:rsidR="00E94825" w:rsidRDefault="00E94825" w:rsidP="00E94825">
      <w:pPr>
        <w:pStyle w:val="Header"/>
        <w:spacing w:after="120"/>
        <w:rPr>
          <w:rFonts w:ascii="Arial" w:hAnsi="Arial" w:cs="Arial"/>
          <w:b/>
          <w:sz w:val="22"/>
          <w:szCs w:val="22"/>
        </w:rPr>
      </w:pPr>
      <w:r w:rsidRPr="008E68BB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quivalent circuit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1639"/>
        <w:gridCol w:w="3606"/>
      </w:tblGrid>
      <w:tr w:rsidR="00E94825" w:rsidTr="000D06C8">
        <w:trPr>
          <w:trHeight w:val="459"/>
        </w:trPr>
        <w:tc>
          <w:tcPr>
            <w:tcW w:w="4077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I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639" w:type="dxa"/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3606" w:type="dxa"/>
            <w:vMerge w:val="restart"/>
            <w:shd w:val="clear" w:color="auto" w:fill="auto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14617102" wp14:editId="7939179D">
                  <wp:extent cx="2143125" cy="1466850"/>
                  <wp:effectExtent l="0" t="0" r="9525" b="0"/>
                  <wp:docPr id="24" name="Picture 0" descr="series 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eries 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825" w:rsidTr="000D06C8">
        <w:trPr>
          <w:trHeight w:val="455"/>
        </w:trPr>
        <w:tc>
          <w:tcPr>
            <w:tcW w:w="4077" w:type="dxa"/>
            <w:shd w:val="clear" w:color="auto" w:fill="auto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639" w:type="dxa"/>
            <w:shd w:val="clear" w:color="auto" w:fill="auto"/>
          </w:tcPr>
          <w:p w:rsidR="00E94825" w:rsidRPr="009E78CB" w:rsidRDefault="00EE1981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24V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606" w:type="dxa"/>
            <w:vMerge/>
            <w:shd w:val="clear" w:color="auto" w:fill="auto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94825" w:rsidTr="000D06C8">
        <w:trPr>
          <w:trHeight w:val="77"/>
        </w:trPr>
        <w:tc>
          <w:tcPr>
            <w:tcW w:w="4077" w:type="dxa"/>
            <w:shd w:val="clear" w:color="auto" w:fill="auto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639" w:type="dxa"/>
            <w:shd w:val="clear" w:color="auto" w:fill="auto"/>
          </w:tcPr>
          <w:p w:rsidR="00E94825" w:rsidRPr="009E78CB" w:rsidRDefault="00E94825" w:rsidP="000D06C8">
            <w:pPr>
              <w:pStyle w:val="Default"/>
              <w:spacing w:after="120"/>
              <w:rPr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 amperes</m:t>
                </m:r>
              </m:oMath>
            </m:oMathPara>
          </w:p>
        </w:tc>
        <w:tc>
          <w:tcPr>
            <w:tcW w:w="3606" w:type="dxa"/>
            <w:vMerge/>
            <w:shd w:val="clear" w:color="auto" w:fill="auto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</w:tbl>
    <w:p w:rsidR="00E94825" w:rsidRPr="00681377" w:rsidRDefault="00E94825" w:rsidP="00E94825">
      <w:pPr>
        <w:spacing w:after="120"/>
        <w:rPr>
          <w:rFonts w:ascii="Arial" w:hAnsi="Arial" w:cs="Arial"/>
          <w:sz w:val="22"/>
          <w:szCs w:val="22"/>
        </w:rPr>
      </w:pPr>
      <w:r w:rsidRPr="00681377">
        <w:rPr>
          <w:rFonts w:ascii="Arial" w:hAnsi="Arial" w:cs="Arial"/>
          <w:sz w:val="22"/>
          <w:szCs w:val="22"/>
        </w:rPr>
        <w:t>The current flowing in any series circuit will be the same wherever you measure it. In other words</w:t>
      </w:r>
      <w:r>
        <w:rPr>
          <w:rFonts w:ascii="Arial" w:hAnsi="Arial" w:cs="Arial"/>
          <w:sz w:val="22"/>
          <w:szCs w:val="22"/>
        </w:rPr>
        <w:t>,</w:t>
      </w:r>
      <w:r w:rsidRPr="00681377">
        <w:rPr>
          <w:rFonts w:ascii="Arial" w:hAnsi="Arial" w:cs="Arial"/>
          <w:sz w:val="22"/>
          <w:szCs w:val="22"/>
        </w:rPr>
        <w:t xml:space="preserve"> the current coming from the supply will flow through resistance 1, then through resistance 2</w:t>
      </w:r>
      <w:r>
        <w:rPr>
          <w:rFonts w:ascii="Arial" w:hAnsi="Arial" w:cs="Arial"/>
          <w:sz w:val="22"/>
          <w:szCs w:val="22"/>
        </w:rPr>
        <w:t>,</w:t>
      </w:r>
      <w:r w:rsidRPr="006813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followed by</w:t>
      </w:r>
      <w:r w:rsidRPr="00681377">
        <w:rPr>
          <w:rFonts w:ascii="Arial" w:hAnsi="Arial" w:cs="Arial"/>
          <w:sz w:val="22"/>
          <w:szCs w:val="22"/>
        </w:rPr>
        <w:t xml:space="preserve"> resistance 3</w:t>
      </w:r>
      <w:r>
        <w:rPr>
          <w:rFonts w:ascii="Arial" w:hAnsi="Arial" w:cs="Arial"/>
          <w:sz w:val="22"/>
          <w:szCs w:val="22"/>
        </w:rPr>
        <w:t>,</w:t>
      </w:r>
      <w:r w:rsidRPr="00681377">
        <w:rPr>
          <w:rFonts w:ascii="Arial" w:hAnsi="Arial" w:cs="Arial"/>
          <w:sz w:val="22"/>
          <w:szCs w:val="22"/>
        </w:rPr>
        <w:t xml:space="preserve"> and so on, until it gets back to the supply terminal.</w:t>
      </w:r>
    </w:p>
    <w:p w:rsidR="00E94825" w:rsidRDefault="00E94825" w:rsidP="00E94825">
      <w:pPr>
        <w:spacing w:after="120"/>
        <w:rPr>
          <w:rFonts w:ascii="Arial" w:hAnsi="Arial" w:cs="Arial"/>
          <w:b/>
          <w:sz w:val="22"/>
          <w:szCs w:val="22"/>
        </w:rPr>
      </w:pPr>
      <w:r w:rsidRPr="00442B1E">
        <w:rPr>
          <w:rFonts w:ascii="Arial" w:hAnsi="Arial" w:cs="Arial"/>
          <w:b/>
          <w:sz w:val="22"/>
          <w:szCs w:val="22"/>
        </w:rPr>
        <w:t>It does not matter where you measure the current in the series circuit</w:t>
      </w:r>
      <w:r>
        <w:rPr>
          <w:rFonts w:ascii="Arial" w:hAnsi="Arial" w:cs="Arial"/>
          <w:b/>
          <w:sz w:val="22"/>
          <w:szCs w:val="22"/>
        </w:rPr>
        <w:t>,</w:t>
      </w:r>
      <w:r w:rsidRPr="00442B1E">
        <w:rPr>
          <w:rFonts w:ascii="Arial" w:hAnsi="Arial" w:cs="Arial"/>
          <w:b/>
          <w:sz w:val="22"/>
          <w:szCs w:val="22"/>
        </w:rPr>
        <w:t xml:space="preserve"> as it will always be the same.</w:t>
      </w:r>
    </w:p>
    <w:p w:rsidR="00E94825" w:rsidRPr="00FE5E8C" w:rsidRDefault="00E94825" w:rsidP="00E94825">
      <w:pPr>
        <w:spacing w:after="120"/>
        <w:rPr>
          <w:rFonts w:ascii="Arial" w:hAnsi="Arial" w:cs="Arial"/>
          <w:b/>
          <w:sz w:val="22"/>
          <w:szCs w:val="22"/>
        </w:rPr>
      </w:pPr>
      <w:r w:rsidRPr="00FE5E8C">
        <w:rPr>
          <w:rFonts w:ascii="Arial" w:hAnsi="Arial" w:cs="Arial"/>
          <w:b/>
          <w:sz w:val="22"/>
          <w:szCs w:val="22"/>
        </w:rPr>
        <w:t xml:space="preserve">Voltage </w:t>
      </w:r>
      <w:proofErr w:type="gramStart"/>
      <w:r w:rsidRPr="00FE5E8C">
        <w:rPr>
          <w:rFonts w:ascii="Arial" w:hAnsi="Arial" w:cs="Arial"/>
          <w:b/>
          <w:sz w:val="22"/>
          <w:szCs w:val="22"/>
        </w:rPr>
        <w:t>drop</w:t>
      </w:r>
      <w:proofErr w:type="gramEnd"/>
    </w:p>
    <w:p w:rsidR="00E94825" w:rsidRDefault="00E94825" w:rsidP="00E94825">
      <w:pPr>
        <w:spacing w:after="120"/>
        <w:rPr>
          <w:rFonts w:ascii="Arial" w:hAnsi="Arial" w:cs="Arial"/>
          <w:sz w:val="22"/>
          <w:szCs w:val="22"/>
        </w:rPr>
      </w:pPr>
      <w:r w:rsidRPr="00FE5E8C">
        <w:rPr>
          <w:rFonts w:ascii="Arial" w:hAnsi="Arial" w:cs="Arial"/>
          <w:sz w:val="22"/>
          <w:szCs w:val="22"/>
        </w:rPr>
        <w:t>If a current</w:t>
      </w:r>
      <w:r>
        <w:rPr>
          <w:rFonts w:ascii="Arial" w:hAnsi="Arial" w:cs="Arial"/>
          <w:sz w:val="22"/>
          <w:szCs w:val="22"/>
        </w:rPr>
        <w:t xml:space="preserve"> is passed through a resistance</w:t>
      </w:r>
      <w:r w:rsidRPr="00FE5E8C">
        <w:rPr>
          <w:rFonts w:ascii="Arial" w:hAnsi="Arial" w:cs="Arial"/>
          <w:sz w:val="22"/>
          <w:szCs w:val="22"/>
        </w:rPr>
        <w:t xml:space="preserve"> then, according to </w:t>
      </w:r>
      <w:r>
        <w:rPr>
          <w:rFonts w:ascii="Arial" w:hAnsi="Arial" w:cs="Arial"/>
          <w:sz w:val="22"/>
          <w:szCs w:val="22"/>
        </w:rPr>
        <w:t>O</w:t>
      </w:r>
      <w:r w:rsidRPr="00FE5E8C">
        <w:rPr>
          <w:rFonts w:ascii="Arial" w:hAnsi="Arial" w:cs="Arial"/>
          <w:sz w:val="22"/>
          <w:szCs w:val="22"/>
        </w:rPr>
        <w:t>hm</w:t>
      </w:r>
      <w:r>
        <w:rPr>
          <w:rFonts w:ascii="Arial" w:hAnsi="Arial" w:cs="Arial"/>
          <w:sz w:val="22"/>
          <w:szCs w:val="22"/>
        </w:rPr>
        <w:t>’</w:t>
      </w:r>
      <w:r w:rsidRPr="00FE5E8C">
        <w:rPr>
          <w:rFonts w:ascii="Arial" w:hAnsi="Arial" w:cs="Arial"/>
          <w:sz w:val="22"/>
          <w:szCs w:val="22"/>
        </w:rPr>
        <w:t>s law</w:t>
      </w:r>
      <w:r>
        <w:rPr>
          <w:rFonts w:ascii="Arial" w:hAnsi="Arial" w:cs="Arial"/>
          <w:sz w:val="22"/>
          <w:szCs w:val="22"/>
        </w:rPr>
        <w:t>,</w:t>
      </w:r>
      <w:r w:rsidRPr="00FE5E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voltage is produced across it, i.e.</w:t>
      </w:r>
    </w:p>
    <w:p w:rsidR="00E94825" w:rsidRPr="009E78CB" w:rsidRDefault="00E94825" w:rsidP="00E94825">
      <w:pPr>
        <w:spacing w:after="120"/>
        <w:jc w:val="center"/>
        <w:rPr>
          <w:rFonts w:ascii="Arial" w:hAnsi="Arial" w:cs="Arial"/>
          <w:color w:val="FF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FF0000"/>
              <w:sz w:val="26"/>
              <w:szCs w:val="26"/>
            </w:rPr>
            <m:t>V=I×R</m:t>
          </m:r>
        </m:oMath>
      </m:oMathPara>
    </w:p>
    <w:p w:rsidR="00E94825" w:rsidRPr="00FE5E8C" w:rsidRDefault="00E94825" w:rsidP="00E94825">
      <w:pPr>
        <w:spacing w:after="120"/>
        <w:rPr>
          <w:rFonts w:ascii="Arial" w:hAnsi="Arial" w:cs="Arial"/>
          <w:sz w:val="22"/>
          <w:szCs w:val="22"/>
        </w:rPr>
      </w:pPr>
      <w:r w:rsidRPr="00FE5E8C">
        <w:rPr>
          <w:rFonts w:ascii="Arial" w:hAnsi="Arial" w:cs="Arial"/>
          <w:sz w:val="22"/>
          <w:szCs w:val="22"/>
        </w:rPr>
        <w:t xml:space="preserve">This voltage is often referred to as a </w:t>
      </w:r>
      <w:r w:rsidRPr="00442B1E">
        <w:rPr>
          <w:rFonts w:ascii="Arial" w:hAnsi="Arial" w:cs="Arial"/>
          <w:b/>
          <w:sz w:val="22"/>
          <w:szCs w:val="22"/>
        </w:rPr>
        <w:t>voltage drop</w:t>
      </w:r>
      <w:r w:rsidRPr="00FE5E8C">
        <w:rPr>
          <w:rFonts w:ascii="Arial" w:hAnsi="Arial" w:cs="Arial"/>
          <w:sz w:val="22"/>
          <w:szCs w:val="22"/>
        </w:rPr>
        <w:t xml:space="preserve"> but is calculated the same way as any other voltage.</w:t>
      </w:r>
    </w:p>
    <w:p w:rsidR="00E94825" w:rsidRDefault="00E94825" w:rsidP="00E94825">
      <w:pPr>
        <w:spacing w:after="1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 w:type="page"/>
      </w:r>
    </w:p>
    <w:p w:rsidR="00E94825" w:rsidRPr="00FE5E8C" w:rsidRDefault="00E94825" w:rsidP="00E94825">
      <w:pPr>
        <w:spacing w:after="120"/>
        <w:rPr>
          <w:rFonts w:ascii="Arial" w:hAnsi="Arial" w:cs="Arial"/>
          <w:b/>
          <w:color w:val="FF0000"/>
          <w:sz w:val="22"/>
          <w:szCs w:val="22"/>
        </w:rPr>
      </w:pPr>
      <w:r w:rsidRPr="00FE5E8C">
        <w:rPr>
          <w:rFonts w:ascii="Arial" w:hAnsi="Arial" w:cs="Arial"/>
          <w:b/>
          <w:color w:val="FF0000"/>
          <w:sz w:val="22"/>
          <w:szCs w:val="22"/>
        </w:rPr>
        <w:lastRenderedPageBreak/>
        <w:t>After you have read a question, the first thing that you do is to draw a diagram relating to the question, with all the information on it.</w:t>
      </w:r>
    </w:p>
    <w:p w:rsidR="00E94825" w:rsidRPr="004671D2" w:rsidRDefault="00E94825" w:rsidP="00E94825">
      <w:pPr>
        <w:pStyle w:val="Default"/>
        <w:rPr>
          <w:b/>
          <w:color w:val="auto"/>
          <w:sz w:val="22"/>
          <w:szCs w:val="22"/>
        </w:rPr>
      </w:pPr>
      <w:r w:rsidRPr="004671D2">
        <w:rPr>
          <w:b/>
          <w:color w:val="auto"/>
          <w:sz w:val="22"/>
          <w:szCs w:val="22"/>
        </w:rPr>
        <w:t>Example </w:t>
      </w:r>
      <w:r>
        <w:rPr>
          <w:b/>
          <w:color w:val="auto"/>
          <w:sz w:val="22"/>
          <w:szCs w:val="22"/>
        </w:rPr>
        <w:t>3</w:t>
      </w:r>
    </w:p>
    <w:p w:rsidR="00E94825" w:rsidRDefault="00E94825" w:rsidP="00E94825">
      <w:pPr>
        <w:spacing w:after="120"/>
        <w:rPr>
          <w:rFonts w:ascii="Arial" w:hAnsi="Arial" w:cs="Arial"/>
          <w:sz w:val="22"/>
          <w:szCs w:val="22"/>
        </w:rPr>
      </w:pPr>
      <w:r w:rsidRPr="00FE5E8C">
        <w:rPr>
          <w:rFonts w:ascii="Arial" w:hAnsi="Arial" w:cs="Arial"/>
          <w:sz w:val="22"/>
          <w:szCs w:val="22"/>
        </w:rPr>
        <w:t>What potential is produced across a resistance of 23</w:t>
      </w:r>
      <w:r w:rsidRPr="00FE5E8C">
        <w:rPr>
          <w:rFonts w:ascii="Arial" w:hAnsi="Arial" w:cs="Arial"/>
          <w:sz w:val="22"/>
          <w:szCs w:val="22"/>
        </w:rPr>
        <w:sym w:font="Symbol" w:char="F057"/>
      </w:r>
      <w:r w:rsidRPr="00FE5E8C">
        <w:rPr>
          <w:rFonts w:ascii="Arial" w:hAnsi="Arial" w:cs="Arial"/>
          <w:sz w:val="22"/>
          <w:szCs w:val="22"/>
        </w:rPr>
        <w:t xml:space="preserve"> if a current of 10 amps is flowing through it?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92"/>
        <w:gridCol w:w="5346"/>
      </w:tblGrid>
      <w:tr w:rsidR="00E94825" w:rsidTr="000D06C8">
        <w:tc>
          <w:tcPr>
            <w:tcW w:w="7338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Header"/>
              <w:spacing w:after="120"/>
              <w:rPr>
                <w:rFonts w:ascii="Arial" w:hAnsi="Arial" w:cs="Arial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V= I×R</m:t>
                </m:r>
              </m:oMath>
            </m:oMathPara>
          </w:p>
          <w:p w:rsidR="00E94825" w:rsidRPr="009E78CB" w:rsidRDefault="00E94825" w:rsidP="000D06C8">
            <w:pPr>
              <w:pStyle w:val="Header"/>
              <w:spacing w:after="120"/>
              <w:rPr>
                <w:rFonts w:ascii="Arial" w:hAnsi="Arial" w:cs="Arial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V= 10×23</m:t>
                </m:r>
              </m:oMath>
            </m:oMathPara>
          </w:p>
          <w:p w:rsidR="00E94825" w:rsidRPr="009E78CB" w:rsidRDefault="00E94825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V=230 volts</m:t>
                </m:r>
              </m:oMath>
            </m:oMathPara>
          </w:p>
        </w:tc>
        <w:tc>
          <w:tcPr>
            <w:tcW w:w="1948" w:type="dxa"/>
            <w:shd w:val="clear" w:color="auto" w:fill="auto"/>
            <w:vAlign w:val="center"/>
          </w:tcPr>
          <w:p w:rsidR="00E94825" w:rsidRPr="003F1CD3" w:rsidRDefault="00E94825" w:rsidP="000D06C8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E4BE397" wp14:editId="6066CD94">
                  <wp:extent cx="3248025" cy="2438400"/>
                  <wp:effectExtent l="0" t="0" r="9525" b="0"/>
                  <wp:docPr id="33" name="Picture 18" descr="voltage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voltage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4825" w:rsidRDefault="00E94825" w:rsidP="00E94825">
      <w:pPr>
        <w:spacing w:after="1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Kirchoff’s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Voltage l</w:t>
      </w:r>
      <w:r w:rsidRPr="00FE5E8C">
        <w:rPr>
          <w:rFonts w:ascii="Arial" w:hAnsi="Arial" w:cs="Arial"/>
          <w:b/>
          <w:bCs/>
          <w:sz w:val="22"/>
          <w:szCs w:val="22"/>
        </w:rPr>
        <w:t>aw</w:t>
      </w:r>
    </w:p>
    <w:p w:rsidR="00E94825" w:rsidRDefault="00E94825" w:rsidP="00E94825">
      <w:pPr>
        <w:spacing w:after="120"/>
        <w:rPr>
          <w:rFonts w:ascii="Arial" w:hAnsi="Arial" w:cs="Arial"/>
          <w:sz w:val="22"/>
          <w:szCs w:val="22"/>
        </w:rPr>
      </w:pPr>
      <w:r w:rsidRPr="00FE5E8C">
        <w:rPr>
          <w:rFonts w:ascii="Arial" w:hAnsi="Arial" w:cs="Arial"/>
          <w:sz w:val="22"/>
          <w:szCs w:val="22"/>
        </w:rPr>
        <w:t>Kirchhoff's Voltage law states that: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color w:val="FF0000"/>
          <w:sz w:val="22"/>
          <w:szCs w:val="22"/>
        </w:rPr>
        <w:t>th</w:t>
      </w:r>
      <w:r w:rsidRPr="00442B1E">
        <w:rPr>
          <w:rFonts w:ascii="Arial" w:hAnsi="Arial" w:cs="Arial"/>
          <w:b/>
          <w:color w:val="FF0000"/>
          <w:sz w:val="22"/>
          <w:szCs w:val="22"/>
        </w:rPr>
        <w:t>e algebraic sum of the voltages around a circuit is equal to zero</w:t>
      </w:r>
      <w:r w:rsidRPr="00442B1E">
        <w:rPr>
          <w:rFonts w:ascii="Arial" w:hAnsi="Arial" w:cs="Arial"/>
          <w:b/>
          <w:sz w:val="22"/>
          <w:szCs w:val="22"/>
        </w:rPr>
        <w:t xml:space="preserve"> </w:t>
      </w:r>
      <w:r w:rsidRPr="00442B1E">
        <w:rPr>
          <w:rFonts w:ascii="Arial" w:hAnsi="Arial" w:cs="Arial"/>
          <w:sz w:val="22"/>
          <w:szCs w:val="22"/>
        </w:rPr>
        <w:t>(or the supply</w:t>
      </w:r>
      <w:r w:rsidRPr="00FE5E8C">
        <w:rPr>
          <w:rFonts w:ascii="Arial" w:hAnsi="Arial" w:cs="Arial"/>
          <w:sz w:val="22"/>
          <w:szCs w:val="22"/>
        </w:rPr>
        <w:t xml:space="preserve"> voltage</w:t>
      </w:r>
      <w:r>
        <w:rPr>
          <w:rFonts w:ascii="Arial" w:hAnsi="Arial" w:cs="Arial"/>
          <w:sz w:val="22"/>
          <w:szCs w:val="22"/>
        </w:rPr>
        <w:t>).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94825" w:rsidRPr="008549BE" w:rsidTr="000D06C8">
        <w:tc>
          <w:tcPr>
            <w:tcW w:w="9889" w:type="dxa"/>
            <w:shd w:val="clear" w:color="auto" w:fill="auto"/>
          </w:tcPr>
          <w:p w:rsidR="00E94825" w:rsidRPr="003F1CD3" w:rsidRDefault="00E94825" w:rsidP="000D06C8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62E989AB" wp14:editId="34535C55">
                  <wp:extent cx="4514850" cy="2581275"/>
                  <wp:effectExtent l="0" t="0" r="0" b="9525"/>
                  <wp:docPr id="34" name="Picture 19" descr="voltage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voltage 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4825" w:rsidRDefault="00E94825" w:rsidP="00E94825">
      <w:pPr>
        <w:spacing w:after="120"/>
        <w:rPr>
          <w:rFonts w:ascii="Arial" w:hAnsi="Arial" w:cs="Arial"/>
          <w:sz w:val="22"/>
          <w:szCs w:val="22"/>
        </w:rPr>
      </w:pPr>
      <w:r w:rsidRPr="00FE5E8C">
        <w:rPr>
          <w:rFonts w:ascii="Arial" w:hAnsi="Arial" w:cs="Arial"/>
          <w:sz w:val="22"/>
          <w:szCs w:val="22"/>
        </w:rPr>
        <w:t>Putting Kirchhoff's statement into symbols</w:t>
      </w:r>
      <w:r>
        <w:rPr>
          <w:rFonts w:ascii="Arial" w:hAnsi="Arial" w:cs="Arial"/>
          <w:sz w:val="22"/>
          <w:szCs w:val="22"/>
        </w:rPr>
        <w:t>,</w:t>
      </w:r>
      <w:r w:rsidRPr="00FE5E8C">
        <w:rPr>
          <w:rFonts w:ascii="Arial" w:hAnsi="Arial" w:cs="Arial"/>
          <w:sz w:val="22"/>
          <w:szCs w:val="22"/>
        </w:rPr>
        <w:t xml:space="preserve"> we get the formula</w:t>
      </w:r>
      <w:r>
        <w:rPr>
          <w:rFonts w:ascii="Arial" w:hAnsi="Arial" w:cs="Arial"/>
          <w:sz w:val="22"/>
          <w:szCs w:val="22"/>
        </w:rPr>
        <w:t>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94825" w:rsidRPr="00C8563B" w:rsidTr="000D06C8"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:rsidR="00E94825" w:rsidRPr="009E78CB" w:rsidRDefault="00EE1981" w:rsidP="000D06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E94825" w:rsidRPr="003F1CD3" w:rsidRDefault="00E94825" w:rsidP="00E94825">
      <w:pPr>
        <w:spacing w:after="120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b/>
          <w:sz w:val="22"/>
          <w:szCs w:val="22"/>
        </w:rPr>
        <w:br w:type="page"/>
      </w:r>
    </w:p>
    <w:p w:rsidR="00E94825" w:rsidRDefault="00E94825" w:rsidP="00E94825">
      <w:pPr>
        <w:pStyle w:val="Default"/>
        <w:rPr>
          <w:b/>
          <w:color w:val="auto"/>
          <w:sz w:val="22"/>
          <w:szCs w:val="22"/>
        </w:rPr>
      </w:pPr>
      <w:r w:rsidRPr="004671D2">
        <w:rPr>
          <w:b/>
          <w:color w:val="auto"/>
          <w:sz w:val="22"/>
          <w:szCs w:val="22"/>
        </w:rPr>
        <w:lastRenderedPageBreak/>
        <w:t>Example </w:t>
      </w:r>
      <w:r>
        <w:rPr>
          <w:b/>
          <w:color w:val="auto"/>
          <w:sz w:val="22"/>
          <w:szCs w:val="22"/>
        </w:rPr>
        <w:t>4</w:t>
      </w:r>
    </w:p>
    <w:p w:rsidR="00E94825" w:rsidRDefault="00E94825" w:rsidP="00E94825">
      <w:pPr>
        <w:spacing w:after="120"/>
        <w:rPr>
          <w:rFonts w:ascii="Arial" w:hAnsi="Arial" w:cs="Arial"/>
          <w:sz w:val="22"/>
          <w:szCs w:val="22"/>
        </w:rPr>
      </w:pPr>
      <w:r w:rsidRPr="00FE5E8C">
        <w:rPr>
          <w:rFonts w:ascii="Arial" w:hAnsi="Arial" w:cs="Arial"/>
          <w:sz w:val="22"/>
          <w:szCs w:val="22"/>
        </w:rPr>
        <w:t>Calculate V</w:t>
      </w:r>
      <w:r w:rsidRPr="00AD2E16">
        <w:rPr>
          <w:rFonts w:ascii="Arial" w:hAnsi="Arial" w:cs="Arial"/>
          <w:sz w:val="22"/>
          <w:szCs w:val="22"/>
          <w:vertAlign w:val="subscript"/>
        </w:rPr>
        <w:t>1</w:t>
      </w:r>
      <w:r w:rsidRPr="00FE5E8C">
        <w:rPr>
          <w:rFonts w:ascii="Arial" w:hAnsi="Arial" w:cs="Arial"/>
          <w:sz w:val="22"/>
          <w:szCs w:val="22"/>
        </w:rPr>
        <w:t>, V</w:t>
      </w:r>
      <w:r w:rsidRPr="00AD2E16">
        <w:rPr>
          <w:rFonts w:ascii="Arial" w:hAnsi="Arial" w:cs="Arial"/>
          <w:sz w:val="22"/>
          <w:szCs w:val="22"/>
          <w:vertAlign w:val="subscript"/>
        </w:rPr>
        <w:t>2</w:t>
      </w:r>
      <w:r w:rsidRPr="00FE5E8C">
        <w:rPr>
          <w:rFonts w:ascii="Arial" w:hAnsi="Arial" w:cs="Arial"/>
          <w:sz w:val="22"/>
          <w:szCs w:val="22"/>
        </w:rPr>
        <w:t>, V</w:t>
      </w:r>
      <w:r w:rsidRPr="00AD2E16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, hence proving</w:t>
      </w:r>
      <w:r w:rsidRPr="00FE5E8C">
        <w:rPr>
          <w:rFonts w:ascii="Arial" w:hAnsi="Arial" w:cs="Arial"/>
          <w:sz w:val="22"/>
          <w:szCs w:val="22"/>
        </w:rPr>
        <w:t xml:space="preserve"> Kirchhoff's </w:t>
      </w:r>
      <w:r>
        <w:rPr>
          <w:rFonts w:ascii="Arial" w:hAnsi="Arial" w:cs="Arial"/>
          <w:sz w:val="22"/>
          <w:szCs w:val="22"/>
        </w:rPr>
        <w:t>V</w:t>
      </w:r>
      <w:r w:rsidRPr="00FE5E8C">
        <w:rPr>
          <w:rFonts w:ascii="Arial" w:hAnsi="Arial" w:cs="Arial"/>
          <w:sz w:val="22"/>
          <w:szCs w:val="22"/>
        </w:rPr>
        <w:t>oltage law.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94825" w:rsidTr="000D06C8">
        <w:tc>
          <w:tcPr>
            <w:tcW w:w="9889" w:type="dxa"/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before="60" w:after="60"/>
              <w:jc w:val="center"/>
              <w:rPr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7D0A0257" wp14:editId="0408BF2B">
                  <wp:extent cx="3743325" cy="2305050"/>
                  <wp:effectExtent l="0" t="0" r="9525" b="0"/>
                  <wp:docPr id="36" name="Picture 20" descr="voltage 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oltage 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4825" w:rsidRDefault="00E94825" w:rsidP="00E94825">
      <w:pPr>
        <w:pStyle w:val="Default"/>
        <w:rPr>
          <w:color w:val="auto"/>
          <w:sz w:val="16"/>
          <w:szCs w:val="1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709"/>
        <w:gridCol w:w="1701"/>
        <w:gridCol w:w="709"/>
        <w:gridCol w:w="141"/>
        <w:gridCol w:w="567"/>
        <w:gridCol w:w="1985"/>
        <w:gridCol w:w="488"/>
        <w:gridCol w:w="709"/>
        <w:gridCol w:w="2063"/>
      </w:tblGrid>
      <w:tr w:rsidR="00E94825" w:rsidTr="000D06C8">
        <w:tc>
          <w:tcPr>
            <w:tcW w:w="40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after="120"/>
              <w:rPr>
                <w:color w:val="auto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</w:tr>
      <w:tr w:rsidR="00E94825" w:rsidTr="000D06C8">
        <w:tc>
          <w:tcPr>
            <w:tcW w:w="40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rPr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3+5+7</m:t>
                </m:r>
              </m:oMath>
            </m:oMathPara>
          </w:p>
        </w:tc>
      </w:tr>
      <w:tr w:rsidR="00E94825" w:rsidTr="000D06C8">
        <w:tc>
          <w:tcPr>
            <w:tcW w:w="40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rPr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15Ω</m:t>
                </m:r>
              </m:oMath>
            </m:oMathPara>
          </w:p>
        </w:tc>
      </w:tr>
      <w:tr w:rsidR="00E94825" w:rsidTr="000D06C8">
        <w:tc>
          <w:tcPr>
            <w:tcW w:w="40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I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after="120"/>
              <w:rPr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den>
                </m:f>
              </m:oMath>
            </m:oMathPara>
          </w:p>
        </w:tc>
      </w:tr>
      <w:tr w:rsidR="00E94825" w:rsidTr="000D06C8">
        <w:tc>
          <w:tcPr>
            <w:tcW w:w="40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after="120"/>
              <w:rPr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90V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15</m:t>
                    </m:r>
                  </m:den>
                </m:f>
              </m:oMath>
            </m:oMathPara>
          </w:p>
        </w:tc>
      </w:tr>
      <w:tr w:rsidR="00E94825" w:rsidTr="000D06C8">
        <w:tc>
          <w:tcPr>
            <w:tcW w:w="40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rPr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6 amperes</m:t>
                </m:r>
              </m:oMath>
            </m:oMathPara>
          </w:p>
        </w:tc>
      </w:tr>
      <w:tr w:rsidR="00E94825" w:rsidRPr="00DD7E80" w:rsidTr="000D06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before="60" w:after="60"/>
              <w:jc w:val="center"/>
              <w:rPr>
                <w:b/>
                <w:color w:val="auto"/>
                <w:sz w:val="22"/>
                <w:szCs w:val="22"/>
              </w:rPr>
            </w:pPr>
            <w:r w:rsidRPr="003F1CD3">
              <w:rPr>
                <w:b/>
                <w:color w:val="auto"/>
                <w:sz w:val="22"/>
                <w:szCs w:val="22"/>
              </w:rPr>
              <w:t>Resistor 1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before="60" w:after="60"/>
              <w:jc w:val="center"/>
              <w:rPr>
                <w:color w:val="auto"/>
                <w:sz w:val="22"/>
                <w:szCs w:val="22"/>
              </w:rPr>
            </w:pPr>
            <w:r w:rsidRPr="003F1CD3">
              <w:rPr>
                <w:b/>
                <w:color w:val="auto"/>
                <w:sz w:val="22"/>
                <w:szCs w:val="22"/>
              </w:rPr>
              <w:t>Resistor 2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before="60" w:after="60"/>
              <w:jc w:val="center"/>
              <w:rPr>
                <w:color w:val="auto"/>
                <w:sz w:val="22"/>
                <w:szCs w:val="22"/>
              </w:rPr>
            </w:pPr>
            <w:r w:rsidRPr="003F1CD3">
              <w:rPr>
                <w:b/>
                <w:color w:val="auto"/>
                <w:sz w:val="22"/>
                <w:szCs w:val="22"/>
              </w:rPr>
              <w:t>Resistor 3</w:t>
            </w:r>
          </w:p>
        </w:tc>
      </w:tr>
      <w:tr w:rsidR="00E94825" w:rsidRPr="0095678A" w:rsidTr="000D06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jc w:val="center"/>
              <w:rPr>
                <w:color w:val="FF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I×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jc w:val="center"/>
              <w:rPr>
                <w:color w:val="FF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I×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jc w:val="center"/>
              <w:rPr>
                <w:color w:val="FF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0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I×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</w:tr>
      <w:tr w:rsidR="00E94825" w:rsidRPr="0095678A" w:rsidTr="000D06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</w:trPr>
        <w:tc>
          <w:tcPr>
            <w:tcW w:w="81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4825" w:rsidRPr="004307C1" w:rsidRDefault="00E94825" w:rsidP="000D06C8">
            <w:pPr>
              <w:pStyle w:val="Default"/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jc w:val="center"/>
              <w:rPr>
                <w:color w:val="FF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6×3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4825" w:rsidRPr="004307C1" w:rsidRDefault="00E94825" w:rsidP="000D06C8">
            <w:pPr>
              <w:pStyle w:val="Default"/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jc w:val="center"/>
              <w:rPr>
                <w:color w:val="FF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6×5</m:t>
                </m:r>
              </m:oMath>
            </m:oMathPara>
          </w:p>
        </w:tc>
        <w:tc>
          <w:tcPr>
            <w:tcW w:w="4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4825" w:rsidRPr="004307C1" w:rsidRDefault="00E94825" w:rsidP="000D06C8">
            <w:pPr>
              <w:pStyle w:val="Default"/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jc w:val="center"/>
              <w:rPr>
                <w:color w:val="FF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06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6×7</m:t>
                </m:r>
              </m:oMath>
            </m:oMathPara>
          </w:p>
        </w:tc>
      </w:tr>
      <w:tr w:rsidR="00E94825" w:rsidRPr="0095678A" w:rsidTr="000D06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4825" w:rsidRPr="004307C1" w:rsidRDefault="00E94825" w:rsidP="000D06C8">
            <w:pPr>
              <w:pStyle w:val="Default"/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jc w:val="center"/>
              <w:rPr>
                <w:color w:val="FF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18V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4825" w:rsidRPr="004307C1" w:rsidRDefault="00E94825" w:rsidP="000D06C8">
            <w:pPr>
              <w:pStyle w:val="Default"/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jc w:val="center"/>
              <w:rPr>
                <w:color w:val="FF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30V</m:t>
                </m:r>
              </m:oMath>
            </m:oMathPara>
          </w:p>
        </w:tc>
        <w:tc>
          <w:tcPr>
            <w:tcW w:w="4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4825" w:rsidRPr="004307C1" w:rsidRDefault="00E94825" w:rsidP="000D06C8">
            <w:pPr>
              <w:pStyle w:val="Default"/>
              <w:spacing w:before="60" w:after="6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jc w:val="center"/>
              <w:rPr>
                <w:color w:val="FF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0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before="60" w:after="6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42V</m:t>
                </m:r>
              </m:oMath>
            </m:oMathPara>
          </w:p>
        </w:tc>
      </w:tr>
    </w:tbl>
    <w:p w:rsidR="00E94825" w:rsidRDefault="00E94825" w:rsidP="00E94825">
      <w:pPr>
        <w:pStyle w:val="Default"/>
        <w:rPr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E94825" w:rsidTr="000D06C8">
        <w:tc>
          <w:tcPr>
            <w:tcW w:w="4077" w:type="dxa"/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E94825" w:rsidRPr="009E78CB" w:rsidRDefault="00EE1981" w:rsidP="000D06C8">
            <w:pPr>
              <w:pStyle w:val="Default"/>
              <w:spacing w:after="120"/>
              <w:rPr>
                <w:color w:val="auto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</w:tr>
      <w:tr w:rsidR="00E94825" w:rsidTr="000D06C8">
        <w:tc>
          <w:tcPr>
            <w:tcW w:w="4077" w:type="dxa"/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rPr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18+30+42</m:t>
                </m:r>
              </m:oMath>
            </m:oMathPara>
          </w:p>
        </w:tc>
      </w:tr>
      <w:tr w:rsidR="00E94825" w:rsidTr="000D06C8">
        <w:tc>
          <w:tcPr>
            <w:tcW w:w="4077" w:type="dxa"/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94825" w:rsidRPr="009E78CB" w:rsidRDefault="00E94825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E94825" w:rsidRPr="003F1CD3" w:rsidRDefault="00E94825" w:rsidP="000D06C8">
            <w:pPr>
              <w:pStyle w:val="Default"/>
              <w:spacing w:after="120"/>
              <w:rPr>
                <w:color w:val="auto"/>
                <w:sz w:val="22"/>
                <w:szCs w:val="22"/>
                <w:u w:val="single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6"/>
                  <w:szCs w:val="26"/>
                </w:rPr>
                <m:t>90V</m:t>
              </m:r>
            </m:oMath>
            <w:r w:rsidRPr="003F1CD3">
              <w:rPr>
                <w:rFonts w:eastAsia="Times New Roman"/>
                <w:color w:val="FF0000"/>
                <w:sz w:val="28"/>
                <w:szCs w:val="28"/>
              </w:rPr>
              <w:t xml:space="preserve"> - </w:t>
            </w:r>
            <w:r w:rsidRPr="003F1CD3">
              <w:rPr>
                <w:color w:val="FF0000"/>
                <w:sz w:val="22"/>
                <w:szCs w:val="22"/>
              </w:rPr>
              <w:t>Kirchhoff’s law is proved.</w:t>
            </w:r>
          </w:p>
        </w:tc>
      </w:tr>
    </w:tbl>
    <w:p w:rsidR="002D2798" w:rsidRDefault="00EE1981" w:rsidP="00246CC0">
      <w:pPr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2D2798" w:rsidSect="00246CC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8C0" w:rsidRDefault="001E48C0">
      <w:r>
        <w:separator/>
      </w:r>
    </w:p>
  </w:endnote>
  <w:endnote w:type="continuationSeparator" w:id="0">
    <w:p w:rsidR="001E48C0" w:rsidRDefault="001E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81" w:rsidRDefault="00EE19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E48C0" w:rsidRPr="005A76CF" w:rsidTr="00E60A77">
      <w:tc>
        <w:tcPr>
          <w:tcW w:w="325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E1981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E1981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E1981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E48C0" w:rsidRPr="00246CC0" w:rsidRDefault="001E48C0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81" w:rsidRDefault="00EE1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8C0" w:rsidRDefault="001E48C0">
      <w:r>
        <w:separator/>
      </w:r>
    </w:p>
  </w:footnote>
  <w:footnote w:type="continuationSeparator" w:id="0">
    <w:p w:rsidR="001E48C0" w:rsidRDefault="001E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81" w:rsidRDefault="00EE19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1E48C0" w:rsidRPr="00BE2849" w:rsidTr="007E0408">
      <w:tc>
        <w:tcPr>
          <w:tcW w:w="3243" w:type="pct"/>
          <w:shd w:val="clear" w:color="auto" w:fill="auto"/>
        </w:tcPr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1E48C0" w:rsidRPr="00BE2849" w:rsidRDefault="001E48C0" w:rsidP="00E200F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EE1981">
            <w:rPr>
              <w:rFonts w:ascii="Arial" w:hAnsi="Arial" w:cs="Arial"/>
              <w:sz w:val="18"/>
            </w:rPr>
            <w:t>4</w:t>
          </w:r>
        </w:p>
      </w:tc>
    </w:tr>
  </w:tbl>
  <w:p w:rsidR="001E48C0" w:rsidRPr="00246CC0" w:rsidRDefault="001E48C0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81" w:rsidRDefault="00EE1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50C"/>
    <w:multiLevelType w:val="hybridMultilevel"/>
    <w:tmpl w:val="9B601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2667"/>
    <w:multiLevelType w:val="hybridMultilevel"/>
    <w:tmpl w:val="0982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3F46EA"/>
    <w:multiLevelType w:val="hybridMultilevel"/>
    <w:tmpl w:val="7BBE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8B4B72"/>
    <w:multiLevelType w:val="hybridMultilevel"/>
    <w:tmpl w:val="3A66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52482620"/>
    <w:lvl w:ilvl="0">
      <w:start w:val="4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CD5B33"/>
    <w:multiLevelType w:val="hybridMultilevel"/>
    <w:tmpl w:val="0568C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5048"/>
    <w:multiLevelType w:val="multilevel"/>
    <w:tmpl w:val="5BE61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D01D71"/>
    <w:multiLevelType w:val="hybridMultilevel"/>
    <w:tmpl w:val="761A375E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D4130"/>
    <w:multiLevelType w:val="hybridMultilevel"/>
    <w:tmpl w:val="26782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184504"/>
    <w:multiLevelType w:val="multilevel"/>
    <w:tmpl w:val="F16EB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25" w15:restartNumberingAfterBreak="0">
    <w:nsid w:val="4D347E36"/>
    <w:multiLevelType w:val="multilevel"/>
    <w:tmpl w:val="6756D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C4F38"/>
    <w:multiLevelType w:val="hybridMultilevel"/>
    <w:tmpl w:val="D33C579C"/>
    <w:lvl w:ilvl="0" w:tplc="2FBA748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F0CDE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28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5BFC244A"/>
    <w:multiLevelType w:val="hybridMultilevel"/>
    <w:tmpl w:val="E9CCE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17896"/>
    <w:multiLevelType w:val="hybridMultilevel"/>
    <w:tmpl w:val="D812B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77E15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2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FF25D2"/>
    <w:multiLevelType w:val="multilevel"/>
    <w:tmpl w:val="2D6E6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339E9"/>
    <w:multiLevelType w:val="multilevel"/>
    <w:tmpl w:val="3C561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FBC55B0"/>
    <w:multiLevelType w:val="hybridMultilevel"/>
    <w:tmpl w:val="26BA0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E214C4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42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3" w15:restartNumberingAfterBreak="0">
    <w:nsid w:val="7AFD07B0"/>
    <w:multiLevelType w:val="multilevel"/>
    <w:tmpl w:val="2552457C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4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34"/>
  </w:num>
  <w:num w:numId="4">
    <w:abstractNumId w:val="12"/>
  </w:num>
  <w:num w:numId="5">
    <w:abstractNumId w:val="37"/>
  </w:num>
  <w:num w:numId="6">
    <w:abstractNumId w:val="16"/>
  </w:num>
  <w:num w:numId="7">
    <w:abstractNumId w:val="28"/>
  </w:num>
  <w:num w:numId="8">
    <w:abstractNumId w:val="1"/>
  </w:num>
  <w:num w:numId="9">
    <w:abstractNumId w:val="22"/>
  </w:num>
  <w:num w:numId="10">
    <w:abstractNumId w:val="23"/>
  </w:num>
  <w:num w:numId="11">
    <w:abstractNumId w:val="18"/>
  </w:num>
  <w:num w:numId="12">
    <w:abstractNumId w:val="10"/>
  </w:num>
  <w:num w:numId="13">
    <w:abstractNumId w:val="36"/>
  </w:num>
  <w:num w:numId="14">
    <w:abstractNumId w:val="40"/>
  </w:num>
  <w:num w:numId="15">
    <w:abstractNumId w:val="3"/>
  </w:num>
  <w:num w:numId="16">
    <w:abstractNumId w:val="15"/>
  </w:num>
  <w:num w:numId="17">
    <w:abstractNumId w:val="44"/>
  </w:num>
  <w:num w:numId="18">
    <w:abstractNumId w:val="8"/>
  </w:num>
  <w:num w:numId="19">
    <w:abstractNumId w:val="7"/>
  </w:num>
  <w:num w:numId="20">
    <w:abstractNumId w:val="5"/>
  </w:num>
  <w:num w:numId="21">
    <w:abstractNumId w:val="9"/>
  </w:num>
  <w:num w:numId="22">
    <w:abstractNumId w:val="20"/>
  </w:num>
  <w:num w:numId="23">
    <w:abstractNumId w:val="14"/>
  </w:num>
  <w:num w:numId="24">
    <w:abstractNumId w:val="42"/>
  </w:num>
  <w:num w:numId="25">
    <w:abstractNumId w:val="35"/>
  </w:num>
  <w:num w:numId="26">
    <w:abstractNumId w:val="24"/>
  </w:num>
  <w:num w:numId="27">
    <w:abstractNumId w:val="38"/>
  </w:num>
  <w:num w:numId="28">
    <w:abstractNumId w:val="41"/>
  </w:num>
  <w:num w:numId="29">
    <w:abstractNumId w:val="6"/>
  </w:num>
  <w:num w:numId="30">
    <w:abstractNumId w:val="39"/>
  </w:num>
  <w:num w:numId="31">
    <w:abstractNumId w:val="33"/>
  </w:num>
  <w:num w:numId="32">
    <w:abstractNumId w:val="25"/>
  </w:num>
  <w:num w:numId="33">
    <w:abstractNumId w:val="17"/>
  </w:num>
  <w:num w:numId="34">
    <w:abstractNumId w:val="19"/>
  </w:num>
  <w:num w:numId="35">
    <w:abstractNumId w:val="27"/>
  </w:num>
  <w:num w:numId="36">
    <w:abstractNumId w:val="31"/>
  </w:num>
  <w:num w:numId="37">
    <w:abstractNumId w:val="26"/>
  </w:num>
  <w:num w:numId="38">
    <w:abstractNumId w:val="2"/>
  </w:num>
  <w:num w:numId="39">
    <w:abstractNumId w:val="4"/>
  </w:num>
  <w:num w:numId="40">
    <w:abstractNumId w:val="29"/>
  </w:num>
  <w:num w:numId="41">
    <w:abstractNumId w:val="0"/>
  </w:num>
  <w:num w:numId="42">
    <w:abstractNumId w:val="21"/>
  </w:num>
  <w:num w:numId="43">
    <w:abstractNumId w:val="30"/>
  </w:num>
  <w:num w:numId="44">
    <w:abstractNumId w:val="11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3E52"/>
    <w:rsid w:val="00023302"/>
    <w:rsid w:val="00027ED9"/>
    <w:rsid w:val="00052405"/>
    <w:rsid w:val="00065EB8"/>
    <w:rsid w:val="0007079D"/>
    <w:rsid w:val="00081CCD"/>
    <w:rsid w:val="0008362F"/>
    <w:rsid w:val="00095B50"/>
    <w:rsid w:val="000A6940"/>
    <w:rsid w:val="000B2B3A"/>
    <w:rsid w:val="000C1A73"/>
    <w:rsid w:val="000D1919"/>
    <w:rsid w:val="000E5848"/>
    <w:rsid w:val="000F6735"/>
    <w:rsid w:val="000F68F6"/>
    <w:rsid w:val="00112EB2"/>
    <w:rsid w:val="00124EF7"/>
    <w:rsid w:val="00131E2F"/>
    <w:rsid w:val="00135189"/>
    <w:rsid w:val="00140426"/>
    <w:rsid w:val="001531DF"/>
    <w:rsid w:val="00154223"/>
    <w:rsid w:val="00160013"/>
    <w:rsid w:val="0016305B"/>
    <w:rsid w:val="00173A2E"/>
    <w:rsid w:val="00181059"/>
    <w:rsid w:val="00186E84"/>
    <w:rsid w:val="001924D2"/>
    <w:rsid w:val="00194CC4"/>
    <w:rsid w:val="001A4DFA"/>
    <w:rsid w:val="001B4382"/>
    <w:rsid w:val="001B48C6"/>
    <w:rsid w:val="001D3C98"/>
    <w:rsid w:val="001E48C0"/>
    <w:rsid w:val="002101D7"/>
    <w:rsid w:val="00210B99"/>
    <w:rsid w:val="00217A93"/>
    <w:rsid w:val="0022051A"/>
    <w:rsid w:val="00237BB0"/>
    <w:rsid w:val="00246CC0"/>
    <w:rsid w:val="002500D2"/>
    <w:rsid w:val="00251EC7"/>
    <w:rsid w:val="0025798D"/>
    <w:rsid w:val="00260EC4"/>
    <w:rsid w:val="00263B84"/>
    <w:rsid w:val="00272D65"/>
    <w:rsid w:val="002964CD"/>
    <w:rsid w:val="00296FC3"/>
    <w:rsid w:val="002A3B55"/>
    <w:rsid w:val="002D2798"/>
    <w:rsid w:val="002E6CCD"/>
    <w:rsid w:val="00305C76"/>
    <w:rsid w:val="0031203E"/>
    <w:rsid w:val="00321F78"/>
    <w:rsid w:val="003224C2"/>
    <w:rsid w:val="00323400"/>
    <w:rsid w:val="00327A6F"/>
    <w:rsid w:val="00336392"/>
    <w:rsid w:val="00336E82"/>
    <w:rsid w:val="00345571"/>
    <w:rsid w:val="00372339"/>
    <w:rsid w:val="00377587"/>
    <w:rsid w:val="0038772E"/>
    <w:rsid w:val="00391089"/>
    <w:rsid w:val="003D1AB0"/>
    <w:rsid w:val="003F02F4"/>
    <w:rsid w:val="00401CA3"/>
    <w:rsid w:val="00412307"/>
    <w:rsid w:val="00414FE1"/>
    <w:rsid w:val="0041654F"/>
    <w:rsid w:val="00446F08"/>
    <w:rsid w:val="00453EB5"/>
    <w:rsid w:val="004620ED"/>
    <w:rsid w:val="0046560E"/>
    <w:rsid w:val="00466226"/>
    <w:rsid w:val="00470BB9"/>
    <w:rsid w:val="00484D89"/>
    <w:rsid w:val="004C6FC6"/>
    <w:rsid w:val="004F3708"/>
    <w:rsid w:val="00505C63"/>
    <w:rsid w:val="005104DE"/>
    <w:rsid w:val="005158D9"/>
    <w:rsid w:val="0054644A"/>
    <w:rsid w:val="00550358"/>
    <w:rsid w:val="00550509"/>
    <w:rsid w:val="005546A4"/>
    <w:rsid w:val="005844FC"/>
    <w:rsid w:val="00584639"/>
    <w:rsid w:val="00593EF1"/>
    <w:rsid w:val="005C3679"/>
    <w:rsid w:val="005D39EA"/>
    <w:rsid w:val="005D5498"/>
    <w:rsid w:val="005E7EA9"/>
    <w:rsid w:val="005F3C51"/>
    <w:rsid w:val="00604E57"/>
    <w:rsid w:val="0060507F"/>
    <w:rsid w:val="00621A89"/>
    <w:rsid w:val="00646344"/>
    <w:rsid w:val="006503A8"/>
    <w:rsid w:val="0065498F"/>
    <w:rsid w:val="0066001E"/>
    <w:rsid w:val="00661A0E"/>
    <w:rsid w:val="006671CF"/>
    <w:rsid w:val="00692CA9"/>
    <w:rsid w:val="00693925"/>
    <w:rsid w:val="00696F58"/>
    <w:rsid w:val="006B5D6B"/>
    <w:rsid w:val="006D0E50"/>
    <w:rsid w:val="006E1DD0"/>
    <w:rsid w:val="006E77EF"/>
    <w:rsid w:val="00703D6B"/>
    <w:rsid w:val="007212FF"/>
    <w:rsid w:val="0072308F"/>
    <w:rsid w:val="00752165"/>
    <w:rsid w:val="00760F7C"/>
    <w:rsid w:val="00796960"/>
    <w:rsid w:val="007A39B1"/>
    <w:rsid w:val="007D02C7"/>
    <w:rsid w:val="007D1F8B"/>
    <w:rsid w:val="007E0408"/>
    <w:rsid w:val="00822265"/>
    <w:rsid w:val="00842058"/>
    <w:rsid w:val="008436E0"/>
    <w:rsid w:val="0085046A"/>
    <w:rsid w:val="00853E58"/>
    <w:rsid w:val="00860BE9"/>
    <w:rsid w:val="00894B5F"/>
    <w:rsid w:val="008C1497"/>
    <w:rsid w:val="008D0E73"/>
    <w:rsid w:val="008E6899"/>
    <w:rsid w:val="008F0F2C"/>
    <w:rsid w:val="0091555E"/>
    <w:rsid w:val="009259AB"/>
    <w:rsid w:val="00931A14"/>
    <w:rsid w:val="00935002"/>
    <w:rsid w:val="009375D9"/>
    <w:rsid w:val="00961B51"/>
    <w:rsid w:val="00996F47"/>
    <w:rsid w:val="009B6974"/>
    <w:rsid w:val="009C0C93"/>
    <w:rsid w:val="009D61E3"/>
    <w:rsid w:val="009E6CF8"/>
    <w:rsid w:val="009F081F"/>
    <w:rsid w:val="009F318A"/>
    <w:rsid w:val="00A0718D"/>
    <w:rsid w:val="00A104DF"/>
    <w:rsid w:val="00A10597"/>
    <w:rsid w:val="00A15E6D"/>
    <w:rsid w:val="00A16B1F"/>
    <w:rsid w:val="00A26F27"/>
    <w:rsid w:val="00A56779"/>
    <w:rsid w:val="00A83A16"/>
    <w:rsid w:val="00AA1C6A"/>
    <w:rsid w:val="00AA29C6"/>
    <w:rsid w:val="00AC1605"/>
    <w:rsid w:val="00AC596B"/>
    <w:rsid w:val="00AF3C5D"/>
    <w:rsid w:val="00B070F9"/>
    <w:rsid w:val="00B157FA"/>
    <w:rsid w:val="00B24160"/>
    <w:rsid w:val="00B478B7"/>
    <w:rsid w:val="00B56B66"/>
    <w:rsid w:val="00B6304E"/>
    <w:rsid w:val="00B74AD0"/>
    <w:rsid w:val="00BA257A"/>
    <w:rsid w:val="00BA7659"/>
    <w:rsid w:val="00BC4AAD"/>
    <w:rsid w:val="00BE2849"/>
    <w:rsid w:val="00BE64D9"/>
    <w:rsid w:val="00C04BFE"/>
    <w:rsid w:val="00C1725F"/>
    <w:rsid w:val="00C33422"/>
    <w:rsid w:val="00C7687B"/>
    <w:rsid w:val="00C8563B"/>
    <w:rsid w:val="00C94614"/>
    <w:rsid w:val="00CA2B0C"/>
    <w:rsid w:val="00CA4E01"/>
    <w:rsid w:val="00CA5EDD"/>
    <w:rsid w:val="00CA7B52"/>
    <w:rsid w:val="00D056D6"/>
    <w:rsid w:val="00D21054"/>
    <w:rsid w:val="00D33255"/>
    <w:rsid w:val="00D3384A"/>
    <w:rsid w:val="00D365C5"/>
    <w:rsid w:val="00D36844"/>
    <w:rsid w:val="00D42DA8"/>
    <w:rsid w:val="00D5029C"/>
    <w:rsid w:val="00D516BC"/>
    <w:rsid w:val="00D51C93"/>
    <w:rsid w:val="00D537E0"/>
    <w:rsid w:val="00D609DC"/>
    <w:rsid w:val="00D73489"/>
    <w:rsid w:val="00D7381C"/>
    <w:rsid w:val="00D75E20"/>
    <w:rsid w:val="00D812EA"/>
    <w:rsid w:val="00D86756"/>
    <w:rsid w:val="00D90174"/>
    <w:rsid w:val="00D97C4F"/>
    <w:rsid w:val="00DA56DA"/>
    <w:rsid w:val="00DB452D"/>
    <w:rsid w:val="00DC1A59"/>
    <w:rsid w:val="00DE1F45"/>
    <w:rsid w:val="00DE60FB"/>
    <w:rsid w:val="00DE6FCF"/>
    <w:rsid w:val="00DF78C0"/>
    <w:rsid w:val="00E200FD"/>
    <w:rsid w:val="00E20202"/>
    <w:rsid w:val="00E24916"/>
    <w:rsid w:val="00E25A3A"/>
    <w:rsid w:val="00E60A77"/>
    <w:rsid w:val="00E85073"/>
    <w:rsid w:val="00E94825"/>
    <w:rsid w:val="00EA09A5"/>
    <w:rsid w:val="00EB2789"/>
    <w:rsid w:val="00EC7E71"/>
    <w:rsid w:val="00ED072C"/>
    <w:rsid w:val="00ED7E0E"/>
    <w:rsid w:val="00EE1981"/>
    <w:rsid w:val="00EE1B5D"/>
    <w:rsid w:val="00F2309F"/>
    <w:rsid w:val="00F30282"/>
    <w:rsid w:val="00F531AB"/>
    <w:rsid w:val="00F56E3B"/>
    <w:rsid w:val="00F67E87"/>
    <w:rsid w:val="00F82B65"/>
    <w:rsid w:val="00F85C1F"/>
    <w:rsid w:val="00F94C11"/>
    <w:rsid w:val="00FD76C7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1964E23E"/>
  <w15:docId w15:val="{C6C2F570-C4CA-4189-9B54-CD7CD97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822265"/>
    <w:rPr>
      <w:sz w:val="24"/>
      <w:szCs w:val="24"/>
      <w:lang w:eastAsia="en-US"/>
    </w:rPr>
  </w:style>
  <w:style w:type="character" w:styleId="CommentReference">
    <w:name w:val="annotation reference"/>
    <w:rsid w:val="00DF78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8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78C0"/>
  </w:style>
  <w:style w:type="paragraph" w:styleId="CommentSubject">
    <w:name w:val="annotation subject"/>
    <w:basedOn w:val="CommentText"/>
    <w:next w:val="CommentText"/>
    <w:link w:val="CommentSubjectChar"/>
    <w:rsid w:val="00DF78C0"/>
    <w:rPr>
      <w:b/>
      <w:bCs/>
    </w:rPr>
  </w:style>
  <w:style w:type="character" w:customStyle="1" w:styleId="CommentSubjectChar">
    <w:name w:val="Comment Subject Char"/>
    <w:link w:val="CommentSubject"/>
    <w:rsid w:val="00DF78C0"/>
    <w:rPr>
      <w:b/>
      <w:bCs/>
    </w:rPr>
  </w:style>
  <w:style w:type="character" w:customStyle="1" w:styleId="HeaderChar">
    <w:name w:val="Header Char"/>
    <w:basedOn w:val="DefaultParagraphFont"/>
    <w:link w:val="Header"/>
    <w:rsid w:val="00E948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F1DFF-F093-4A41-9034-0C04A299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481</Words>
  <Characters>2533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53</cp:revision>
  <cp:lastPrinted>2015-05-06T08:45:00Z</cp:lastPrinted>
  <dcterms:created xsi:type="dcterms:W3CDTF">2017-09-26T14:42:00Z</dcterms:created>
  <dcterms:modified xsi:type="dcterms:W3CDTF">2017-09-27T16:18:00Z</dcterms:modified>
</cp:coreProperties>
</file>