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849" w:rsidRPr="00B24160" w:rsidRDefault="007E0408" w:rsidP="00BE2849">
      <w:pPr>
        <w:pBdr>
          <w:top w:val="single" w:sz="6" w:space="1" w:color="auto"/>
          <w:bottom w:val="single" w:sz="6" w:space="1" w:color="auto"/>
        </w:pBdr>
        <w:rPr>
          <w:rFonts w:ascii="Arial" w:hAnsi="Arial" w:cs="Arial"/>
          <w:b/>
          <w:color w:val="000000"/>
        </w:rPr>
      </w:pPr>
      <w:bookmarkStart w:id="0" w:name="_GoBack"/>
      <w:bookmarkEnd w:id="0"/>
      <w:r>
        <w:rPr>
          <w:rFonts w:ascii="Arial" w:hAnsi="Arial" w:cs="Arial"/>
          <w:bCs/>
          <w:color w:val="FF0000"/>
          <w:sz w:val="32"/>
          <w:szCs w:val="27"/>
        </w:rPr>
        <w:t>20</w:t>
      </w:r>
      <w:r w:rsidR="007A6CA5">
        <w:rPr>
          <w:rFonts w:ascii="Arial" w:hAnsi="Arial" w:cs="Arial"/>
          <w:bCs/>
          <w:color w:val="FF0000"/>
          <w:sz w:val="32"/>
          <w:szCs w:val="27"/>
        </w:rPr>
        <w:t>3</w:t>
      </w:r>
      <w:r>
        <w:rPr>
          <w:rFonts w:ascii="Arial" w:hAnsi="Arial" w:cs="Arial"/>
          <w:bCs/>
          <w:color w:val="FF0000"/>
          <w:sz w:val="32"/>
          <w:szCs w:val="27"/>
        </w:rPr>
        <w:t xml:space="preserve">: </w:t>
      </w:r>
      <w:r w:rsidR="007A6CA5">
        <w:rPr>
          <w:rFonts w:ascii="Arial" w:hAnsi="Arial" w:cs="Arial"/>
          <w:bCs/>
          <w:color w:val="FF0000"/>
          <w:sz w:val="32"/>
          <w:szCs w:val="27"/>
        </w:rPr>
        <w:t>Electrical installations technology</w:t>
      </w:r>
      <w:r w:rsidR="00B6304E">
        <w:rPr>
          <w:rFonts w:ascii="Arial" w:hAnsi="Arial" w:cs="Arial"/>
          <w:bCs/>
          <w:color w:val="FF0000"/>
          <w:sz w:val="32"/>
          <w:szCs w:val="27"/>
        </w:rPr>
        <w:br/>
      </w:r>
      <w:r w:rsidR="00BE2849" w:rsidRPr="00B24160">
        <w:rPr>
          <w:rFonts w:ascii="Arial" w:hAnsi="Arial" w:cs="Arial"/>
          <w:b/>
          <w:color w:val="000000"/>
        </w:rPr>
        <w:t>Handout</w:t>
      </w:r>
      <w:r w:rsidR="00B6304E" w:rsidRPr="00B24160">
        <w:rPr>
          <w:rFonts w:ascii="Arial" w:hAnsi="Arial" w:cs="Arial"/>
          <w:b/>
          <w:color w:val="000000"/>
        </w:rPr>
        <w:t> </w:t>
      </w:r>
      <w:r w:rsidR="00BE2849" w:rsidRPr="00B24160">
        <w:rPr>
          <w:rFonts w:ascii="Arial" w:hAnsi="Arial" w:cs="Arial"/>
          <w:b/>
          <w:color w:val="000000"/>
        </w:rPr>
        <w:t xml:space="preserve">1: </w:t>
      </w:r>
      <w:r w:rsidR="00BB350E">
        <w:rPr>
          <w:rFonts w:ascii="Arial" w:hAnsi="Arial" w:cs="Arial"/>
          <w:b/>
        </w:rPr>
        <w:t>Regulations</w:t>
      </w:r>
    </w:p>
    <w:p w:rsidR="007E0408" w:rsidRPr="007E0408" w:rsidRDefault="007E0408" w:rsidP="00932D5A">
      <w:pPr>
        <w:pStyle w:val="Default"/>
        <w:spacing w:before="120"/>
        <w:rPr>
          <w:color w:val="auto"/>
          <w:sz w:val="22"/>
          <w:szCs w:val="22"/>
        </w:rPr>
      </w:pPr>
      <w:r w:rsidRPr="007E0408">
        <w:rPr>
          <w:b/>
          <w:bCs/>
          <w:color w:val="auto"/>
          <w:sz w:val="22"/>
          <w:szCs w:val="22"/>
        </w:rPr>
        <w:t>Learning outcome</w:t>
      </w:r>
    </w:p>
    <w:p w:rsidR="007E0408" w:rsidRPr="007E0408" w:rsidRDefault="007E0408" w:rsidP="00932D5A">
      <w:pPr>
        <w:pStyle w:val="Default"/>
        <w:rPr>
          <w:color w:val="auto"/>
          <w:sz w:val="22"/>
          <w:szCs w:val="22"/>
        </w:rPr>
      </w:pPr>
      <w:r w:rsidRPr="007E0408">
        <w:rPr>
          <w:color w:val="auto"/>
          <w:sz w:val="22"/>
          <w:szCs w:val="22"/>
        </w:rPr>
        <w:t>The learner will:</w:t>
      </w:r>
    </w:p>
    <w:p w:rsidR="007E0408" w:rsidRDefault="003F2D3E" w:rsidP="00932D5A">
      <w:pPr>
        <w:pStyle w:val="Default"/>
        <w:numPr>
          <w:ilvl w:val="0"/>
          <w:numId w:val="21"/>
        </w:numPr>
        <w:spacing w:after="120"/>
        <w:rPr>
          <w:color w:val="auto"/>
          <w:sz w:val="22"/>
          <w:szCs w:val="22"/>
        </w:rPr>
      </w:pPr>
      <w:r>
        <w:rPr>
          <w:color w:val="auto"/>
          <w:sz w:val="22"/>
          <w:szCs w:val="22"/>
        </w:rPr>
        <w:t>k</w:t>
      </w:r>
      <w:r w:rsidR="007E0408" w:rsidRPr="007E0408">
        <w:rPr>
          <w:color w:val="auto"/>
          <w:sz w:val="22"/>
          <w:szCs w:val="22"/>
        </w:rPr>
        <w:t>no</w:t>
      </w:r>
      <w:r w:rsidR="007E0408">
        <w:rPr>
          <w:color w:val="auto"/>
          <w:sz w:val="22"/>
          <w:szCs w:val="22"/>
        </w:rPr>
        <w:t xml:space="preserve">w </w:t>
      </w:r>
      <w:r w:rsidR="00BB350E" w:rsidRPr="00CF4DFA">
        <w:rPr>
          <w:sz w:val="22"/>
          <w:szCs w:val="22"/>
        </w:rPr>
        <w:t>implications of electrical industry regulations</w:t>
      </w:r>
      <w:r>
        <w:rPr>
          <w:sz w:val="22"/>
          <w:szCs w:val="22"/>
        </w:rPr>
        <w:t>.</w:t>
      </w:r>
    </w:p>
    <w:p w:rsidR="007E0408" w:rsidRPr="007E0408" w:rsidRDefault="007E0408" w:rsidP="00932D5A">
      <w:pPr>
        <w:pStyle w:val="Default"/>
        <w:rPr>
          <w:color w:val="auto"/>
          <w:sz w:val="22"/>
          <w:szCs w:val="22"/>
        </w:rPr>
      </w:pPr>
      <w:r w:rsidRPr="007E0408">
        <w:rPr>
          <w:b/>
          <w:bCs/>
          <w:color w:val="auto"/>
          <w:sz w:val="22"/>
          <w:szCs w:val="22"/>
        </w:rPr>
        <w:t xml:space="preserve">Assessment </w:t>
      </w:r>
      <w:r w:rsidR="003F2D3E">
        <w:rPr>
          <w:b/>
          <w:bCs/>
          <w:color w:val="auto"/>
          <w:sz w:val="22"/>
          <w:szCs w:val="22"/>
        </w:rPr>
        <w:t>c</w:t>
      </w:r>
      <w:r w:rsidRPr="007E0408">
        <w:rPr>
          <w:b/>
          <w:bCs/>
          <w:color w:val="auto"/>
          <w:sz w:val="22"/>
          <w:szCs w:val="22"/>
        </w:rPr>
        <w:t>riteria</w:t>
      </w:r>
    </w:p>
    <w:p w:rsidR="007E0408" w:rsidRPr="007E0408" w:rsidRDefault="007E0408" w:rsidP="00932D5A">
      <w:pPr>
        <w:pStyle w:val="Default"/>
        <w:rPr>
          <w:color w:val="auto"/>
          <w:sz w:val="22"/>
          <w:szCs w:val="22"/>
        </w:rPr>
      </w:pPr>
      <w:r>
        <w:rPr>
          <w:color w:val="auto"/>
          <w:sz w:val="22"/>
          <w:szCs w:val="22"/>
        </w:rPr>
        <w:t>The learner can:</w:t>
      </w:r>
    </w:p>
    <w:p w:rsidR="00B24160" w:rsidRPr="00AE15C4" w:rsidRDefault="003F2D3E" w:rsidP="00932D5A">
      <w:pPr>
        <w:pStyle w:val="Default"/>
        <w:numPr>
          <w:ilvl w:val="1"/>
          <w:numId w:val="27"/>
        </w:numPr>
        <w:ind w:left="567" w:hanging="567"/>
        <w:rPr>
          <w:sz w:val="22"/>
          <w:szCs w:val="22"/>
        </w:rPr>
      </w:pPr>
      <w:r>
        <w:rPr>
          <w:sz w:val="22"/>
          <w:szCs w:val="22"/>
        </w:rPr>
        <w:t>i</w:t>
      </w:r>
      <w:r w:rsidR="00BB350E" w:rsidRPr="00CF4DFA">
        <w:rPr>
          <w:sz w:val="22"/>
          <w:szCs w:val="22"/>
        </w:rPr>
        <w:t xml:space="preserve">dentify </w:t>
      </w:r>
      <w:r w:rsidR="00BB350E" w:rsidRPr="00BB350E">
        <w:rPr>
          <w:b/>
          <w:sz w:val="22"/>
          <w:szCs w:val="22"/>
        </w:rPr>
        <w:t>statutory regulations</w:t>
      </w:r>
    </w:p>
    <w:p w:rsidR="00B24160" w:rsidRPr="00AE15C4" w:rsidRDefault="003F2D3E" w:rsidP="00932D5A">
      <w:pPr>
        <w:pStyle w:val="Default"/>
        <w:numPr>
          <w:ilvl w:val="1"/>
          <w:numId w:val="27"/>
        </w:numPr>
        <w:ind w:left="567" w:hanging="567"/>
        <w:rPr>
          <w:sz w:val="22"/>
          <w:szCs w:val="22"/>
        </w:rPr>
      </w:pPr>
      <w:r>
        <w:rPr>
          <w:sz w:val="22"/>
          <w:szCs w:val="22"/>
        </w:rPr>
        <w:t>i</w:t>
      </w:r>
      <w:r w:rsidR="00BB350E" w:rsidRPr="00CF4DFA">
        <w:rPr>
          <w:sz w:val="22"/>
          <w:szCs w:val="22"/>
        </w:rPr>
        <w:t xml:space="preserve">dentify </w:t>
      </w:r>
      <w:r w:rsidR="00125045">
        <w:rPr>
          <w:b/>
          <w:sz w:val="22"/>
          <w:szCs w:val="22"/>
        </w:rPr>
        <w:t>non-</w:t>
      </w:r>
      <w:r w:rsidR="00BB350E" w:rsidRPr="00BB350E">
        <w:rPr>
          <w:b/>
          <w:sz w:val="22"/>
          <w:szCs w:val="22"/>
        </w:rPr>
        <w:t>statutory regulations</w:t>
      </w:r>
    </w:p>
    <w:p w:rsidR="00B24160" w:rsidRPr="00AE15C4" w:rsidRDefault="003F2D3E" w:rsidP="00932D5A">
      <w:pPr>
        <w:pStyle w:val="Default"/>
        <w:numPr>
          <w:ilvl w:val="1"/>
          <w:numId w:val="27"/>
        </w:numPr>
        <w:ind w:left="567" w:hanging="567"/>
        <w:rPr>
          <w:sz w:val="22"/>
          <w:szCs w:val="22"/>
        </w:rPr>
      </w:pPr>
      <w:r>
        <w:rPr>
          <w:sz w:val="22"/>
          <w:szCs w:val="22"/>
        </w:rPr>
        <w:t>s</w:t>
      </w:r>
      <w:r w:rsidR="00BB350E" w:rsidRPr="00CF4DFA">
        <w:rPr>
          <w:sz w:val="22"/>
          <w:szCs w:val="22"/>
        </w:rPr>
        <w:t xml:space="preserve">tate </w:t>
      </w:r>
      <w:r w:rsidR="00BB350E" w:rsidRPr="00BB350E">
        <w:rPr>
          <w:b/>
          <w:sz w:val="22"/>
          <w:szCs w:val="22"/>
        </w:rPr>
        <w:t>implications</w:t>
      </w:r>
      <w:r w:rsidR="00BB350E" w:rsidRPr="00CF4DFA">
        <w:rPr>
          <w:sz w:val="22"/>
          <w:szCs w:val="22"/>
        </w:rPr>
        <w:t xml:space="preserve"> of </w:t>
      </w:r>
      <w:r w:rsidR="00BB350E" w:rsidRPr="00BB350E">
        <w:rPr>
          <w:b/>
          <w:sz w:val="22"/>
          <w:szCs w:val="22"/>
        </w:rPr>
        <w:t>statutory regulations</w:t>
      </w:r>
    </w:p>
    <w:p w:rsidR="00B24160" w:rsidRPr="00B24160" w:rsidRDefault="003F2D3E" w:rsidP="00932D5A">
      <w:pPr>
        <w:pStyle w:val="Default"/>
        <w:numPr>
          <w:ilvl w:val="1"/>
          <w:numId w:val="27"/>
        </w:numPr>
        <w:spacing w:after="120"/>
        <w:ind w:left="567" w:hanging="567"/>
        <w:rPr>
          <w:sz w:val="22"/>
          <w:szCs w:val="22"/>
        </w:rPr>
      </w:pPr>
      <w:r>
        <w:rPr>
          <w:sz w:val="22"/>
          <w:szCs w:val="22"/>
        </w:rPr>
        <w:t>s</w:t>
      </w:r>
      <w:r w:rsidR="00BB350E" w:rsidRPr="00CF4DFA">
        <w:rPr>
          <w:sz w:val="22"/>
          <w:szCs w:val="22"/>
        </w:rPr>
        <w:t xml:space="preserve">tate </w:t>
      </w:r>
      <w:r w:rsidR="00BB350E" w:rsidRPr="00BB350E">
        <w:rPr>
          <w:b/>
          <w:sz w:val="22"/>
          <w:szCs w:val="22"/>
        </w:rPr>
        <w:t>implications</w:t>
      </w:r>
      <w:r w:rsidR="00BB350E" w:rsidRPr="00CF4DFA">
        <w:rPr>
          <w:sz w:val="22"/>
          <w:szCs w:val="22"/>
        </w:rPr>
        <w:t xml:space="preserve"> of </w:t>
      </w:r>
      <w:r w:rsidR="00BB350E" w:rsidRPr="00BB350E">
        <w:rPr>
          <w:b/>
          <w:sz w:val="22"/>
          <w:szCs w:val="22"/>
        </w:rPr>
        <w:t>non-statutory regulations</w:t>
      </w:r>
      <w:r w:rsidR="00BB350E">
        <w:rPr>
          <w:b/>
          <w:bCs/>
          <w:sz w:val="22"/>
          <w:szCs w:val="22"/>
        </w:rPr>
        <w:t>.</w:t>
      </w:r>
    </w:p>
    <w:p w:rsidR="007E0408" w:rsidRPr="007E0408" w:rsidRDefault="007E0408" w:rsidP="00FF5CDB">
      <w:pPr>
        <w:pStyle w:val="Default"/>
        <w:rPr>
          <w:color w:val="auto"/>
          <w:sz w:val="22"/>
          <w:szCs w:val="22"/>
        </w:rPr>
      </w:pPr>
      <w:r w:rsidRPr="007E0408">
        <w:rPr>
          <w:b/>
          <w:bCs/>
          <w:color w:val="auto"/>
          <w:sz w:val="22"/>
          <w:szCs w:val="22"/>
        </w:rPr>
        <w:t>Range</w:t>
      </w:r>
    </w:p>
    <w:p w:rsidR="00BB350E" w:rsidRPr="00CF4DFA" w:rsidRDefault="00BB350E" w:rsidP="00FF5CDB">
      <w:pPr>
        <w:pStyle w:val="Default"/>
        <w:rPr>
          <w:sz w:val="22"/>
          <w:szCs w:val="22"/>
        </w:rPr>
      </w:pPr>
      <w:r w:rsidRPr="00CF4DFA">
        <w:rPr>
          <w:b/>
          <w:bCs/>
          <w:sz w:val="22"/>
          <w:szCs w:val="22"/>
        </w:rPr>
        <w:t>Statutory regulations</w:t>
      </w:r>
      <w:r w:rsidRPr="00CF4DFA">
        <w:rPr>
          <w:sz w:val="22"/>
          <w:szCs w:val="22"/>
        </w:rPr>
        <w:t>: HASAWA, EAWR, ESQCR, PUWER, COSHH, CDM, Manual Handling, PPE, Noise at Work, Environmental Act, DDA, Equal Opportunities.</w:t>
      </w:r>
    </w:p>
    <w:p w:rsidR="00BB350E" w:rsidRPr="00CF4DFA" w:rsidRDefault="00125045" w:rsidP="00FF5CDB">
      <w:pPr>
        <w:pStyle w:val="Default"/>
        <w:rPr>
          <w:sz w:val="22"/>
          <w:szCs w:val="22"/>
        </w:rPr>
      </w:pPr>
      <w:r>
        <w:rPr>
          <w:b/>
          <w:bCs/>
          <w:sz w:val="22"/>
          <w:szCs w:val="22"/>
        </w:rPr>
        <w:t>Non-</w:t>
      </w:r>
      <w:r w:rsidR="00BB350E" w:rsidRPr="00CF4DFA">
        <w:rPr>
          <w:b/>
          <w:bCs/>
          <w:sz w:val="22"/>
          <w:szCs w:val="22"/>
        </w:rPr>
        <w:t>statutory regulations</w:t>
      </w:r>
      <w:r w:rsidR="00BB350E" w:rsidRPr="00CF4DFA">
        <w:rPr>
          <w:sz w:val="22"/>
          <w:szCs w:val="22"/>
        </w:rPr>
        <w:t>: BS</w:t>
      </w:r>
      <w:r w:rsidR="00925286">
        <w:rPr>
          <w:sz w:val="22"/>
          <w:szCs w:val="22"/>
        </w:rPr>
        <w:t xml:space="preserve"> </w:t>
      </w:r>
      <w:r w:rsidR="00BB350E" w:rsidRPr="00CF4DFA">
        <w:rPr>
          <w:sz w:val="22"/>
          <w:szCs w:val="22"/>
        </w:rPr>
        <w:t>7671, On-Site Guide, Unite Union Book, Guidance Notes, Codes of Practice.</w:t>
      </w:r>
    </w:p>
    <w:p w:rsidR="00B24160" w:rsidRDefault="00BB350E" w:rsidP="00FF5CDB">
      <w:pPr>
        <w:pStyle w:val="Default"/>
        <w:rPr>
          <w:sz w:val="22"/>
          <w:szCs w:val="22"/>
        </w:rPr>
      </w:pPr>
      <w:r w:rsidRPr="00CF4DFA">
        <w:rPr>
          <w:b/>
          <w:bCs/>
          <w:sz w:val="22"/>
          <w:szCs w:val="22"/>
        </w:rPr>
        <w:t>Implications</w:t>
      </w:r>
      <w:r w:rsidRPr="00CF4DFA">
        <w:rPr>
          <w:sz w:val="22"/>
          <w:szCs w:val="22"/>
        </w:rPr>
        <w:t>: Prosecution, fine, imprisonment, prohibition notices, improvement notices, dismissal, injury, death, loss of earnings, lost clients, loss of reputation.</w:t>
      </w:r>
    </w:p>
    <w:p w:rsidR="00FF5CDB" w:rsidRDefault="00225C93" w:rsidP="00FF5CDB">
      <w:pPr>
        <w:pStyle w:val="Default"/>
        <w:rPr>
          <w:color w:val="auto"/>
          <w:sz w:val="22"/>
          <w:szCs w:val="22"/>
        </w:rPr>
      </w:pPr>
      <w:r>
        <w:rPr>
          <w:sz w:val="22"/>
          <w:szCs w:val="22"/>
        </w:rPr>
        <w:pict>
          <v:rect id="_x0000_i1025" style="width:0;height:1.5pt" o:hralign="center" o:hrstd="t" o:hr="t" fillcolor="#a0a0a0" stroked="f"/>
        </w:pict>
      </w:r>
    </w:p>
    <w:p w:rsidR="00B24160" w:rsidRPr="00FF5CDB" w:rsidRDefault="00BB350E" w:rsidP="00FF5CDB">
      <w:pPr>
        <w:pStyle w:val="Default"/>
        <w:spacing w:after="120"/>
        <w:jc w:val="center"/>
        <w:rPr>
          <w:color w:val="auto"/>
        </w:rPr>
      </w:pPr>
      <w:r w:rsidRPr="00FF5CDB">
        <w:rPr>
          <w:b/>
        </w:rPr>
        <w:t>Regulations</w:t>
      </w:r>
    </w:p>
    <w:p w:rsidR="00BB350E" w:rsidRPr="00D428B3" w:rsidRDefault="00BB350E" w:rsidP="00932D5A">
      <w:pPr>
        <w:spacing w:after="120"/>
        <w:rPr>
          <w:rFonts w:ascii="Arial" w:hAnsi="Arial" w:cs="Arial"/>
          <w:sz w:val="22"/>
          <w:szCs w:val="22"/>
        </w:rPr>
      </w:pPr>
      <w:r w:rsidRPr="00D428B3">
        <w:rPr>
          <w:rFonts w:ascii="Arial" w:hAnsi="Arial" w:cs="Arial"/>
          <w:sz w:val="22"/>
          <w:szCs w:val="22"/>
        </w:rPr>
        <w:t>When working in the building services industry</w:t>
      </w:r>
      <w:r w:rsidR="00125045">
        <w:rPr>
          <w:rFonts w:ascii="Arial" w:hAnsi="Arial" w:cs="Arial"/>
          <w:sz w:val="22"/>
          <w:szCs w:val="22"/>
        </w:rPr>
        <w:t>,</w:t>
      </w:r>
      <w:r w:rsidRPr="00D428B3">
        <w:rPr>
          <w:rFonts w:ascii="Arial" w:hAnsi="Arial" w:cs="Arial"/>
          <w:sz w:val="22"/>
          <w:szCs w:val="22"/>
        </w:rPr>
        <w:t xml:space="preserve"> it is necessary to comply with a number of </w:t>
      </w:r>
      <w:r w:rsidR="00743F66">
        <w:rPr>
          <w:rFonts w:ascii="Arial" w:hAnsi="Arial" w:cs="Arial"/>
          <w:sz w:val="22"/>
          <w:szCs w:val="22"/>
        </w:rPr>
        <w:t>R</w:t>
      </w:r>
      <w:r w:rsidRPr="00D428B3">
        <w:rPr>
          <w:rFonts w:ascii="Arial" w:hAnsi="Arial" w:cs="Arial"/>
          <w:sz w:val="22"/>
          <w:szCs w:val="22"/>
        </w:rPr>
        <w:t xml:space="preserve">egulations. These </w:t>
      </w:r>
      <w:r w:rsidR="00743F66">
        <w:rPr>
          <w:rFonts w:ascii="Arial" w:hAnsi="Arial" w:cs="Arial"/>
          <w:sz w:val="22"/>
          <w:szCs w:val="22"/>
        </w:rPr>
        <w:t>R</w:t>
      </w:r>
      <w:r w:rsidRPr="00D428B3">
        <w:rPr>
          <w:rFonts w:ascii="Arial" w:hAnsi="Arial" w:cs="Arial"/>
          <w:sz w:val="22"/>
          <w:szCs w:val="22"/>
        </w:rPr>
        <w:t>egulations can be classified as follows:</w:t>
      </w:r>
    </w:p>
    <w:p w:rsidR="00BB350E" w:rsidRPr="00D428B3" w:rsidRDefault="00564E04" w:rsidP="00932D5A">
      <w:pPr>
        <w:pStyle w:val="ListParagraph"/>
        <w:numPr>
          <w:ilvl w:val="0"/>
          <w:numId w:val="40"/>
        </w:numPr>
        <w:ind w:left="425" w:hanging="425"/>
        <w:rPr>
          <w:rFonts w:ascii="Arial" w:hAnsi="Arial" w:cs="Arial"/>
        </w:rPr>
      </w:pPr>
      <w:r>
        <w:rPr>
          <w:rFonts w:ascii="Arial" w:hAnsi="Arial" w:cs="Arial"/>
        </w:rPr>
        <w:t>s</w:t>
      </w:r>
      <w:r w:rsidR="00BB350E" w:rsidRPr="00D428B3">
        <w:rPr>
          <w:rFonts w:ascii="Arial" w:hAnsi="Arial" w:cs="Arial"/>
        </w:rPr>
        <w:t>tatutory</w:t>
      </w:r>
    </w:p>
    <w:p w:rsidR="00BB350E" w:rsidRPr="00D428B3" w:rsidRDefault="00564E04" w:rsidP="00932D5A">
      <w:pPr>
        <w:pStyle w:val="ListParagraph"/>
        <w:numPr>
          <w:ilvl w:val="0"/>
          <w:numId w:val="40"/>
        </w:numPr>
        <w:spacing w:after="120"/>
        <w:ind w:left="425" w:hanging="425"/>
        <w:rPr>
          <w:rFonts w:ascii="Arial" w:hAnsi="Arial" w:cs="Arial"/>
        </w:rPr>
      </w:pPr>
      <w:r>
        <w:rPr>
          <w:rFonts w:ascii="Arial" w:hAnsi="Arial" w:cs="Arial"/>
        </w:rPr>
        <w:t>n</w:t>
      </w:r>
      <w:r w:rsidR="00BB350E" w:rsidRPr="00D428B3">
        <w:rPr>
          <w:rFonts w:ascii="Arial" w:hAnsi="Arial" w:cs="Arial"/>
        </w:rPr>
        <w:t>on</w:t>
      </w:r>
      <w:r w:rsidR="00BB350E" w:rsidRPr="00D428B3">
        <w:rPr>
          <w:rFonts w:ascii="Arial" w:hAnsi="Arial" w:cs="Arial"/>
        </w:rPr>
        <w:noBreakHyphen/>
        <w:t>statutory</w:t>
      </w:r>
      <w:r>
        <w:rPr>
          <w:rFonts w:ascii="Arial" w:hAnsi="Arial" w:cs="Arial"/>
        </w:rPr>
        <w:t>.</w:t>
      </w:r>
    </w:p>
    <w:p w:rsidR="005D215F" w:rsidRPr="00D428B3" w:rsidRDefault="005D215F" w:rsidP="00932D5A">
      <w:pPr>
        <w:pStyle w:val="Default"/>
        <w:spacing w:after="120"/>
        <w:rPr>
          <w:color w:val="auto"/>
          <w:sz w:val="22"/>
          <w:szCs w:val="22"/>
        </w:rPr>
      </w:pPr>
      <w:r w:rsidRPr="00D428B3">
        <w:rPr>
          <w:b/>
          <w:bCs/>
          <w:color w:val="auto"/>
          <w:sz w:val="22"/>
          <w:szCs w:val="22"/>
        </w:rPr>
        <w:t xml:space="preserve">Acts (of Parliament) </w:t>
      </w:r>
      <w:r w:rsidRPr="00D428B3">
        <w:rPr>
          <w:color w:val="auto"/>
          <w:sz w:val="22"/>
          <w:szCs w:val="22"/>
        </w:rPr>
        <w:t>are ‘</w:t>
      </w:r>
      <w:r w:rsidRPr="00564E04">
        <w:rPr>
          <w:b/>
          <w:bCs/>
          <w:iCs/>
          <w:color w:val="auto"/>
          <w:sz w:val="22"/>
          <w:szCs w:val="22"/>
        </w:rPr>
        <w:t>statutory</w:t>
      </w:r>
      <w:r w:rsidRPr="00564E04">
        <w:rPr>
          <w:color w:val="auto"/>
          <w:sz w:val="22"/>
          <w:szCs w:val="22"/>
        </w:rPr>
        <w:t>’</w:t>
      </w:r>
      <w:r w:rsidR="00125045">
        <w:rPr>
          <w:color w:val="auto"/>
          <w:sz w:val="22"/>
          <w:szCs w:val="22"/>
        </w:rPr>
        <w:t>,</w:t>
      </w:r>
      <w:r w:rsidRPr="00D428B3">
        <w:rPr>
          <w:color w:val="auto"/>
          <w:sz w:val="22"/>
          <w:szCs w:val="22"/>
        </w:rPr>
        <w:t xml:space="preserve"> </w:t>
      </w:r>
      <w:r w:rsidR="00125045">
        <w:rPr>
          <w:color w:val="auto"/>
          <w:sz w:val="22"/>
          <w:szCs w:val="22"/>
        </w:rPr>
        <w:t>ie</w:t>
      </w:r>
      <w:r w:rsidRPr="00D428B3">
        <w:rPr>
          <w:color w:val="auto"/>
          <w:sz w:val="22"/>
          <w:szCs w:val="22"/>
        </w:rPr>
        <w:t xml:space="preserve"> they are legally binding and therefore enforceable by law. Certain </w:t>
      </w:r>
      <w:r w:rsidRPr="00D428B3">
        <w:rPr>
          <w:b/>
          <w:bCs/>
          <w:color w:val="auto"/>
          <w:sz w:val="22"/>
          <w:szCs w:val="22"/>
        </w:rPr>
        <w:t xml:space="preserve">Regulations </w:t>
      </w:r>
      <w:r w:rsidRPr="00D428B3">
        <w:rPr>
          <w:color w:val="auto"/>
          <w:sz w:val="22"/>
          <w:szCs w:val="22"/>
        </w:rPr>
        <w:t xml:space="preserve">are made under </w:t>
      </w:r>
      <w:r w:rsidRPr="00D428B3">
        <w:rPr>
          <w:b/>
          <w:bCs/>
          <w:color w:val="auto"/>
          <w:sz w:val="22"/>
          <w:szCs w:val="22"/>
        </w:rPr>
        <w:t xml:space="preserve">Acts of Parliament </w:t>
      </w:r>
      <w:r w:rsidRPr="00D428B3">
        <w:rPr>
          <w:color w:val="auto"/>
          <w:sz w:val="22"/>
          <w:szCs w:val="22"/>
        </w:rPr>
        <w:t>and, as a result, are also statutory.</w:t>
      </w:r>
    </w:p>
    <w:p w:rsidR="005D215F" w:rsidRPr="00D428B3" w:rsidRDefault="005D215F" w:rsidP="00932D5A">
      <w:pPr>
        <w:pStyle w:val="Default"/>
        <w:spacing w:after="120"/>
        <w:rPr>
          <w:color w:val="auto"/>
          <w:sz w:val="22"/>
          <w:szCs w:val="22"/>
        </w:rPr>
      </w:pPr>
      <w:r w:rsidRPr="00D428B3">
        <w:rPr>
          <w:color w:val="auto"/>
          <w:sz w:val="22"/>
          <w:szCs w:val="22"/>
        </w:rPr>
        <w:t>Other Regulations have advisory/guidance purposes only and</w:t>
      </w:r>
      <w:r w:rsidR="00125045">
        <w:rPr>
          <w:color w:val="auto"/>
          <w:sz w:val="22"/>
          <w:szCs w:val="22"/>
        </w:rPr>
        <w:t>,</w:t>
      </w:r>
      <w:r w:rsidRPr="00D428B3">
        <w:rPr>
          <w:color w:val="auto"/>
          <w:sz w:val="22"/>
          <w:szCs w:val="22"/>
        </w:rPr>
        <w:t xml:space="preserve"> as a result</w:t>
      </w:r>
      <w:r w:rsidR="00125045">
        <w:rPr>
          <w:color w:val="auto"/>
          <w:sz w:val="22"/>
          <w:szCs w:val="22"/>
        </w:rPr>
        <w:t>,</w:t>
      </w:r>
      <w:r w:rsidRPr="00D428B3">
        <w:rPr>
          <w:color w:val="auto"/>
          <w:sz w:val="22"/>
          <w:szCs w:val="22"/>
        </w:rPr>
        <w:t xml:space="preserve"> they are </w:t>
      </w:r>
      <w:r w:rsidRPr="00125045">
        <w:rPr>
          <w:i/>
          <w:color w:val="auto"/>
          <w:sz w:val="22"/>
          <w:szCs w:val="22"/>
        </w:rPr>
        <w:t>‘</w:t>
      </w:r>
      <w:r w:rsidRPr="00125045">
        <w:rPr>
          <w:b/>
          <w:bCs/>
          <w:iCs/>
          <w:color w:val="auto"/>
          <w:sz w:val="22"/>
          <w:szCs w:val="22"/>
        </w:rPr>
        <w:t>non-statutory</w:t>
      </w:r>
      <w:r w:rsidRPr="00125045">
        <w:rPr>
          <w:color w:val="auto"/>
          <w:sz w:val="22"/>
          <w:szCs w:val="22"/>
        </w:rPr>
        <w:t>’</w:t>
      </w:r>
      <w:r w:rsidRPr="00D428B3">
        <w:rPr>
          <w:color w:val="auto"/>
          <w:sz w:val="22"/>
          <w:szCs w:val="22"/>
        </w:rPr>
        <w:t xml:space="preserve">, </w:t>
      </w:r>
      <w:r w:rsidR="00125045">
        <w:rPr>
          <w:color w:val="auto"/>
          <w:sz w:val="22"/>
          <w:szCs w:val="22"/>
        </w:rPr>
        <w:t>ie</w:t>
      </w:r>
      <w:r w:rsidRPr="00D428B3">
        <w:rPr>
          <w:color w:val="auto"/>
          <w:sz w:val="22"/>
          <w:szCs w:val="22"/>
        </w:rPr>
        <w:t xml:space="preserve"> they cannot be enforced by law.</w:t>
      </w:r>
    </w:p>
    <w:p w:rsidR="005D215F" w:rsidRDefault="005D215F" w:rsidP="00932D5A">
      <w:pPr>
        <w:pStyle w:val="Default"/>
        <w:spacing w:after="120"/>
        <w:rPr>
          <w:color w:val="auto"/>
          <w:sz w:val="22"/>
          <w:szCs w:val="22"/>
        </w:rPr>
      </w:pPr>
      <w:r w:rsidRPr="00D428B3">
        <w:rPr>
          <w:color w:val="auto"/>
          <w:sz w:val="22"/>
          <w:szCs w:val="22"/>
        </w:rPr>
        <w:t>However, non-statutory Regulations are generally considered to reflect standards of good practice and may be cited in a court of law. Additionally, although certain Regulations have no legal status, they are based on Acts/Regulations that are statutory and</w:t>
      </w:r>
      <w:r w:rsidR="00743F66">
        <w:rPr>
          <w:color w:val="auto"/>
          <w:sz w:val="22"/>
          <w:szCs w:val="22"/>
        </w:rPr>
        <w:t>,</w:t>
      </w:r>
      <w:r w:rsidRPr="00D428B3">
        <w:rPr>
          <w:color w:val="auto"/>
          <w:sz w:val="22"/>
          <w:szCs w:val="22"/>
        </w:rPr>
        <w:t xml:space="preserve"> consequently, breaking the non-statutory Regulations will often result in breaking one or more statutory Acts or Regulations.</w:t>
      </w:r>
    </w:p>
    <w:p w:rsidR="005D215F" w:rsidRPr="00D428B3" w:rsidRDefault="005D215F" w:rsidP="00932D5A">
      <w:pPr>
        <w:spacing w:after="120"/>
        <w:rPr>
          <w:rFonts w:ascii="Arial" w:hAnsi="Arial" w:cs="Arial"/>
          <w:sz w:val="22"/>
          <w:szCs w:val="22"/>
        </w:rPr>
      </w:pPr>
      <w:r w:rsidRPr="00D428B3">
        <w:rPr>
          <w:rFonts w:ascii="Arial" w:hAnsi="Arial" w:cs="Arial"/>
          <w:b/>
          <w:bCs/>
          <w:sz w:val="22"/>
          <w:szCs w:val="22"/>
        </w:rPr>
        <w:t xml:space="preserve">Statutory </w:t>
      </w:r>
      <w:r w:rsidR="00743F66">
        <w:rPr>
          <w:rFonts w:ascii="Arial" w:hAnsi="Arial" w:cs="Arial"/>
          <w:b/>
          <w:bCs/>
          <w:sz w:val="22"/>
          <w:szCs w:val="22"/>
        </w:rPr>
        <w:t>R</w:t>
      </w:r>
      <w:r w:rsidRPr="00D428B3">
        <w:rPr>
          <w:rFonts w:ascii="Arial" w:hAnsi="Arial" w:cs="Arial"/>
          <w:b/>
          <w:bCs/>
          <w:sz w:val="22"/>
          <w:szCs w:val="22"/>
        </w:rPr>
        <w:t>egulations</w:t>
      </w:r>
    </w:p>
    <w:p w:rsidR="005D215F" w:rsidRDefault="005D215F" w:rsidP="00932D5A">
      <w:pPr>
        <w:spacing w:after="120"/>
        <w:rPr>
          <w:rFonts w:ascii="Arial" w:hAnsi="Arial" w:cs="Arial"/>
          <w:sz w:val="22"/>
          <w:szCs w:val="22"/>
        </w:rPr>
      </w:pPr>
      <w:r w:rsidRPr="00D428B3">
        <w:rPr>
          <w:rFonts w:ascii="Arial" w:hAnsi="Arial" w:cs="Arial"/>
          <w:sz w:val="22"/>
          <w:szCs w:val="22"/>
        </w:rPr>
        <w:t xml:space="preserve">A number of statutory </w:t>
      </w:r>
      <w:r w:rsidR="00743F66">
        <w:rPr>
          <w:rFonts w:ascii="Arial" w:hAnsi="Arial" w:cs="Arial"/>
          <w:sz w:val="22"/>
          <w:szCs w:val="22"/>
        </w:rPr>
        <w:t>A</w:t>
      </w:r>
      <w:r w:rsidRPr="00D428B3">
        <w:rPr>
          <w:rFonts w:ascii="Arial" w:hAnsi="Arial" w:cs="Arial"/>
          <w:sz w:val="22"/>
          <w:szCs w:val="22"/>
        </w:rPr>
        <w:t xml:space="preserve">cts and </w:t>
      </w:r>
      <w:r w:rsidR="00743F66">
        <w:rPr>
          <w:rFonts w:ascii="Arial" w:hAnsi="Arial" w:cs="Arial"/>
          <w:sz w:val="22"/>
          <w:szCs w:val="22"/>
        </w:rPr>
        <w:t>R</w:t>
      </w:r>
      <w:r w:rsidRPr="00D428B3">
        <w:rPr>
          <w:rFonts w:ascii="Arial" w:hAnsi="Arial" w:cs="Arial"/>
          <w:sz w:val="22"/>
          <w:szCs w:val="22"/>
        </w:rPr>
        <w:t xml:space="preserve">egulations were identified in </w:t>
      </w:r>
      <w:r w:rsidR="00743F66">
        <w:rPr>
          <w:rFonts w:ascii="Arial" w:hAnsi="Arial" w:cs="Arial"/>
          <w:sz w:val="22"/>
          <w:szCs w:val="22"/>
        </w:rPr>
        <w:t>U</w:t>
      </w:r>
      <w:r w:rsidRPr="00D428B3">
        <w:rPr>
          <w:rFonts w:ascii="Arial" w:hAnsi="Arial" w:cs="Arial"/>
          <w:sz w:val="22"/>
          <w:szCs w:val="22"/>
        </w:rPr>
        <w:t>nit 201 under Health and Safety Executive (HSE) legislation. Some of these are repeated here</w:t>
      </w:r>
      <w:r w:rsidR="00743F66">
        <w:rPr>
          <w:rFonts w:ascii="Arial" w:hAnsi="Arial" w:cs="Arial"/>
          <w:sz w:val="22"/>
          <w:szCs w:val="22"/>
        </w:rPr>
        <w:t>,</w:t>
      </w:r>
      <w:r w:rsidRPr="00D428B3">
        <w:rPr>
          <w:rFonts w:ascii="Arial" w:hAnsi="Arial" w:cs="Arial"/>
          <w:sz w:val="22"/>
          <w:szCs w:val="22"/>
        </w:rPr>
        <w:t xml:space="preserve"> along with others </w:t>
      </w:r>
      <w:r w:rsidR="00743F66" w:rsidRPr="00D428B3">
        <w:rPr>
          <w:rFonts w:ascii="Arial" w:hAnsi="Arial" w:cs="Arial"/>
          <w:sz w:val="22"/>
          <w:szCs w:val="22"/>
        </w:rPr>
        <w:t xml:space="preserve">of </w:t>
      </w:r>
      <w:r w:rsidR="00743F66">
        <w:rPr>
          <w:rFonts w:ascii="Arial" w:hAnsi="Arial" w:cs="Arial"/>
          <w:sz w:val="22"/>
          <w:szCs w:val="22"/>
        </w:rPr>
        <w:t>which</w:t>
      </w:r>
      <w:r w:rsidRPr="00D428B3">
        <w:rPr>
          <w:rFonts w:ascii="Arial" w:hAnsi="Arial" w:cs="Arial"/>
          <w:sz w:val="22"/>
          <w:szCs w:val="22"/>
        </w:rPr>
        <w:t xml:space="preserve"> you will need to be aware.</w:t>
      </w:r>
    </w:p>
    <w:p w:rsidR="005D215F" w:rsidRPr="00D428B3" w:rsidRDefault="005D215F" w:rsidP="00932D5A">
      <w:pPr>
        <w:spacing w:after="120"/>
        <w:rPr>
          <w:rFonts w:ascii="Arial" w:hAnsi="Arial" w:cs="Arial"/>
          <w:b/>
          <w:sz w:val="22"/>
          <w:szCs w:val="22"/>
        </w:rPr>
      </w:pPr>
      <w:r w:rsidRPr="00D428B3">
        <w:rPr>
          <w:rFonts w:ascii="Arial" w:hAnsi="Arial" w:cs="Arial"/>
          <w:b/>
          <w:sz w:val="22"/>
          <w:szCs w:val="22"/>
        </w:rPr>
        <w:t>The Health and Safety at Work etc Act (HASAWA)</w:t>
      </w:r>
    </w:p>
    <w:p w:rsidR="005D215F" w:rsidRPr="00D428B3" w:rsidRDefault="005D215F" w:rsidP="00932D5A">
      <w:pPr>
        <w:spacing w:after="120"/>
        <w:rPr>
          <w:rFonts w:ascii="Arial" w:hAnsi="Arial" w:cs="Arial"/>
          <w:sz w:val="22"/>
          <w:szCs w:val="22"/>
        </w:rPr>
      </w:pPr>
      <w:r w:rsidRPr="00D428B3">
        <w:rPr>
          <w:rFonts w:ascii="Arial" w:hAnsi="Arial" w:cs="Arial"/>
          <w:sz w:val="22"/>
          <w:szCs w:val="22"/>
        </w:rPr>
        <w:t>These are statutory and cover all places where work is carried out. The ‘etc’ was added to cover voluntary work</w:t>
      </w:r>
      <w:r w:rsidR="00743F66">
        <w:rPr>
          <w:rFonts w:ascii="Arial" w:hAnsi="Arial" w:cs="Arial"/>
          <w:sz w:val="22"/>
          <w:szCs w:val="22"/>
        </w:rPr>
        <w:t>,</w:t>
      </w:r>
      <w:r w:rsidRPr="00D428B3">
        <w:rPr>
          <w:rFonts w:ascii="Arial" w:hAnsi="Arial" w:cs="Arial"/>
          <w:sz w:val="22"/>
          <w:szCs w:val="22"/>
        </w:rPr>
        <w:t xml:space="preserve"> etc. All persons are responsible for their own and others</w:t>
      </w:r>
      <w:r w:rsidR="00743F66">
        <w:rPr>
          <w:rFonts w:ascii="Arial" w:hAnsi="Arial" w:cs="Arial"/>
          <w:sz w:val="22"/>
          <w:szCs w:val="22"/>
        </w:rPr>
        <w:t>’</w:t>
      </w:r>
      <w:r w:rsidRPr="00D428B3">
        <w:rPr>
          <w:rFonts w:ascii="Arial" w:hAnsi="Arial" w:cs="Arial"/>
          <w:sz w:val="22"/>
          <w:szCs w:val="22"/>
        </w:rPr>
        <w:t xml:space="preserve"> safety.</w:t>
      </w:r>
    </w:p>
    <w:p w:rsidR="005D215F" w:rsidRPr="00D428B3" w:rsidRDefault="005D215F" w:rsidP="00932D5A">
      <w:pPr>
        <w:spacing w:after="120"/>
        <w:rPr>
          <w:rFonts w:ascii="Arial" w:hAnsi="Arial" w:cs="Arial"/>
          <w:b/>
          <w:sz w:val="22"/>
          <w:szCs w:val="22"/>
        </w:rPr>
      </w:pPr>
      <w:r w:rsidRPr="00D428B3">
        <w:rPr>
          <w:rFonts w:ascii="Arial" w:hAnsi="Arial" w:cs="Arial"/>
          <w:b/>
          <w:sz w:val="22"/>
          <w:szCs w:val="22"/>
        </w:rPr>
        <w:t>The Electricity at Work Regulations (</w:t>
      </w:r>
      <w:r w:rsidR="006A5D9D" w:rsidRPr="00D428B3">
        <w:rPr>
          <w:rFonts w:ascii="Arial" w:hAnsi="Arial" w:cs="Arial"/>
          <w:b/>
          <w:sz w:val="22"/>
          <w:szCs w:val="22"/>
        </w:rPr>
        <w:t>EAWR</w:t>
      </w:r>
      <w:r w:rsidRPr="00D428B3">
        <w:rPr>
          <w:rFonts w:ascii="Arial" w:hAnsi="Arial" w:cs="Arial"/>
          <w:b/>
          <w:sz w:val="22"/>
          <w:szCs w:val="22"/>
        </w:rPr>
        <w:t>)</w:t>
      </w:r>
    </w:p>
    <w:p w:rsidR="005D215F" w:rsidRDefault="005D215F" w:rsidP="00FF5CDB">
      <w:pPr>
        <w:rPr>
          <w:rFonts w:ascii="Arial" w:hAnsi="Arial" w:cs="Arial"/>
          <w:sz w:val="22"/>
          <w:szCs w:val="22"/>
        </w:rPr>
      </w:pPr>
      <w:r w:rsidRPr="00D428B3">
        <w:rPr>
          <w:rFonts w:ascii="Arial" w:hAnsi="Arial" w:cs="Arial"/>
          <w:sz w:val="22"/>
          <w:szCs w:val="22"/>
        </w:rPr>
        <w:t>There are currently 33 regulations</w:t>
      </w:r>
      <w:r w:rsidR="00743F66">
        <w:rPr>
          <w:rFonts w:ascii="Arial" w:hAnsi="Arial" w:cs="Arial"/>
          <w:sz w:val="22"/>
          <w:szCs w:val="22"/>
        </w:rPr>
        <w:t>,</w:t>
      </w:r>
      <w:r w:rsidRPr="00D428B3">
        <w:rPr>
          <w:rFonts w:ascii="Arial" w:hAnsi="Arial" w:cs="Arial"/>
          <w:sz w:val="22"/>
          <w:szCs w:val="22"/>
        </w:rPr>
        <w:t xml:space="preserve"> of which 1</w:t>
      </w:r>
      <w:r w:rsidR="00743F66">
        <w:rPr>
          <w:rFonts w:ascii="Arial" w:hAnsi="Arial" w:cs="Arial"/>
          <w:sz w:val="22"/>
          <w:szCs w:val="22"/>
        </w:rPr>
        <w:t>–</w:t>
      </w:r>
      <w:r w:rsidRPr="00D428B3">
        <w:rPr>
          <w:rFonts w:ascii="Arial" w:hAnsi="Arial" w:cs="Arial"/>
          <w:sz w:val="22"/>
          <w:szCs w:val="22"/>
        </w:rPr>
        <w:t>16 and 29 are the most relevant to most electricians. This is a legal (statutory) document</w:t>
      </w:r>
      <w:r w:rsidR="00743F66">
        <w:rPr>
          <w:rFonts w:ascii="Arial" w:hAnsi="Arial" w:cs="Arial"/>
          <w:sz w:val="22"/>
          <w:szCs w:val="22"/>
        </w:rPr>
        <w:t>,</w:t>
      </w:r>
      <w:r w:rsidRPr="00D428B3">
        <w:rPr>
          <w:rFonts w:ascii="Arial" w:hAnsi="Arial" w:cs="Arial"/>
          <w:sz w:val="22"/>
          <w:szCs w:val="22"/>
        </w:rPr>
        <w:t xml:space="preserve"> whereas the wiring </w:t>
      </w:r>
      <w:r w:rsidR="00743F66">
        <w:rPr>
          <w:rFonts w:ascii="Arial" w:hAnsi="Arial" w:cs="Arial"/>
          <w:sz w:val="22"/>
          <w:szCs w:val="22"/>
        </w:rPr>
        <w:t>R</w:t>
      </w:r>
      <w:r w:rsidRPr="00D428B3">
        <w:rPr>
          <w:rFonts w:ascii="Arial" w:hAnsi="Arial" w:cs="Arial"/>
          <w:sz w:val="22"/>
          <w:szCs w:val="22"/>
        </w:rPr>
        <w:t>egulations (BS 7671) are not.</w:t>
      </w:r>
    </w:p>
    <w:p w:rsidR="005D215F" w:rsidRPr="00D428B3" w:rsidRDefault="00932D5A" w:rsidP="00932D5A">
      <w:pPr>
        <w:spacing w:after="120"/>
        <w:rPr>
          <w:rFonts w:ascii="Arial" w:hAnsi="Arial" w:cs="Arial"/>
          <w:b/>
          <w:sz w:val="22"/>
          <w:szCs w:val="22"/>
        </w:rPr>
      </w:pPr>
      <w:r>
        <w:rPr>
          <w:rFonts w:ascii="Arial" w:hAnsi="Arial" w:cs="Arial"/>
          <w:sz w:val="22"/>
          <w:szCs w:val="22"/>
        </w:rPr>
        <w:br w:type="page"/>
      </w:r>
      <w:r w:rsidR="006A5D9D" w:rsidRPr="00D428B3">
        <w:rPr>
          <w:rFonts w:ascii="Arial" w:hAnsi="Arial" w:cs="Arial"/>
          <w:b/>
          <w:sz w:val="22"/>
          <w:szCs w:val="22"/>
        </w:rPr>
        <w:lastRenderedPageBreak/>
        <w:t>Electricity Safety, Quality and Continuity Regulations (ESQCR)</w:t>
      </w:r>
    </w:p>
    <w:p w:rsidR="005D215F" w:rsidRDefault="00C16DD0" w:rsidP="00932D5A">
      <w:pPr>
        <w:spacing w:after="120"/>
        <w:rPr>
          <w:rFonts w:ascii="Arial" w:hAnsi="Arial" w:cs="Arial"/>
          <w:sz w:val="22"/>
          <w:szCs w:val="22"/>
        </w:rPr>
      </w:pPr>
      <w:r w:rsidRPr="00D428B3">
        <w:rPr>
          <w:rFonts w:ascii="Arial" w:hAnsi="Arial" w:cs="Arial"/>
          <w:sz w:val="22"/>
          <w:szCs w:val="22"/>
        </w:rPr>
        <w:t>The opening up of the electricity markets result</w:t>
      </w:r>
      <w:r w:rsidR="00743F66">
        <w:rPr>
          <w:rFonts w:ascii="Arial" w:hAnsi="Arial" w:cs="Arial"/>
          <w:sz w:val="22"/>
          <w:szCs w:val="22"/>
        </w:rPr>
        <w:t>ed</w:t>
      </w:r>
      <w:r w:rsidRPr="00D428B3">
        <w:rPr>
          <w:rFonts w:ascii="Arial" w:hAnsi="Arial" w:cs="Arial"/>
          <w:sz w:val="22"/>
          <w:szCs w:val="22"/>
        </w:rPr>
        <w:t xml:space="preserve"> in there being many more ‘generators’ than the original CEGB, and many more ‘suppliers and ‘distributors’ of electricity and ‘meter operators’ than the original Regional Electricity Authorities. New regulations were necessary to unify engineering, safety and contractual standards for all generators, suppliers, distributors and meter operators. The </w:t>
      </w:r>
      <w:r w:rsidR="00743F66">
        <w:rPr>
          <w:rFonts w:ascii="Arial" w:hAnsi="Arial" w:cs="Arial"/>
          <w:sz w:val="22"/>
          <w:szCs w:val="22"/>
        </w:rPr>
        <w:t>R</w:t>
      </w:r>
      <w:r w:rsidRPr="00D428B3">
        <w:rPr>
          <w:rFonts w:ascii="Arial" w:hAnsi="Arial" w:cs="Arial"/>
          <w:sz w:val="22"/>
          <w:szCs w:val="22"/>
        </w:rPr>
        <w:t xml:space="preserve">egulations seek to safeguard continuity and quality of electricity supplies to all consumers, from whoever they are </w:t>
      </w:r>
      <w:r w:rsidR="00743F66">
        <w:rPr>
          <w:rFonts w:ascii="Arial" w:hAnsi="Arial" w:cs="Arial"/>
          <w:sz w:val="22"/>
          <w:szCs w:val="22"/>
        </w:rPr>
        <w:t>obtained</w:t>
      </w:r>
      <w:r w:rsidRPr="00D428B3">
        <w:rPr>
          <w:rFonts w:ascii="Arial" w:hAnsi="Arial" w:cs="Arial"/>
          <w:sz w:val="22"/>
          <w:szCs w:val="22"/>
        </w:rPr>
        <w:t>, and to ensure the safety of the public from the substation installations</w:t>
      </w:r>
      <w:r w:rsidR="00743F66">
        <w:rPr>
          <w:rFonts w:ascii="Arial" w:hAnsi="Arial" w:cs="Arial"/>
          <w:sz w:val="22"/>
          <w:szCs w:val="22"/>
        </w:rPr>
        <w:t>,</w:t>
      </w:r>
      <w:r w:rsidRPr="00D428B3">
        <w:rPr>
          <w:rFonts w:ascii="Arial" w:hAnsi="Arial" w:cs="Arial"/>
          <w:sz w:val="22"/>
          <w:szCs w:val="22"/>
        </w:rPr>
        <w:t xml:space="preserve"> as well as electrical distribution via overhead and underground distribution systems.</w:t>
      </w:r>
    </w:p>
    <w:p w:rsidR="00225086" w:rsidRPr="00D428B3" w:rsidRDefault="00225086" w:rsidP="00932D5A">
      <w:pPr>
        <w:pStyle w:val="ListParagraph"/>
        <w:tabs>
          <w:tab w:val="left" w:pos="601"/>
          <w:tab w:val="left" w:pos="884"/>
        </w:tabs>
        <w:autoSpaceDE w:val="0"/>
        <w:autoSpaceDN w:val="0"/>
        <w:adjustRightInd w:val="0"/>
        <w:spacing w:after="120"/>
        <w:ind w:left="0"/>
        <w:rPr>
          <w:rFonts w:ascii="Arial" w:hAnsi="Arial" w:cs="Arial"/>
          <w:b/>
        </w:rPr>
      </w:pPr>
      <w:r w:rsidRPr="00D428B3">
        <w:rPr>
          <w:rFonts w:ascii="Arial" w:hAnsi="Arial" w:cs="Arial"/>
          <w:b/>
        </w:rPr>
        <w:t>Provision and Use of Work Equipment Regulations (PUWER)</w:t>
      </w:r>
    </w:p>
    <w:p w:rsidR="00225086" w:rsidRDefault="00743F66" w:rsidP="00932D5A">
      <w:pPr>
        <w:pStyle w:val="ListParagraph"/>
        <w:tabs>
          <w:tab w:val="left" w:pos="601"/>
          <w:tab w:val="left" w:pos="884"/>
        </w:tabs>
        <w:autoSpaceDE w:val="0"/>
        <w:autoSpaceDN w:val="0"/>
        <w:adjustRightInd w:val="0"/>
        <w:spacing w:after="120"/>
        <w:ind w:left="0"/>
        <w:rPr>
          <w:rFonts w:ascii="Arial" w:hAnsi="Arial" w:cs="Arial"/>
        </w:rPr>
      </w:pPr>
      <w:r>
        <w:rPr>
          <w:rFonts w:ascii="Arial" w:hAnsi="Arial" w:cs="Arial"/>
        </w:rPr>
        <w:t>This c</w:t>
      </w:r>
      <w:r w:rsidR="00225086" w:rsidRPr="00D428B3">
        <w:rPr>
          <w:rFonts w:ascii="Arial" w:hAnsi="Arial" w:cs="Arial"/>
        </w:rPr>
        <w:t>overs the supply and use of equipment in the workplace. Equipment must be safe to use and used safely by the operatives.</w:t>
      </w:r>
    </w:p>
    <w:p w:rsidR="00225086" w:rsidRPr="00D428B3" w:rsidRDefault="00225086" w:rsidP="00932D5A">
      <w:pPr>
        <w:pStyle w:val="ListParagraph"/>
        <w:tabs>
          <w:tab w:val="left" w:pos="601"/>
          <w:tab w:val="left" w:pos="884"/>
        </w:tabs>
        <w:autoSpaceDE w:val="0"/>
        <w:autoSpaceDN w:val="0"/>
        <w:adjustRightInd w:val="0"/>
        <w:spacing w:after="120"/>
        <w:ind w:left="0"/>
        <w:rPr>
          <w:rFonts w:ascii="Arial" w:hAnsi="Arial" w:cs="Arial"/>
          <w:b/>
        </w:rPr>
      </w:pPr>
      <w:r w:rsidRPr="00D428B3">
        <w:rPr>
          <w:rFonts w:ascii="Arial" w:hAnsi="Arial" w:cs="Arial"/>
          <w:b/>
        </w:rPr>
        <w:t>Control of Substances Hazardous to Health Regulations</w:t>
      </w:r>
      <w:r w:rsidR="00CF5D89" w:rsidRPr="00D428B3">
        <w:rPr>
          <w:rFonts w:ascii="Arial" w:hAnsi="Arial" w:cs="Arial"/>
          <w:b/>
        </w:rPr>
        <w:t xml:space="preserve"> (COSHH)</w:t>
      </w:r>
    </w:p>
    <w:p w:rsidR="00225086" w:rsidRDefault="00225086" w:rsidP="00932D5A">
      <w:pPr>
        <w:pStyle w:val="ListParagraph"/>
        <w:tabs>
          <w:tab w:val="left" w:pos="601"/>
          <w:tab w:val="left" w:pos="884"/>
        </w:tabs>
        <w:autoSpaceDE w:val="0"/>
        <w:autoSpaceDN w:val="0"/>
        <w:adjustRightInd w:val="0"/>
        <w:spacing w:after="120"/>
        <w:ind w:left="0"/>
        <w:rPr>
          <w:rFonts w:ascii="Arial" w:hAnsi="Arial" w:cs="Arial"/>
        </w:rPr>
      </w:pPr>
      <w:r w:rsidRPr="00D428B3">
        <w:rPr>
          <w:rFonts w:ascii="Arial" w:hAnsi="Arial" w:cs="Arial"/>
        </w:rPr>
        <w:t xml:space="preserve">As the name suggests, these </w:t>
      </w:r>
      <w:r w:rsidR="00743F66">
        <w:rPr>
          <w:rFonts w:ascii="Arial" w:hAnsi="Arial" w:cs="Arial"/>
        </w:rPr>
        <w:t>R</w:t>
      </w:r>
      <w:r w:rsidRPr="00D428B3">
        <w:rPr>
          <w:rFonts w:ascii="Arial" w:hAnsi="Arial" w:cs="Arial"/>
        </w:rPr>
        <w:t>egulations cover anything used in the workplace that could be considered hazardous to health. This would include chemicals, asbestos, cements, oils, sprays</w:t>
      </w:r>
      <w:r w:rsidR="00743F66">
        <w:rPr>
          <w:rFonts w:ascii="Arial" w:hAnsi="Arial" w:cs="Arial"/>
        </w:rPr>
        <w:t>,</w:t>
      </w:r>
      <w:r w:rsidRPr="00D428B3">
        <w:rPr>
          <w:rFonts w:ascii="Arial" w:hAnsi="Arial" w:cs="Arial"/>
        </w:rPr>
        <w:t xml:space="preserve"> etc.</w:t>
      </w:r>
    </w:p>
    <w:p w:rsidR="00225086" w:rsidRPr="00D428B3" w:rsidRDefault="00C16DD0" w:rsidP="00932D5A">
      <w:pPr>
        <w:spacing w:after="120"/>
        <w:rPr>
          <w:rFonts w:ascii="Arial" w:hAnsi="Arial" w:cs="Arial"/>
          <w:b/>
          <w:sz w:val="22"/>
          <w:szCs w:val="22"/>
        </w:rPr>
      </w:pPr>
      <w:r w:rsidRPr="00D428B3">
        <w:rPr>
          <w:rFonts w:ascii="Arial" w:hAnsi="Arial" w:cs="Arial"/>
          <w:b/>
          <w:sz w:val="22"/>
          <w:szCs w:val="22"/>
        </w:rPr>
        <w:t>Construction (Design and Management)</w:t>
      </w:r>
      <w:r w:rsidR="00AE1BAB" w:rsidRPr="00D428B3">
        <w:rPr>
          <w:rFonts w:ascii="Arial" w:hAnsi="Arial" w:cs="Arial"/>
          <w:b/>
          <w:sz w:val="22"/>
          <w:szCs w:val="22"/>
        </w:rPr>
        <w:t xml:space="preserve"> Regulations</w:t>
      </w:r>
      <w:r w:rsidRPr="00D428B3">
        <w:rPr>
          <w:rFonts w:ascii="Arial" w:hAnsi="Arial" w:cs="Arial"/>
          <w:b/>
          <w:sz w:val="22"/>
          <w:szCs w:val="22"/>
        </w:rPr>
        <w:t> </w:t>
      </w:r>
      <w:r w:rsidR="00CF5D89" w:rsidRPr="00D428B3">
        <w:rPr>
          <w:rFonts w:ascii="Arial" w:hAnsi="Arial" w:cs="Arial"/>
          <w:b/>
          <w:sz w:val="22"/>
          <w:szCs w:val="22"/>
        </w:rPr>
        <w:t>(CDM)</w:t>
      </w:r>
    </w:p>
    <w:p w:rsidR="00225086" w:rsidRDefault="00AE1BAB" w:rsidP="00932D5A">
      <w:pPr>
        <w:spacing w:after="120"/>
        <w:rPr>
          <w:rFonts w:ascii="Arial" w:hAnsi="Arial" w:cs="Arial"/>
          <w:color w:val="000000"/>
          <w:sz w:val="22"/>
          <w:szCs w:val="22"/>
          <w:shd w:val="clear" w:color="auto" w:fill="FFFFFF"/>
        </w:rPr>
      </w:pPr>
      <w:r w:rsidRPr="00D428B3">
        <w:rPr>
          <w:rFonts w:ascii="Arial" w:hAnsi="Arial" w:cs="Arial"/>
          <w:color w:val="000000"/>
          <w:sz w:val="22"/>
          <w:szCs w:val="22"/>
          <w:shd w:val="clear" w:color="auto" w:fill="FFFFFF"/>
        </w:rPr>
        <w:t xml:space="preserve">The </w:t>
      </w:r>
      <w:r w:rsidR="00743F66">
        <w:rPr>
          <w:rFonts w:ascii="Arial" w:hAnsi="Arial" w:cs="Arial"/>
          <w:color w:val="000000"/>
          <w:sz w:val="22"/>
          <w:szCs w:val="22"/>
          <w:shd w:val="clear" w:color="auto" w:fill="FFFFFF"/>
        </w:rPr>
        <w:t>R</w:t>
      </w:r>
      <w:r w:rsidRPr="00D428B3">
        <w:rPr>
          <w:rFonts w:ascii="Arial" w:hAnsi="Arial" w:cs="Arial"/>
          <w:color w:val="000000"/>
          <w:sz w:val="22"/>
          <w:szCs w:val="22"/>
          <w:shd w:val="clear" w:color="auto" w:fill="FFFFFF"/>
        </w:rPr>
        <w:t xml:space="preserve">egulations place specific duties on </w:t>
      </w:r>
      <w:r w:rsidRPr="00D428B3">
        <w:rPr>
          <w:rFonts w:ascii="Arial" w:hAnsi="Arial" w:cs="Arial"/>
          <w:sz w:val="22"/>
          <w:szCs w:val="22"/>
          <w:shd w:val="clear" w:color="auto" w:fill="FFFFFF"/>
        </w:rPr>
        <w:t>clients</w:t>
      </w:r>
      <w:r w:rsidRPr="00D428B3">
        <w:rPr>
          <w:rFonts w:ascii="Arial" w:hAnsi="Arial" w:cs="Arial"/>
          <w:color w:val="000000"/>
          <w:sz w:val="22"/>
          <w:szCs w:val="22"/>
          <w:shd w:val="clear" w:color="auto" w:fill="FFFFFF"/>
        </w:rPr>
        <w:t xml:space="preserve">, </w:t>
      </w:r>
      <w:r w:rsidRPr="00D428B3">
        <w:rPr>
          <w:rFonts w:ascii="Arial" w:hAnsi="Arial" w:cs="Arial"/>
          <w:sz w:val="22"/>
          <w:szCs w:val="22"/>
          <w:shd w:val="clear" w:color="auto" w:fill="FFFFFF"/>
        </w:rPr>
        <w:t xml:space="preserve">designers </w:t>
      </w:r>
      <w:r w:rsidRPr="00D428B3">
        <w:rPr>
          <w:rFonts w:ascii="Arial" w:hAnsi="Arial" w:cs="Arial"/>
          <w:color w:val="000000"/>
          <w:sz w:val="22"/>
          <w:szCs w:val="22"/>
          <w:shd w:val="clear" w:color="auto" w:fill="FFFFFF"/>
        </w:rPr>
        <w:t xml:space="preserve">and </w:t>
      </w:r>
      <w:r w:rsidRPr="00D428B3">
        <w:rPr>
          <w:rFonts w:ascii="Arial" w:hAnsi="Arial" w:cs="Arial"/>
          <w:sz w:val="22"/>
          <w:szCs w:val="22"/>
          <w:shd w:val="clear" w:color="auto" w:fill="FFFFFF"/>
        </w:rPr>
        <w:t>contractors</w:t>
      </w:r>
      <w:r w:rsidRPr="00D428B3">
        <w:rPr>
          <w:rFonts w:ascii="Arial" w:hAnsi="Arial" w:cs="Arial"/>
          <w:color w:val="000000"/>
          <w:sz w:val="22"/>
          <w:szCs w:val="22"/>
          <w:shd w:val="clear" w:color="auto" w:fill="FFFFFF"/>
        </w:rPr>
        <w:t xml:space="preserve"> to rethink their approach to health and safety so that it is taken into account throughout the life of a construction project</w:t>
      </w:r>
      <w:r w:rsidR="00743F66">
        <w:rPr>
          <w:rFonts w:ascii="Arial" w:hAnsi="Arial" w:cs="Arial"/>
          <w:color w:val="000000"/>
          <w:sz w:val="22"/>
          <w:szCs w:val="22"/>
          <w:shd w:val="clear" w:color="auto" w:fill="FFFFFF"/>
        </w:rPr>
        <w:t>,</w:t>
      </w:r>
      <w:r w:rsidRPr="00D428B3">
        <w:rPr>
          <w:rFonts w:ascii="Arial" w:hAnsi="Arial" w:cs="Arial"/>
          <w:color w:val="000000"/>
          <w:sz w:val="22"/>
          <w:szCs w:val="22"/>
          <w:shd w:val="clear" w:color="auto" w:fill="FFFFFF"/>
        </w:rPr>
        <w:t xml:space="preserve"> from its inception to its subsequent final </w:t>
      </w:r>
      <w:r w:rsidRPr="00D428B3">
        <w:rPr>
          <w:rFonts w:ascii="Arial" w:hAnsi="Arial" w:cs="Arial"/>
          <w:sz w:val="22"/>
          <w:szCs w:val="22"/>
          <w:shd w:val="clear" w:color="auto" w:fill="FFFFFF"/>
        </w:rPr>
        <w:t xml:space="preserve">demolition </w:t>
      </w:r>
      <w:r w:rsidRPr="00D428B3">
        <w:rPr>
          <w:rFonts w:ascii="Arial" w:hAnsi="Arial" w:cs="Arial"/>
          <w:color w:val="000000"/>
          <w:sz w:val="22"/>
          <w:szCs w:val="22"/>
          <w:shd w:val="clear" w:color="auto" w:fill="FFFFFF"/>
        </w:rPr>
        <w:t>and removal.</w:t>
      </w:r>
    </w:p>
    <w:p w:rsidR="00CF5D89" w:rsidRPr="00D428B3" w:rsidRDefault="00CF5D89" w:rsidP="00932D5A">
      <w:pPr>
        <w:pStyle w:val="Default"/>
        <w:spacing w:after="120"/>
        <w:rPr>
          <w:color w:val="auto"/>
          <w:sz w:val="22"/>
          <w:szCs w:val="22"/>
        </w:rPr>
      </w:pPr>
      <w:r w:rsidRPr="00D428B3">
        <w:rPr>
          <w:b/>
          <w:bCs/>
          <w:color w:val="auto"/>
          <w:sz w:val="22"/>
          <w:szCs w:val="22"/>
        </w:rPr>
        <w:t>Manual Handling Operations Regulations</w:t>
      </w:r>
      <w:r w:rsidR="00AE1BAB" w:rsidRPr="00D428B3">
        <w:rPr>
          <w:b/>
          <w:bCs/>
          <w:color w:val="auto"/>
          <w:sz w:val="22"/>
          <w:szCs w:val="22"/>
        </w:rPr>
        <w:t> (MHOR)</w:t>
      </w:r>
    </w:p>
    <w:p w:rsidR="00CF5D89" w:rsidRDefault="00CF5D89" w:rsidP="00932D5A">
      <w:pPr>
        <w:pStyle w:val="Default"/>
        <w:spacing w:after="120"/>
        <w:rPr>
          <w:color w:val="auto"/>
          <w:sz w:val="22"/>
          <w:szCs w:val="22"/>
        </w:rPr>
      </w:pPr>
      <w:r w:rsidRPr="00D428B3">
        <w:rPr>
          <w:color w:val="auto"/>
          <w:sz w:val="22"/>
          <w:szCs w:val="22"/>
        </w:rPr>
        <w:t>These Regulations aim to reduce the very large incidence of injury and ill health caused by the manual handling of loads at work.</w:t>
      </w:r>
    </w:p>
    <w:p w:rsidR="00CF5D89" w:rsidRPr="00D428B3" w:rsidRDefault="00CF5D89" w:rsidP="00932D5A">
      <w:pPr>
        <w:pStyle w:val="ListParagraph"/>
        <w:tabs>
          <w:tab w:val="left" w:pos="601"/>
          <w:tab w:val="left" w:pos="884"/>
        </w:tabs>
        <w:autoSpaceDE w:val="0"/>
        <w:autoSpaceDN w:val="0"/>
        <w:adjustRightInd w:val="0"/>
        <w:spacing w:after="120"/>
        <w:ind w:left="0"/>
        <w:rPr>
          <w:rFonts w:ascii="Arial" w:hAnsi="Arial" w:cs="Arial"/>
          <w:b/>
        </w:rPr>
      </w:pPr>
      <w:r w:rsidRPr="00D428B3">
        <w:rPr>
          <w:rFonts w:ascii="Arial" w:hAnsi="Arial" w:cs="Arial"/>
          <w:b/>
        </w:rPr>
        <w:t>Personal Protective Equipment at Work Regulations</w:t>
      </w:r>
      <w:r w:rsidR="00AE1BAB" w:rsidRPr="00D428B3">
        <w:rPr>
          <w:rFonts w:ascii="Arial" w:hAnsi="Arial" w:cs="Arial"/>
          <w:b/>
        </w:rPr>
        <w:t> (PPEWR)</w:t>
      </w:r>
    </w:p>
    <w:p w:rsidR="00CF5D89" w:rsidRDefault="00CF5D89" w:rsidP="00932D5A">
      <w:pPr>
        <w:pStyle w:val="ListParagraph"/>
        <w:tabs>
          <w:tab w:val="left" w:pos="601"/>
          <w:tab w:val="left" w:pos="884"/>
        </w:tabs>
        <w:autoSpaceDE w:val="0"/>
        <w:autoSpaceDN w:val="0"/>
        <w:adjustRightInd w:val="0"/>
        <w:spacing w:after="120"/>
        <w:ind w:left="0"/>
        <w:rPr>
          <w:rFonts w:ascii="Arial" w:hAnsi="Arial" w:cs="Arial"/>
        </w:rPr>
      </w:pPr>
      <w:r w:rsidRPr="00D428B3">
        <w:rPr>
          <w:rFonts w:ascii="Arial" w:hAnsi="Arial" w:cs="Arial"/>
        </w:rPr>
        <w:t>Requires an assessment of PPE requirements to be carried out, the employer to supply the PPE and the employee to wear the protective equipment.</w:t>
      </w:r>
    </w:p>
    <w:p w:rsidR="00AE1BAB" w:rsidRPr="00D428B3" w:rsidRDefault="00AE1BAB" w:rsidP="00932D5A">
      <w:pPr>
        <w:spacing w:after="120"/>
        <w:rPr>
          <w:rFonts w:ascii="Arial" w:hAnsi="Arial" w:cs="Arial"/>
          <w:b/>
          <w:sz w:val="22"/>
          <w:szCs w:val="22"/>
        </w:rPr>
      </w:pPr>
      <w:r w:rsidRPr="00D428B3">
        <w:rPr>
          <w:rFonts w:ascii="Arial" w:hAnsi="Arial" w:cs="Arial"/>
          <w:b/>
          <w:sz w:val="22"/>
          <w:szCs w:val="22"/>
        </w:rPr>
        <w:t xml:space="preserve">Control of </w:t>
      </w:r>
      <w:r w:rsidR="00225086" w:rsidRPr="00D428B3">
        <w:rPr>
          <w:rFonts w:ascii="Arial" w:hAnsi="Arial" w:cs="Arial"/>
          <w:b/>
          <w:sz w:val="22"/>
          <w:szCs w:val="22"/>
        </w:rPr>
        <w:t>Noise at Work</w:t>
      </w:r>
      <w:r w:rsidRPr="00D428B3">
        <w:rPr>
          <w:rFonts w:ascii="Arial" w:hAnsi="Arial" w:cs="Arial"/>
          <w:b/>
          <w:sz w:val="22"/>
          <w:szCs w:val="22"/>
        </w:rPr>
        <w:t xml:space="preserve"> Regulations</w:t>
      </w:r>
    </w:p>
    <w:p w:rsidR="00E708AF" w:rsidRDefault="00743F66" w:rsidP="00932D5A">
      <w:pPr>
        <w:spacing w:after="120"/>
        <w:rPr>
          <w:rFonts w:ascii="Arial" w:hAnsi="Arial" w:cs="Arial"/>
          <w:color w:val="000000"/>
          <w:sz w:val="22"/>
          <w:szCs w:val="22"/>
          <w:shd w:val="clear" w:color="auto" w:fill="FFFFFF"/>
        </w:rPr>
      </w:pPr>
      <w:r w:rsidRPr="00D428B3">
        <w:rPr>
          <w:rFonts w:ascii="Arial" w:hAnsi="Arial" w:cs="Arial"/>
          <w:color w:val="000000"/>
          <w:sz w:val="22"/>
          <w:szCs w:val="22"/>
          <w:shd w:val="clear" w:color="auto" w:fill="FFFFFF"/>
        </w:rPr>
        <w:t>Everyone at work could be exposed to noise and suffer temporary or permanent hearing loss</w:t>
      </w:r>
      <w:r>
        <w:rPr>
          <w:rFonts w:ascii="Arial" w:hAnsi="Arial" w:cs="Arial"/>
          <w:color w:val="000000"/>
          <w:sz w:val="22"/>
          <w:szCs w:val="22"/>
          <w:shd w:val="clear" w:color="auto" w:fill="FFFFFF"/>
        </w:rPr>
        <w:t>.</w:t>
      </w:r>
      <w:r w:rsidRPr="00D428B3">
        <w:rPr>
          <w:rFonts w:ascii="Arial" w:hAnsi="Arial" w:cs="Arial"/>
          <w:color w:val="000000"/>
          <w:sz w:val="22"/>
          <w:szCs w:val="22"/>
          <w:shd w:val="clear" w:color="auto" w:fill="FFFFFF"/>
        </w:rPr>
        <w:t xml:space="preserve"> </w:t>
      </w:r>
      <w:r w:rsidR="00E708AF" w:rsidRPr="00D428B3">
        <w:rPr>
          <w:rFonts w:ascii="Arial" w:hAnsi="Arial" w:cs="Arial"/>
          <w:color w:val="000000"/>
          <w:sz w:val="22"/>
          <w:szCs w:val="22"/>
          <w:shd w:val="clear" w:color="auto" w:fill="FFFFFF"/>
        </w:rPr>
        <w:t xml:space="preserve">These </w:t>
      </w:r>
      <w:r>
        <w:rPr>
          <w:rFonts w:ascii="Arial" w:hAnsi="Arial" w:cs="Arial"/>
          <w:color w:val="000000"/>
          <w:sz w:val="22"/>
          <w:szCs w:val="22"/>
          <w:shd w:val="clear" w:color="auto" w:fill="FFFFFF"/>
        </w:rPr>
        <w:t>R</w:t>
      </w:r>
      <w:r w:rsidR="00E708AF" w:rsidRPr="00D428B3">
        <w:rPr>
          <w:rFonts w:ascii="Arial" w:hAnsi="Arial" w:cs="Arial"/>
          <w:color w:val="000000"/>
          <w:sz w:val="22"/>
          <w:szCs w:val="22"/>
          <w:shd w:val="clear" w:color="auto" w:fill="FFFFFF"/>
        </w:rPr>
        <w:t>egul</w:t>
      </w:r>
      <w:r>
        <w:rPr>
          <w:rFonts w:ascii="Arial" w:hAnsi="Arial" w:cs="Arial"/>
          <w:color w:val="000000"/>
          <w:sz w:val="22"/>
          <w:szCs w:val="22"/>
          <w:shd w:val="clear" w:color="auto" w:fill="FFFFFF"/>
        </w:rPr>
        <w:t>ations place a duty on employer</w:t>
      </w:r>
      <w:r w:rsidR="00E708AF" w:rsidRPr="00D428B3">
        <w:rPr>
          <w:rFonts w:ascii="Arial" w:hAnsi="Arial" w:cs="Arial"/>
          <w:color w:val="000000"/>
          <w:sz w:val="22"/>
          <w:szCs w:val="22"/>
          <w:shd w:val="clear" w:color="auto" w:fill="FFFFFF"/>
        </w:rPr>
        <w:t>s within Great Britain to reduce the risk to their employees</w:t>
      </w:r>
      <w:r>
        <w:rPr>
          <w:rFonts w:ascii="Arial" w:hAnsi="Arial" w:cs="Arial"/>
          <w:color w:val="000000"/>
          <w:sz w:val="22"/>
          <w:szCs w:val="22"/>
          <w:shd w:val="clear" w:color="auto" w:fill="FFFFFF"/>
        </w:rPr>
        <w:t>’</w:t>
      </w:r>
      <w:r w:rsidR="00E708AF" w:rsidRPr="00D428B3">
        <w:rPr>
          <w:rFonts w:ascii="Arial" w:hAnsi="Arial" w:cs="Arial"/>
          <w:color w:val="000000"/>
          <w:sz w:val="22"/>
          <w:szCs w:val="22"/>
          <w:shd w:val="clear" w:color="auto" w:fill="FFFFFF"/>
        </w:rPr>
        <w:t xml:space="preserve"> health by controlling the noise they are exposed to whilst at work</w:t>
      </w:r>
      <w:r>
        <w:rPr>
          <w:rFonts w:ascii="Arial" w:hAnsi="Arial" w:cs="Arial"/>
          <w:color w:val="000000"/>
          <w:sz w:val="22"/>
          <w:szCs w:val="22"/>
          <w:shd w:val="clear" w:color="auto" w:fill="FFFFFF"/>
        </w:rPr>
        <w:t>.</w:t>
      </w:r>
    </w:p>
    <w:p w:rsidR="00E708AF" w:rsidRPr="00D428B3" w:rsidRDefault="00225086" w:rsidP="00932D5A">
      <w:pPr>
        <w:spacing w:after="120"/>
        <w:rPr>
          <w:rFonts w:ascii="Arial" w:hAnsi="Arial" w:cs="Arial"/>
          <w:b/>
          <w:sz w:val="22"/>
          <w:szCs w:val="22"/>
        </w:rPr>
      </w:pPr>
      <w:r w:rsidRPr="00D428B3">
        <w:rPr>
          <w:rFonts w:ascii="Arial" w:hAnsi="Arial" w:cs="Arial"/>
          <w:b/>
          <w:sz w:val="22"/>
          <w:szCs w:val="22"/>
        </w:rPr>
        <w:t>Environmental Act</w:t>
      </w:r>
    </w:p>
    <w:p w:rsidR="00E708AF" w:rsidRDefault="00E708AF" w:rsidP="00932D5A">
      <w:pPr>
        <w:spacing w:after="120"/>
        <w:rPr>
          <w:rFonts w:ascii="Arial" w:hAnsi="Arial" w:cs="Arial"/>
          <w:sz w:val="22"/>
          <w:szCs w:val="22"/>
          <w:shd w:val="clear" w:color="auto" w:fill="FFFFFF"/>
        </w:rPr>
      </w:pPr>
      <w:r w:rsidRPr="00D428B3">
        <w:rPr>
          <w:rFonts w:ascii="Arial" w:hAnsi="Arial" w:cs="Arial"/>
          <w:sz w:val="22"/>
          <w:szCs w:val="22"/>
          <w:shd w:val="clear" w:color="auto" w:fill="FFFFFF"/>
        </w:rPr>
        <w:t>This is an</w:t>
      </w:r>
      <w:r w:rsidRPr="00D428B3">
        <w:rPr>
          <w:rStyle w:val="apple-converted-space"/>
          <w:rFonts w:ascii="Arial" w:hAnsi="Arial" w:cs="Arial"/>
          <w:sz w:val="22"/>
          <w:szCs w:val="22"/>
          <w:shd w:val="clear" w:color="auto" w:fill="FFFFFF"/>
        </w:rPr>
        <w:t xml:space="preserve"> </w:t>
      </w:r>
      <w:r w:rsidRPr="00D428B3">
        <w:rPr>
          <w:rFonts w:ascii="Arial" w:hAnsi="Arial" w:cs="Arial"/>
          <w:sz w:val="22"/>
          <w:szCs w:val="22"/>
          <w:shd w:val="clear" w:color="auto" w:fill="FFFFFF"/>
        </w:rPr>
        <w:t>Act</w:t>
      </w:r>
      <w:r w:rsidRPr="00D428B3">
        <w:rPr>
          <w:rStyle w:val="apple-converted-space"/>
          <w:rFonts w:ascii="Arial" w:hAnsi="Arial" w:cs="Arial"/>
          <w:sz w:val="22"/>
          <w:szCs w:val="22"/>
          <w:shd w:val="clear" w:color="auto" w:fill="FFFFFF"/>
        </w:rPr>
        <w:t xml:space="preserve"> </w:t>
      </w:r>
      <w:r w:rsidRPr="00D428B3">
        <w:rPr>
          <w:rFonts w:ascii="Arial" w:hAnsi="Arial" w:cs="Arial"/>
          <w:sz w:val="22"/>
          <w:szCs w:val="22"/>
          <w:shd w:val="clear" w:color="auto" w:fill="FFFFFF"/>
        </w:rPr>
        <w:t>of Parliament that defines the fundamental structure and authority for</w:t>
      </w:r>
      <w:r w:rsidRPr="00D428B3">
        <w:rPr>
          <w:rStyle w:val="apple-converted-space"/>
          <w:rFonts w:ascii="Arial" w:hAnsi="Arial" w:cs="Arial"/>
          <w:sz w:val="22"/>
          <w:szCs w:val="22"/>
          <w:shd w:val="clear" w:color="auto" w:fill="FFFFFF"/>
        </w:rPr>
        <w:t xml:space="preserve"> </w:t>
      </w:r>
      <w:r w:rsidRPr="00D428B3">
        <w:rPr>
          <w:rFonts w:ascii="Arial" w:hAnsi="Arial" w:cs="Arial"/>
          <w:sz w:val="22"/>
          <w:szCs w:val="22"/>
          <w:shd w:val="clear" w:color="auto" w:fill="FFFFFF"/>
        </w:rPr>
        <w:t>waste management</w:t>
      </w:r>
      <w:r w:rsidRPr="00D428B3">
        <w:rPr>
          <w:rStyle w:val="apple-converted-space"/>
          <w:rFonts w:ascii="Arial" w:hAnsi="Arial" w:cs="Arial"/>
          <w:sz w:val="22"/>
          <w:szCs w:val="22"/>
          <w:shd w:val="clear" w:color="auto" w:fill="FFFFFF"/>
        </w:rPr>
        <w:t xml:space="preserve"> </w:t>
      </w:r>
      <w:r w:rsidRPr="00D428B3">
        <w:rPr>
          <w:rFonts w:ascii="Arial" w:hAnsi="Arial" w:cs="Arial"/>
          <w:sz w:val="22"/>
          <w:szCs w:val="22"/>
          <w:shd w:val="clear" w:color="auto" w:fill="FFFFFF"/>
        </w:rPr>
        <w:t>and control of</w:t>
      </w:r>
      <w:r w:rsidRPr="00D428B3">
        <w:rPr>
          <w:rStyle w:val="apple-converted-space"/>
          <w:rFonts w:ascii="Arial" w:hAnsi="Arial" w:cs="Arial"/>
          <w:sz w:val="22"/>
          <w:szCs w:val="22"/>
          <w:shd w:val="clear" w:color="auto" w:fill="FFFFFF"/>
        </w:rPr>
        <w:t xml:space="preserve"> </w:t>
      </w:r>
      <w:r w:rsidRPr="00D428B3">
        <w:rPr>
          <w:rFonts w:ascii="Arial" w:hAnsi="Arial" w:cs="Arial"/>
          <w:sz w:val="22"/>
          <w:szCs w:val="22"/>
          <w:shd w:val="clear" w:color="auto" w:fill="FFFFFF"/>
        </w:rPr>
        <w:t>emissions</w:t>
      </w:r>
      <w:r w:rsidRPr="00D428B3">
        <w:rPr>
          <w:rStyle w:val="apple-converted-space"/>
          <w:rFonts w:ascii="Arial" w:hAnsi="Arial" w:cs="Arial"/>
          <w:sz w:val="22"/>
          <w:szCs w:val="22"/>
          <w:shd w:val="clear" w:color="auto" w:fill="FFFFFF"/>
        </w:rPr>
        <w:t xml:space="preserve"> </w:t>
      </w:r>
      <w:r w:rsidRPr="00D428B3">
        <w:rPr>
          <w:rFonts w:ascii="Arial" w:hAnsi="Arial" w:cs="Arial"/>
          <w:sz w:val="22"/>
          <w:szCs w:val="22"/>
          <w:shd w:val="clear" w:color="auto" w:fill="FFFFFF"/>
        </w:rPr>
        <w:t>into the</w:t>
      </w:r>
      <w:r w:rsidRPr="00D428B3">
        <w:rPr>
          <w:rStyle w:val="apple-converted-space"/>
          <w:rFonts w:ascii="Arial" w:hAnsi="Arial" w:cs="Arial"/>
          <w:sz w:val="22"/>
          <w:szCs w:val="22"/>
          <w:shd w:val="clear" w:color="auto" w:fill="FFFFFF"/>
        </w:rPr>
        <w:t xml:space="preserve"> </w:t>
      </w:r>
      <w:r w:rsidRPr="00D428B3">
        <w:rPr>
          <w:rFonts w:ascii="Arial" w:hAnsi="Arial" w:cs="Arial"/>
          <w:sz w:val="22"/>
          <w:szCs w:val="22"/>
          <w:shd w:val="clear" w:color="auto" w:fill="FFFFFF"/>
        </w:rPr>
        <w:t>environment.</w:t>
      </w:r>
    </w:p>
    <w:p w:rsidR="009D24C5" w:rsidRPr="00D428B3" w:rsidRDefault="009D24C5" w:rsidP="00932D5A">
      <w:pPr>
        <w:spacing w:after="120"/>
        <w:rPr>
          <w:rFonts w:ascii="Arial" w:hAnsi="Arial" w:cs="Arial"/>
          <w:b/>
          <w:sz w:val="22"/>
          <w:szCs w:val="22"/>
        </w:rPr>
      </w:pPr>
      <w:r w:rsidRPr="00D428B3">
        <w:rPr>
          <w:rFonts w:ascii="Arial" w:hAnsi="Arial" w:cs="Arial"/>
          <w:b/>
          <w:sz w:val="22"/>
          <w:szCs w:val="22"/>
        </w:rPr>
        <w:t>Disability Discrimination Act (DDA)</w:t>
      </w:r>
    </w:p>
    <w:p w:rsidR="009D24C5" w:rsidRDefault="009D24C5" w:rsidP="00932D5A">
      <w:pPr>
        <w:pStyle w:val="NormalWeb"/>
        <w:shd w:val="clear" w:color="auto" w:fill="FFFFFF"/>
        <w:spacing w:before="0" w:beforeAutospacing="0" w:after="120" w:afterAutospacing="0"/>
        <w:rPr>
          <w:rFonts w:ascii="Arial" w:hAnsi="Arial" w:cs="Arial"/>
          <w:color w:val="000000"/>
          <w:sz w:val="22"/>
          <w:szCs w:val="22"/>
        </w:rPr>
      </w:pPr>
      <w:r w:rsidRPr="00D428B3">
        <w:rPr>
          <w:rFonts w:ascii="Arial" w:hAnsi="Arial" w:cs="Arial"/>
          <w:color w:val="000000"/>
          <w:sz w:val="22"/>
          <w:szCs w:val="22"/>
        </w:rPr>
        <w:t>This has now been repealed and replaced by the</w:t>
      </w:r>
      <w:r w:rsidRPr="00D428B3">
        <w:rPr>
          <w:rStyle w:val="apple-converted-space"/>
          <w:rFonts w:ascii="Arial" w:hAnsi="Arial" w:cs="Arial"/>
          <w:color w:val="000000"/>
          <w:sz w:val="22"/>
          <w:szCs w:val="22"/>
        </w:rPr>
        <w:t xml:space="preserve"> </w:t>
      </w:r>
      <w:r w:rsidRPr="00D428B3">
        <w:rPr>
          <w:rFonts w:ascii="Arial" w:hAnsi="Arial" w:cs="Arial"/>
          <w:color w:val="000000"/>
          <w:sz w:val="22"/>
          <w:szCs w:val="22"/>
        </w:rPr>
        <w:t xml:space="preserve">Equality Act 2010 (except in Northern Ireland where the Act still applies). Formerly, it made it unlawful to discriminate against people </w:t>
      </w:r>
      <w:r w:rsidR="00743F66">
        <w:rPr>
          <w:rFonts w:ascii="Arial" w:hAnsi="Arial" w:cs="Arial"/>
          <w:color w:val="000000"/>
          <w:sz w:val="22"/>
          <w:szCs w:val="22"/>
        </w:rPr>
        <w:t>because</w:t>
      </w:r>
      <w:r w:rsidRPr="00D428B3">
        <w:rPr>
          <w:rFonts w:ascii="Arial" w:hAnsi="Arial" w:cs="Arial"/>
          <w:color w:val="000000"/>
          <w:sz w:val="22"/>
          <w:szCs w:val="22"/>
        </w:rPr>
        <w:t xml:space="preserve"> of their disabilities</w:t>
      </w:r>
      <w:r w:rsidRPr="00D428B3">
        <w:rPr>
          <w:rStyle w:val="apple-converted-space"/>
          <w:rFonts w:ascii="Arial" w:hAnsi="Arial" w:cs="Arial"/>
          <w:color w:val="000000"/>
          <w:sz w:val="22"/>
          <w:szCs w:val="22"/>
        </w:rPr>
        <w:t xml:space="preserve"> </w:t>
      </w:r>
      <w:r w:rsidRPr="00D428B3">
        <w:rPr>
          <w:rFonts w:ascii="Arial" w:hAnsi="Arial" w:cs="Arial"/>
          <w:color w:val="000000"/>
          <w:sz w:val="22"/>
          <w:szCs w:val="22"/>
        </w:rPr>
        <w:t>in relation to employment, the provision of goods and services, education and transport.</w:t>
      </w:r>
    </w:p>
    <w:p w:rsidR="009D24C5" w:rsidRPr="00D428B3" w:rsidRDefault="009D24C5" w:rsidP="00932D5A">
      <w:pPr>
        <w:spacing w:after="120"/>
        <w:rPr>
          <w:rFonts w:ascii="Arial" w:hAnsi="Arial" w:cs="Arial"/>
          <w:b/>
          <w:sz w:val="22"/>
          <w:szCs w:val="22"/>
        </w:rPr>
      </w:pPr>
      <w:r w:rsidRPr="00D428B3">
        <w:rPr>
          <w:rFonts w:ascii="Arial" w:hAnsi="Arial" w:cs="Arial"/>
          <w:b/>
          <w:color w:val="000000"/>
          <w:sz w:val="22"/>
          <w:szCs w:val="22"/>
        </w:rPr>
        <w:t>Equality Act</w:t>
      </w:r>
    </w:p>
    <w:p w:rsidR="009D24C5" w:rsidRPr="00D428B3" w:rsidRDefault="00021494" w:rsidP="00FF5CDB">
      <w:pPr>
        <w:rPr>
          <w:rFonts w:ascii="Arial" w:hAnsi="Arial" w:cs="Arial"/>
          <w:sz w:val="22"/>
          <w:szCs w:val="22"/>
        </w:rPr>
      </w:pPr>
      <w:r w:rsidRPr="00D428B3">
        <w:rPr>
          <w:rFonts w:ascii="Arial" w:hAnsi="Arial" w:cs="Arial"/>
          <w:color w:val="000000"/>
          <w:sz w:val="22"/>
          <w:szCs w:val="22"/>
          <w:shd w:val="clear" w:color="auto" w:fill="FFFFFF"/>
        </w:rPr>
        <w:t>This act requires equal treatment in access to employment</w:t>
      </w:r>
      <w:r w:rsidR="00743F66">
        <w:rPr>
          <w:rFonts w:ascii="Arial" w:hAnsi="Arial" w:cs="Arial"/>
          <w:color w:val="000000"/>
          <w:sz w:val="22"/>
          <w:szCs w:val="22"/>
          <w:shd w:val="clear" w:color="auto" w:fill="FFFFFF"/>
        </w:rPr>
        <w:t>,</w:t>
      </w:r>
      <w:r w:rsidRPr="00D428B3">
        <w:rPr>
          <w:rFonts w:ascii="Arial" w:hAnsi="Arial" w:cs="Arial"/>
          <w:color w:val="000000"/>
          <w:sz w:val="22"/>
          <w:szCs w:val="22"/>
          <w:shd w:val="clear" w:color="auto" w:fill="FFFFFF"/>
        </w:rPr>
        <w:t xml:space="preserve"> as well as private and public services, regardless of the protected characteristics of age, disability, gender reassignment, marriage and civil partnership</w:t>
      </w:r>
      <w:r w:rsidR="003311D5">
        <w:rPr>
          <w:rFonts w:ascii="Arial" w:hAnsi="Arial" w:cs="Arial"/>
          <w:color w:val="000000"/>
          <w:sz w:val="22"/>
          <w:szCs w:val="22"/>
          <w:shd w:val="clear" w:color="auto" w:fill="FFFFFF"/>
        </w:rPr>
        <w:t>, race, religion or belief, sex</w:t>
      </w:r>
      <w:r w:rsidRPr="00D428B3">
        <w:rPr>
          <w:rFonts w:ascii="Arial" w:hAnsi="Arial" w:cs="Arial"/>
          <w:color w:val="000000"/>
          <w:sz w:val="22"/>
          <w:szCs w:val="22"/>
          <w:shd w:val="clear" w:color="auto" w:fill="FFFFFF"/>
        </w:rPr>
        <w:t xml:space="preserve"> and sexual orientation.</w:t>
      </w:r>
    </w:p>
    <w:p w:rsidR="0068636D" w:rsidRPr="00D428B3" w:rsidRDefault="00932D5A" w:rsidP="00932D5A">
      <w:pPr>
        <w:spacing w:after="120"/>
        <w:rPr>
          <w:rFonts w:ascii="Arial" w:hAnsi="Arial" w:cs="Arial"/>
          <w:sz w:val="22"/>
          <w:szCs w:val="22"/>
        </w:rPr>
      </w:pPr>
      <w:r>
        <w:rPr>
          <w:rFonts w:ascii="Arial" w:hAnsi="Arial" w:cs="Arial"/>
          <w:sz w:val="22"/>
          <w:szCs w:val="22"/>
        </w:rPr>
        <w:br w:type="page"/>
      </w:r>
      <w:r w:rsidR="0068636D" w:rsidRPr="00D428B3">
        <w:rPr>
          <w:rFonts w:ascii="Arial" w:hAnsi="Arial" w:cs="Arial"/>
          <w:b/>
          <w:bCs/>
          <w:sz w:val="22"/>
          <w:szCs w:val="22"/>
        </w:rPr>
        <w:lastRenderedPageBreak/>
        <w:t xml:space="preserve">Non-statutory </w:t>
      </w:r>
      <w:r w:rsidR="00743F66">
        <w:rPr>
          <w:rFonts w:ascii="Arial" w:hAnsi="Arial" w:cs="Arial"/>
          <w:b/>
          <w:bCs/>
          <w:sz w:val="22"/>
          <w:szCs w:val="22"/>
        </w:rPr>
        <w:t>R</w:t>
      </w:r>
      <w:r w:rsidR="0068636D" w:rsidRPr="00D428B3">
        <w:rPr>
          <w:rFonts w:ascii="Arial" w:hAnsi="Arial" w:cs="Arial"/>
          <w:b/>
          <w:bCs/>
          <w:sz w:val="22"/>
          <w:szCs w:val="22"/>
        </w:rPr>
        <w:t>egulations</w:t>
      </w:r>
    </w:p>
    <w:p w:rsidR="0068636D" w:rsidRDefault="0068636D" w:rsidP="00932D5A">
      <w:pPr>
        <w:spacing w:after="120"/>
        <w:rPr>
          <w:rFonts w:ascii="Arial" w:hAnsi="Arial" w:cs="Arial"/>
          <w:sz w:val="22"/>
          <w:szCs w:val="22"/>
        </w:rPr>
      </w:pPr>
      <w:r w:rsidRPr="00D428B3">
        <w:rPr>
          <w:rFonts w:ascii="Arial" w:hAnsi="Arial" w:cs="Arial"/>
          <w:sz w:val="22"/>
          <w:szCs w:val="22"/>
        </w:rPr>
        <w:t xml:space="preserve">A number of non-statutory </w:t>
      </w:r>
      <w:r w:rsidR="00743F66">
        <w:rPr>
          <w:rFonts w:ascii="Arial" w:hAnsi="Arial" w:cs="Arial"/>
          <w:sz w:val="22"/>
          <w:szCs w:val="22"/>
        </w:rPr>
        <w:t>Acts and R</w:t>
      </w:r>
      <w:r w:rsidRPr="00D428B3">
        <w:rPr>
          <w:rFonts w:ascii="Arial" w:hAnsi="Arial" w:cs="Arial"/>
          <w:sz w:val="22"/>
          <w:szCs w:val="22"/>
        </w:rPr>
        <w:t xml:space="preserve">egulations were identified in </w:t>
      </w:r>
      <w:r w:rsidR="00743F66">
        <w:rPr>
          <w:rFonts w:ascii="Arial" w:hAnsi="Arial" w:cs="Arial"/>
          <w:sz w:val="22"/>
          <w:szCs w:val="22"/>
        </w:rPr>
        <w:t>U</w:t>
      </w:r>
      <w:r w:rsidRPr="00D428B3">
        <w:rPr>
          <w:rFonts w:ascii="Arial" w:hAnsi="Arial" w:cs="Arial"/>
          <w:sz w:val="22"/>
          <w:szCs w:val="22"/>
        </w:rPr>
        <w:t>nit 201 under Health and Safety Executive (HSE) legislation. Some of these are repeated here</w:t>
      </w:r>
      <w:r w:rsidR="000578CA">
        <w:rPr>
          <w:rFonts w:ascii="Arial" w:hAnsi="Arial" w:cs="Arial"/>
          <w:sz w:val="22"/>
          <w:szCs w:val="22"/>
        </w:rPr>
        <w:t>,</w:t>
      </w:r>
      <w:r w:rsidRPr="00D428B3">
        <w:rPr>
          <w:rFonts w:ascii="Arial" w:hAnsi="Arial" w:cs="Arial"/>
          <w:sz w:val="22"/>
          <w:szCs w:val="22"/>
        </w:rPr>
        <w:t xml:space="preserve"> along with others </w:t>
      </w:r>
      <w:r w:rsidR="000578CA">
        <w:rPr>
          <w:rFonts w:ascii="Arial" w:hAnsi="Arial" w:cs="Arial"/>
          <w:sz w:val="22"/>
          <w:szCs w:val="22"/>
        </w:rPr>
        <w:t>of which</w:t>
      </w:r>
      <w:r w:rsidRPr="00D428B3">
        <w:rPr>
          <w:rFonts w:ascii="Arial" w:hAnsi="Arial" w:cs="Arial"/>
          <w:sz w:val="22"/>
          <w:szCs w:val="22"/>
        </w:rPr>
        <w:t xml:space="preserve"> you will need to be aware.</w:t>
      </w:r>
    </w:p>
    <w:p w:rsidR="009D24C5" w:rsidRPr="00D428B3" w:rsidRDefault="0068636D" w:rsidP="00932D5A">
      <w:pPr>
        <w:spacing w:after="120"/>
        <w:rPr>
          <w:rFonts w:ascii="Arial" w:hAnsi="Arial" w:cs="Arial"/>
          <w:b/>
          <w:sz w:val="22"/>
          <w:szCs w:val="22"/>
        </w:rPr>
      </w:pPr>
      <w:r w:rsidRPr="00D428B3">
        <w:rPr>
          <w:rFonts w:ascii="Arial" w:hAnsi="Arial" w:cs="Arial"/>
          <w:b/>
          <w:sz w:val="22"/>
          <w:szCs w:val="22"/>
        </w:rPr>
        <w:t xml:space="preserve">Requirements for </w:t>
      </w:r>
      <w:r w:rsidR="007D0441" w:rsidRPr="00D428B3">
        <w:rPr>
          <w:rFonts w:ascii="Arial" w:hAnsi="Arial" w:cs="Arial"/>
          <w:b/>
          <w:sz w:val="22"/>
          <w:szCs w:val="22"/>
        </w:rPr>
        <w:t>E</w:t>
      </w:r>
      <w:r w:rsidRPr="00D428B3">
        <w:rPr>
          <w:rFonts w:ascii="Arial" w:hAnsi="Arial" w:cs="Arial"/>
          <w:b/>
          <w:sz w:val="22"/>
          <w:szCs w:val="22"/>
        </w:rPr>
        <w:t xml:space="preserve">lectrical </w:t>
      </w:r>
      <w:r w:rsidR="007D0441" w:rsidRPr="00D428B3">
        <w:rPr>
          <w:rFonts w:ascii="Arial" w:hAnsi="Arial" w:cs="Arial"/>
          <w:b/>
          <w:sz w:val="22"/>
          <w:szCs w:val="22"/>
        </w:rPr>
        <w:t>I</w:t>
      </w:r>
      <w:r w:rsidRPr="00D428B3">
        <w:rPr>
          <w:rFonts w:ascii="Arial" w:hAnsi="Arial" w:cs="Arial"/>
          <w:b/>
          <w:sz w:val="22"/>
          <w:szCs w:val="22"/>
        </w:rPr>
        <w:t>nstallations (BS</w:t>
      </w:r>
      <w:r w:rsidR="000578CA">
        <w:rPr>
          <w:rFonts w:ascii="Arial" w:hAnsi="Arial" w:cs="Arial"/>
          <w:b/>
          <w:sz w:val="22"/>
          <w:szCs w:val="22"/>
        </w:rPr>
        <w:t xml:space="preserve"> </w:t>
      </w:r>
      <w:r w:rsidRPr="00D428B3">
        <w:rPr>
          <w:rFonts w:ascii="Arial" w:hAnsi="Arial" w:cs="Arial"/>
          <w:b/>
          <w:sz w:val="22"/>
          <w:szCs w:val="22"/>
        </w:rPr>
        <w:t>7671)</w:t>
      </w:r>
    </w:p>
    <w:p w:rsidR="0068636D" w:rsidRPr="00D428B3" w:rsidRDefault="0068636D" w:rsidP="00932D5A">
      <w:pPr>
        <w:pStyle w:val="NormalWeb"/>
        <w:shd w:val="clear" w:color="auto" w:fill="FFFFFF"/>
        <w:spacing w:before="0" w:beforeAutospacing="0" w:after="120" w:afterAutospacing="0"/>
        <w:rPr>
          <w:rFonts w:ascii="Arial" w:hAnsi="Arial" w:cs="Arial"/>
          <w:color w:val="000000"/>
          <w:sz w:val="22"/>
          <w:szCs w:val="22"/>
        </w:rPr>
      </w:pPr>
      <w:r w:rsidRPr="00D428B3">
        <w:rPr>
          <w:rFonts w:ascii="Arial" w:hAnsi="Arial" w:cs="Arial"/>
          <w:color w:val="000000"/>
          <w:sz w:val="22"/>
          <w:szCs w:val="22"/>
        </w:rPr>
        <w:t xml:space="preserve">Published by the </w:t>
      </w:r>
      <w:r w:rsidRPr="00D428B3">
        <w:rPr>
          <w:rFonts w:ascii="Arial" w:hAnsi="Arial" w:cs="Arial"/>
          <w:bCs/>
          <w:color w:val="000000"/>
          <w:sz w:val="22"/>
          <w:szCs w:val="22"/>
          <w:shd w:val="clear" w:color="auto" w:fill="FFFFFF"/>
        </w:rPr>
        <w:t>Institution of Engineering and Technology</w:t>
      </w:r>
      <w:r w:rsidRPr="00D428B3">
        <w:rPr>
          <w:rStyle w:val="apple-converted-space"/>
          <w:rFonts w:ascii="Arial" w:hAnsi="Arial" w:cs="Arial"/>
          <w:color w:val="000000"/>
          <w:sz w:val="22"/>
          <w:szCs w:val="22"/>
          <w:shd w:val="clear" w:color="auto" w:fill="FFFFFF"/>
        </w:rPr>
        <w:t> </w:t>
      </w:r>
      <w:r w:rsidRPr="00D428B3">
        <w:rPr>
          <w:rFonts w:ascii="Arial" w:hAnsi="Arial" w:cs="Arial"/>
          <w:color w:val="000000"/>
          <w:sz w:val="22"/>
          <w:szCs w:val="22"/>
          <w:shd w:val="clear" w:color="auto" w:fill="FFFFFF"/>
        </w:rPr>
        <w:t>(</w:t>
      </w:r>
      <w:r w:rsidRPr="00D428B3">
        <w:rPr>
          <w:rFonts w:ascii="Arial" w:hAnsi="Arial" w:cs="Arial"/>
          <w:bCs/>
          <w:color w:val="000000"/>
          <w:sz w:val="22"/>
          <w:szCs w:val="22"/>
          <w:shd w:val="clear" w:color="auto" w:fill="FFFFFF"/>
        </w:rPr>
        <w:t>IET</w:t>
      </w:r>
      <w:r w:rsidRPr="00D428B3">
        <w:rPr>
          <w:rFonts w:ascii="Arial" w:hAnsi="Arial" w:cs="Arial"/>
          <w:color w:val="000000"/>
          <w:sz w:val="22"/>
          <w:szCs w:val="22"/>
          <w:shd w:val="clear" w:color="auto" w:fill="FFFFFF"/>
        </w:rPr>
        <w:t>)</w:t>
      </w:r>
      <w:r w:rsidR="000578CA">
        <w:rPr>
          <w:rFonts w:ascii="Arial" w:hAnsi="Arial" w:cs="Arial"/>
          <w:color w:val="000000"/>
          <w:sz w:val="22"/>
          <w:szCs w:val="22"/>
          <w:shd w:val="clear" w:color="auto" w:fill="FFFFFF"/>
        </w:rPr>
        <w:t>,</w:t>
      </w:r>
      <w:r w:rsidRPr="00D428B3">
        <w:rPr>
          <w:rFonts w:ascii="Arial" w:hAnsi="Arial" w:cs="Arial"/>
          <w:color w:val="000000"/>
          <w:sz w:val="22"/>
          <w:szCs w:val="22"/>
        </w:rPr>
        <w:t xml:space="preserve"> these are the national standard in the United Kingdom for low voltage electrical installations.</w:t>
      </w:r>
    </w:p>
    <w:p w:rsidR="0068636D" w:rsidRPr="00D428B3" w:rsidRDefault="0068636D" w:rsidP="00932D5A">
      <w:pPr>
        <w:pStyle w:val="NormalWeb"/>
        <w:shd w:val="clear" w:color="auto" w:fill="FFFFFF"/>
        <w:spacing w:before="0" w:beforeAutospacing="0" w:after="120" w:afterAutospacing="0"/>
        <w:rPr>
          <w:rFonts w:ascii="Arial" w:hAnsi="Arial" w:cs="Arial"/>
          <w:color w:val="000000"/>
          <w:sz w:val="22"/>
          <w:szCs w:val="22"/>
        </w:rPr>
      </w:pPr>
      <w:r w:rsidRPr="00D428B3">
        <w:rPr>
          <w:rFonts w:ascii="Arial" w:hAnsi="Arial" w:cs="Arial"/>
          <w:color w:val="000000"/>
          <w:sz w:val="22"/>
          <w:szCs w:val="22"/>
        </w:rPr>
        <w:t>The IET (formerly</w:t>
      </w:r>
      <w:r w:rsidRPr="00D428B3">
        <w:rPr>
          <w:rStyle w:val="apple-converted-space"/>
          <w:rFonts w:ascii="Arial" w:hAnsi="Arial" w:cs="Arial"/>
          <w:color w:val="000000"/>
          <w:sz w:val="22"/>
          <w:szCs w:val="22"/>
        </w:rPr>
        <w:t> </w:t>
      </w:r>
      <w:r w:rsidRPr="00D428B3">
        <w:rPr>
          <w:rFonts w:ascii="Arial" w:hAnsi="Arial" w:cs="Arial"/>
          <w:color w:val="000000"/>
          <w:sz w:val="22"/>
          <w:szCs w:val="22"/>
        </w:rPr>
        <w:t xml:space="preserve">IEE) has published wiring </w:t>
      </w:r>
      <w:r w:rsidR="000578CA">
        <w:rPr>
          <w:rFonts w:ascii="Arial" w:hAnsi="Arial" w:cs="Arial"/>
          <w:color w:val="000000"/>
          <w:sz w:val="22"/>
          <w:szCs w:val="22"/>
        </w:rPr>
        <w:t>R</w:t>
      </w:r>
      <w:r w:rsidRPr="00D428B3">
        <w:rPr>
          <w:rFonts w:ascii="Arial" w:hAnsi="Arial" w:cs="Arial"/>
          <w:color w:val="000000"/>
          <w:sz w:val="22"/>
          <w:szCs w:val="22"/>
        </w:rPr>
        <w:t>egulations in the United Kingdom since 1882. Since their 15</w:t>
      </w:r>
      <w:r w:rsidRPr="00D428B3">
        <w:rPr>
          <w:rFonts w:ascii="Arial" w:hAnsi="Arial" w:cs="Arial"/>
          <w:color w:val="000000"/>
          <w:sz w:val="22"/>
          <w:szCs w:val="22"/>
          <w:vertAlign w:val="superscript"/>
        </w:rPr>
        <w:t>th</w:t>
      </w:r>
      <w:r w:rsidRPr="00D428B3">
        <w:rPr>
          <w:rFonts w:ascii="Arial" w:hAnsi="Arial" w:cs="Arial"/>
          <w:color w:val="000000"/>
          <w:sz w:val="22"/>
          <w:szCs w:val="22"/>
        </w:rPr>
        <w:t xml:space="preserve"> edition (1981), these </w:t>
      </w:r>
      <w:r w:rsidR="000578CA">
        <w:rPr>
          <w:rFonts w:ascii="Arial" w:hAnsi="Arial" w:cs="Arial"/>
          <w:color w:val="000000"/>
          <w:sz w:val="22"/>
          <w:szCs w:val="22"/>
        </w:rPr>
        <w:t>R</w:t>
      </w:r>
      <w:r w:rsidRPr="00D428B3">
        <w:rPr>
          <w:rFonts w:ascii="Arial" w:hAnsi="Arial" w:cs="Arial"/>
          <w:color w:val="000000"/>
          <w:sz w:val="22"/>
          <w:szCs w:val="22"/>
        </w:rPr>
        <w:t>egulations have closely followed the corresponding international standard</w:t>
      </w:r>
      <w:r w:rsidRPr="00D428B3">
        <w:rPr>
          <w:rStyle w:val="apple-converted-space"/>
          <w:rFonts w:ascii="Arial" w:hAnsi="Arial" w:cs="Arial"/>
          <w:color w:val="000000"/>
          <w:sz w:val="22"/>
          <w:szCs w:val="22"/>
        </w:rPr>
        <w:t xml:space="preserve"> </w:t>
      </w:r>
      <w:r w:rsidRPr="00D428B3">
        <w:rPr>
          <w:rFonts w:ascii="Arial" w:hAnsi="Arial" w:cs="Arial"/>
          <w:color w:val="000000"/>
          <w:sz w:val="22"/>
          <w:szCs w:val="22"/>
        </w:rPr>
        <w:t>IEC 60364. Today, they are largely based on the</w:t>
      </w:r>
      <w:r w:rsidRPr="00D428B3">
        <w:rPr>
          <w:rStyle w:val="apple-converted-space"/>
          <w:rFonts w:ascii="Arial" w:hAnsi="Arial" w:cs="Arial"/>
          <w:color w:val="000000"/>
          <w:sz w:val="22"/>
          <w:szCs w:val="22"/>
        </w:rPr>
        <w:t xml:space="preserve"> </w:t>
      </w:r>
      <w:r w:rsidRPr="00D428B3">
        <w:rPr>
          <w:rFonts w:ascii="Arial" w:hAnsi="Arial" w:cs="Arial"/>
          <w:color w:val="000000"/>
          <w:sz w:val="22"/>
          <w:szCs w:val="22"/>
        </w:rPr>
        <w:t>European Committee for Electrotechnical Standardization</w:t>
      </w:r>
      <w:r w:rsidRPr="00D428B3">
        <w:rPr>
          <w:rStyle w:val="apple-converted-space"/>
          <w:rFonts w:ascii="Arial" w:hAnsi="Arial" w:cs="Arial"/>
          <w:color w:val="000000"/>
          <w:sz w:val="22"/>
          <w:szCs w:val="22"/>
        </w:rPr>
        <w:t> </w:t>
      </w:r>
      <w:r w:rsidRPr="00D428B3">
        <w:rPr>
          <w:rFonts w:ascii="Arial" w:hAnsi="Arial" w:cs="Arial"/>
          <w:color w:val="000000"/>
          <w:sz w:val="22"/>
          <w:szCs w:val="22"/>
        </w:rPr>
        <w:t>(CENELEC) harmonization documents and therefore are technically very similar to the current wiring regulations of other European countries.</w:t>
      </w:r>
    </w:p>
    <w:p w:rsidR="0068636D" w:rsidRDefault="0068636D" w:rsidP="00932D5A">
      <w:pPr>
        <w:pStyle w:val="NormalWeb"/>
        <w:shd w:val="clear" w:color="auto" w:fill="FFFFFF"/>
        <w:spacing w:before="0" w:beforeAutospacing="0" w:after="120" w:afterAutospacing="0"/>
        <w:rPr>
          <w:rFonts w:ascii="Arial" w:hAnsi="Arial" w:cs="Arial"/>
          <w:sz w:val="22"/>
          <w:szCs w:val="22"/>
        </w:rPr>
      </w:pPr>
      <w:r w:rsidRPr="00D428B3">
        <w:rPr>
          <w:rFonts w:ascii="Arial" w:hAnsi="Arial" w:cs="Arial"/>
          <w:sz w:val="22"/>
          <w:szCs w:val="22"/>
        </w:rPr>
        <w:t>In 1992, the IEE Wiring Regulations became British Standard BS 7671 and they are now treated similar</w:t>
      </w:r>
      <w:r w:rsidR="000578CA">
        <w:rPr>
          <w:rFonts w:ascii="Arial" w:hAnsi="Arial" w:cs="Arial"/>
          <w:sz w:val="22"/>
          <w:szCs w:val="22"/>
        </w:rPr>
        <w:t>ly</w:t>
      </w:r>
      <w:r w:rsidRPr="00D428B3">
        <w:rPr>
          <w:rFonts w:ascii="Arial" w:hAnsi="Arial" w:cs="Arial"/>
          <w:sz w:val="22"/>
          <w:szCs w:val="22"/>
        </w:rPr>
        <w:t xml:space="preserve"> to other British Standards. Although the IET and BSI are non-governmental organi</w:t>
      </w:r>
      <w:r w:rsidR="000578CA">
        <w:rPr>
          <w:rFonts w:ascii="Arial" w:hAnsi="Arial" w:cs="Arial"/>
          <w:sz w:val="22"/>
          <w:szCs w:val="22"/>
        </w:rPr>
        <w:t>s</w:t>
      </w:r>
      <w:r w:rsidRPr="00D428B3">
        <w:rPr>
          <w:rFonts w:ascii="Arial" w:hAnsi="Arial" w:cs="Arial"/>
          <w:sz w:val="22"/>
          <w:szCs w:val="22"/>
        </w:rPr>
        <w:t>ations and the Wiring Regulations are non-statutory, they are referenced in several UK</w:t>
      </w:r>
      <w:r w:rsidRPr="00D428B3">
        <w:rPr>
          <w:rStyle w:val="apple-converted-space"/>
          <w:rFonts w:ascii="Arial" w:hAnsi="Arial" w:cs="Arial"/>
          <w:sz w:val="22"/>
          <w:szCs w:val="22"/>
        </w:rPr>
        <w:t xml:space="preserve"> </w:t>
      </w:r>
      <w:r w:rsidRPr="00D428B3">
        <w:rPr>
          <w:rFonts w:ascii="Arial" w:hAnsi="Arial" w:cs="Arial"/>
          <w:sz w:val="22"/>
          <w:szCs w:val="22"/>
        </w:rPr>
        <w:t>statutory instruments.</w:t>
      </w:r>
    </w:p>
    <w:p w:rsidR="00C519BC" w:rsidRPr="00D428B3" w:rsidRDefault="00C519BC" w:rsidP="00932D5A">
      <w:pPr>
        <w:pStyle w:val="NormalWeb"/>
        <w:shd w:val="clear" w:color="auto" w:fill="FFFFFF"/>
        <w:spacing w:before="0" w:beforeAutospacing="0" w:after="120" w:afterAutospacing="0"/>
        <w:rPr>
          <w:rFonts w:ascii="Arial" w:hAnsi="Arial" w:cs="Arial"/>
          <w:b/>
          <w:color w:val="000000"/>
          <w:sz w:val="22"/>
          <w:szCs w:val="22"/>
        </w:rPr>
      </w:pPr>
      <w:r w:rsidRPr="00D428B3">
        <w:rPr>
          <w:rFonts w:ascii="Arial" w:hAnsi="Arial" w:cs="Arial"/>
          <w:b/>
          <w:color w:val="000000"/>
          <w:sz w:val="22"/>
          <w:szCs w:val="22"/>
        </w:rPr>
        <w:t>On</w:t>
      </w:r>
      <w:r w:rsidRPr="00D428B3">
        <w:rPr>
          <w:rFonts w:ascii="Arial" w:hAnsi="Arial" w:cs="Arial"/>
          <w:b/>
          <w:color w:val="000000"/>
          <w:sz w:val="22"/>
          <w:szCs w:val="22"/>
        </w:rPr>
        <w:noBreakHyphen/>
        <w:t>Site Guide</w:t>
      </w:r>
    </w:p>
    <w:p w:rsidR="0068636D" w:rsidRDefault="0068636D" w:rsidP="00932D5A">
      <w:pPr>
        <w:pStyle w:val="NormalWeb"/>
        <w:shd w:val="clear" w:color="auto" w:fill="FFFFFF"/>
        <w:spacing w:before="0" w:beforeAutospacing="0" w:after="120" w:afterAutospacing="0"/>
        <w:rPr>
          <w:rFonts w:ascii="Arial" w:hAnsi="Arial" w:cs="Arial"/>
          <w:color w:val="000000"/>
          <w:sz w:val="22"/>
          <w:szCs w:val="22"/>
        </w:rPr>
      </w:pPr>
      <w:r w:rsidRPr="00D428B3">
        <w:rPr>
          <w:rFonts w:ascii="Arial" w:hAnsi="Arial" w:cs="Arial"/>
          <w:color w:val="000000"/>
          <w:sz w:val="22"/>
          <w:szCs w:val="22"/>
        </w:rPr>
        <w:t>The On</w:t>
      </w:r>
      <w:r w:rsidR="00C519BC" w:rsidRPr="00D428B3">
        <w:rPr>
          <w:rFonts w:ascii="Arial" w:hAnsi="Arial" w:cs="Arial"/>
          <w:color w:val="000000"/>
          <w:sz w:val="22"/>
          <w:szCs w:val="22"/>
        </w:rPr>
        <w:noBreakHyphen/>
      </w:r>
      <w:r w:rsidRPr="00D428B3">
        <w:rPr>
          <w:rFonts w:ascii="Arial" w:hAnsi="Arial" w:cs="Arial"/>
          <w:color w:val="000000"/>
          <w:sz w:val="22"/>
          <w:szCs w:val="22"/>
        </w:rPr>
        <w:t>Site Guide</w:t>
      </w:r>
      <w:r w:rsidR="00C519BC" w:rsidRPr="00D428B3">
        <w:rPr>
          <w:rFonts w:ascii="Arial" w:hAnsi="Arial" w:cs="Arial"/>
          <w:color w:val="000000"/>
          <w:sz w:val="22"/>
          <w:szCs w:val="22"/>
        </w:rPr>
        <w:t xml:space="preserve"> published by the IET</w:t>
      </w:r>
      <w:r w:rsidRPr="00D428B3">
        <w:rPr>
          <w:rFonts w:ascii="Arial" w:hAnsi="Arial" w:cs="Arial"/>
          <w:color w:val="000000"/>
          <w:sz w:val="22"/>
          <w:szCs w:val="22"/>
        </w:rPr>
        <w:t xml:space="preserve"> is a handbook that contains some information </w:t>
      </w:r>
      <w:r w:rsidR="000578CA">
        <w:rPr>
          <w:rFonts w:ascii="Arial" w:hAnsi="Arial" w:cs="Arial"/>
          <w:color w:val="000000"/>
          <w:sz w:val="22"/>
          <w:szCs w:val="22"/>
        </w:rPr>
        <w:t xml:space="preserve">that is </w:t>
      </w:r>
      <w:r w:rsidRPr="00D428B3">
        <w:rPr>
          <w:rFonts w:ascii="Arial" w:hAnsi="Arial" w:cs="Arial"/>
          <w:color w:val="000000"/>
          <w:sz w:val="22"/>
          <w:szCs w:val="22"/>
        </w:rPr>
        <w:t>not</w:t>
      </w:r>
      <w:r w:rsidR="000578CA">
        <w:rPr>
          <w:rFonts w:ascii="Arial" w:hAnsi="Arial" w:cs="Arial"/>
          <w:color w:val="000000"/>
          <w:sz w:val="22"/>
          <w:szCs w:val="22"/>
        </w:rPr>
        <w:t xml:space="preserve"> found</w:t>
      </w:r>
      <w:r w:rsidRPr="00D428B3">
        <w:rPr>
          <w:rFonts w:ascii="Arial" w:hAnsi="Arial" w:cs="Arial"/>
          <w:color w:val="000000"/>
          <w:sz w:val="22"/>
          <w:szCs w:val="22"/>
        </w:rPr>
        <w:t xml:space="preserve"> in </w:t>
      </w:r>
      <w:r w:rsidR="00932D5A" w:rsidRPr="00932D5A">
        <w:rPr>
          <w:rFonts w:ascii="Arial" w:hAnsi="Arial" w:cs="Arial"/>
          <w:color w:val="000000"/>
          <w:sz w:val="22"/>
          <w:szCs w:val="22"/>
        </w:rPr>
        <w:t>BS7671:</w:t>
      </w:r>
      <w:r w:rsidR="00932D5A">
        <w:rPr>
          <w:rFonts w:ascii="Arial" w:hAnsi="Arial" w:cs="Arial"/>
          <w:color w:val="000000"/>
          <w:sz w:val="22"/>
          <w:szCs w:val="22"/>
        </w:rPr>
        <w:t> </w:t>
      </w:r>
      <w:r w:rsidR="00932D5A" w:rsidRPr="00932D5A">
        <w:rPr>
          <w:rFonts w:ascii="Arial" w:hAnsi="Arial" w:cs="Arial"/>
          <w:color w:val="000000"/>
          <w:sz w:val="22"/>
          <w:szCs w:val="22"/>
        </w:rPr>
        <w:t>2008 Inc Amendment No 3:</w:t>
      </w:r>
      <w:r w:rsidR="00932D5A">
        <w:rPr>
          <w:rFonts w:ascii="Arial" w:hAnsi="Arial" w:cs="Arial"/>
          <w:color w:val="000000"/>
          <w:sz w:val="22"/>
          <w:szCs w:val="22"/>
        </w:rPr>
        <w:t> </w:t>
      </w:r>
      <w:r w:rsidR="00932D5A" w:rsidRPr="00932D5A">
        <w:rPr>
          <w:rFonts w:ascii="Arial" w:hAnsi="Arial" w:cs="Arial"/>
          <w:color w:val="000000"/>
          <w:sz w:val="22"/>
          <w:szCs w:val="22"/>
        </w:rPr>
        <w:t>2015</w:t>
      </w:r>
      <w:r w:rsidRPr="00D428B3">
        <w:rPr>
          <w:rFonts w:ascii="Arial" w:hAnsi="Arial" w:cs="Arial"/>
          <w:color w:val="000000"/>
          <w:sz w:val="22"/>
          <w:szCs w:val="22"/>
        </w:rPr>
        <w:t>. It is meant as a handy notebook reference for electricians working on building sites</w:t>
      </w:r>
      <w:r w:rsidR="00C519BC" w:rsidRPr="00D428B3">
        <w:rPr>
          <w:rFonts w:ascii="Arial" w:hAnsi="Arial" w:cs="Arial"/>
          <w:color w:val="000000"/>
          <w:sz w:val="22"/>
          <w:szCs w:val="22"/>
        </w:rPr>
        <w:t>.</w:t>
      </w:r>
    </w:p>
    <w:p w:rsidR="001B4B30" w:rsidRPr="00D428B3" w:rsidRDefault="0068636D" w:rsidP="00932D5A">
      <w:pPr>
        <w:spacing w:after="120"/>
        <w:rPr>
          <w:rFonts w:ascii="Arial" w:hAnsi="Arial" w:cs="Arial"/>
          <w:b/>
          <w:sz w:val="22"/>
          <w:szCs w:val="22"/>
        </w:rPr>
      </w:pPr>
      <w:r w:rsidRPr="00D428B3">
        <w:rPr>
          <w:rFonts w:ascii="Arial" w:hAnsi="Arial" w:cs="Arial"/>
          <w:b/>
          <w:sz w:val="22"/>
          <w:szCs w:val="22"/>
        </w:rPr>
        <w:t>Unite Union Book</w:t>
      </w:r>
    </w:p>
    <w:p w:rsidR="001B4B30" w:rsidRDefault="001B4B30" w:rsidP="00932D5A">
      <w:pPr>
        <w:spacing w:after="120"/>
        <w:rPr>
          <w:rFonts w:ascii="Arial" w:hAnsi="Arial" w:cs="Arial"/>
          <w:color w:val="000000"/>
          <w:sz w:val="22"/>
          <w:szCs w:val="22"/>
        </w:rPr>
      </w:pPr>
      <w:r w:rsidRPr="00D428B3">
        <w:rPr>
          <w:rFonts w:ascii="Arial" w:hAnsi="Arial" w:cs="Arial"/>
          <w:sz w:val="22"/>
          <w:szCs w:val="22"/>
        </w:rPr>
        <w:t xml:space="preserve">This book has been published by the trade union </w:t>
      </w:r>
      <w:r w:rsidRPr="000578CA">
        <w:rPr>
          <w:rFonts w:ascii="Arial" w:hAnsi="Arial" w:cs="Arial"/>
          <w:b/>
          <w:sz w:val="22"/>
          <w:szCs w:val="22"/>
        </w:rPr>
        <w:t>Unite</w:t>
      </w:r>
      <w:r w:rsidRPr="00D428B3">
        <w:rPr>
          <w:rFonts w:ascii="Arial" w:hAnsi="Arial" w:cs="Arial"/>
          <w:sz w:val="22"/>
          <w:szCs w:val="22"/>
        </w:rPr>
        <w:t xml:space="preserve"> for over 20 years</w:t>
      </w:r>
      <w:r w:rsidR="000578CA">
        <w:rPr>
          <w:rFonts w:ascii="Arial" w:hAnsi="Arial" w:cs="Arial"/>
          <w:sz w:val="22"/>
          <w:szCs w:val="22"/>
        </w:rPr>
        <w:t xml:space="preserve">; </w:t>
      </w:r>
      <w:r w:rsidRPr="000578CA">
        <w:rPr>
          <w:rFonts w:ascii="Arial" w:hAnsi="Arial" w:cs="Arial"/>
          <w:i/>
          <w:sz w:val="22"/>
          <w:szCs w:val="22"/>
        </w:rPr>
        <w:t>The Electrician</w:t>
      </w:r>
      <w:r w:rsidR="000578CA" w:rsidRPr="000578CA">
        <w:rPr>
          <w:rFonts w:ascii="Arial" w:hAnsi="Arial" w:cs="Arial"/>
          <w:i/>
          <w:sz w:val="22"/>
          <w:szCs w:val="22"/>
        </w:rPr>
        <w:t>’</w:t>
      </w:r>
      <w:r w:rsidRPr="000578CA">
        <w:rPr>
          <w:rFonts w:ascii="Arial" w:hAnsi="Arial" w:cs="Arial"/>
          <w:i/>
          <w:sz w:val="22"/>
          <w:szCs w:val="22"/>
        </w:rPr>
        <w:t>s Guide To Good Electrical Practice</w:t>
      </w:r>
      <w:r w:rsidRPr="00D428B3">
        <w:rPr>
          <w:rFonts w:ascii="Arial" w:hAnsi="Arial" w:cs="Arial"/>
          <w:sz w:val="22"/>
          <w:szCs w:val="22"/>
        </w:rPr>
        <w:t xml:space="preserve"> revised to </w:t>
      </w:r>
      <w:r w:rsidRPr="00D428B3">
        <w:rPr>
          <w:rFonts w:ascii="Arial" w:hAnsi="Arial" w:cs="Arial"/>
          <w:color w:val="000000"/>
          <w:sz w:val="22"/>
          <w:szCs w:val="22"/>
        </w:rPr>
        <w:t>BS 7671:2008 contains a wealth of information for the practising electrician. This information is based on BS 7671 but contains much more and is</w:t>
      </w:r>
      <w:r w:rsidR="000578CA">
        <w:rPr>
          <w:rFonts w:ascii="Arial" w:hAnsi="Arial" w:cs="Arial"/>
          <w:color w:val="000000"/>
          <w:sz w:val="22"/>
          <w:szCs w:val="22"/>
        </w:rPr>
        <w:t>,</w:t>
      </w:r>
      <w:r w:rsidRPr="00D428B3">
        <w:rPr>
          <w:rFonts w:ascii="Arial" w:hAnsi="Arial" w:cs="Arial"/>
          <w:color w:val="000000"/>
          <w:sz w:val="22"/>
          <w:szCs w:val="22"/>
        </w:rPr>
        <w:t xml:space="preserve"> additionally</w:t>
      </w:r>
      <w:r w:rsidR="000578CA">
        <w:rPr>
          <w:rFonts w:ascii="Arial" w:hAnsi="Arial" w:cs="Arial"/>
          <w:color w:val="000000"/>
          <w:sz w:val="22"/>
          <w:szCs w:val="22"/>
        </w:rPr>
        <w:t>,</w:t>
      </w:r>
      <w:r w:rsidRPr="00D428B3">
        <w:rPr>
          <w:rFonts w:ascii="Arial" w:hAnsi="Arial" w:cs="Arial"/>
          <w:color w:val="000000"/>
          <w:sz w:val="22"/>
          <w:szCs w:val="22"/>
        </w:rPr>
        <w:t xml:space="preserve"> pocket</w:t>
      </w:r>
      <w:r w:rsidRPr="00D428B3">
        <w:rPr>
          <w:rFonts w:ascii="Arial" w:hAnsi="Arial" w:cs="Arial"/>
          <w:color w:val="000000"/>
          <w:sz w:val="22"/>
          <w:szCs w:val="22"/>
        </w:rPr>
        <w:noBreakHyphen/>
        <w:t xml:space="preserve">sized </w:t>
      </w:r>
      <w:r w:rsidR="000578CA">
        <w:rPr>
          <w:rFonts w:ascii="Arial" w:hAnsi="Arial" w:cs="Arial"/>
          <w:color w:val="000000"/>
          <w:sz w:val="22"/>
          <w:szCs w:val="22"/>
        </w:rPr>
        <w:t>and therefore</w:t>
      </w:r>
      <w:r w:rsidRPr="00D428B3">
        <w:rPr>
          <w:rFonts w:ascii="Arial" w:hAnsi="Arial" w:cs="Arial"/>
          <w:color w:val="000000"/>
          <w:sz w:val="22"/>
          <w:szCs w:val="22"/>
        </w:rPr>
        <w:t xml:space="preserve"> ideal to keep in the toolbox o</w:t>
      </w:r>
      <w:r w:rsidR="000578CA">
        <w:rPr>
          <w:rFonts w:ascii="Arial" w:hAnsi="Arial" w:cs="Arial"/>
          <w:color w:val="000000"/>
          <w:sz w:val="22"/>
          <w:szCs w:val="22"/>
        </w:rPr>
        <w:t xml:space="preserve">r </w:t>
      </w:r>
      <w:r w:rsidRPr="00D428B3">
        <w:rPr>
          <w:rFonts w:ascii="Arial" w:hAnsi="Arial" w:cs="Arial"/>
          <w:color w:val="000000"/>
          <w:sz w:val="22"/>
          <w:szCs w:val="22"/>
        </w:rPr>
        <w:t>van for reference purposes.</w:t>
      </w:r>
    </w:p>
    <w:p w:rsidR="001B4B30" w:rsidRPr="00D428B3" w:rsidRDefault="001B4B30" w:rsidP="00932D5A">
      <w:pPr>
        <w:spacing w:after="120"/>
        <w:rPr>
          <w:rFonts w:ascii="Arial" w:hAnsi="Arial" w:cs="Arial"/>
          <w:b/>
          <w:sz w:val="22"/>
          <w:szCs w:val="22"/>
        </w:rPr>
      </w:pPr>
      <w:r w:rsidRPr="00D428B3">
        <w:rPr>
          <w:rFonts w:ascii="Arial" w:hAnsi="Arial" w:cs="Arial"/>
          <w:b/>
          <w:sz w:val="22"/>
          <w:szCs w:val="22"/>
        </w:rPr>
        <w:t>IET Guidance Notes</w:t>
      </w:r>
    </w:p>
    <w:p w:rsidR="001B4B30" w:rsidRPr="00D428B3" w:rsidRDefault="001B4B30" w:rsidP="00932D5A">
      <w:pPr>
        <w:spacing w:after="120"/>
        <w:rPr>
          <w:rFonts w:ascii="Arial" w:hAnsi="Arial" w:cs="Arial"/>
          <w:sz w:val="22"/>
          <w:szCs w:val="22"/>
        </w:rPr>
      </w:pPr>
      <w:r w:rsidRPr="00D428B3">
        <w:rPr>
          <w:rFonts w:ascii="Arial" w:hAnsi="Arial" w:cs="Arial"/>
          <w:sz w:val="22"/>
          <w:szCs w:val="22"/>
        </w:rPr>
        <w:t>The IET issues a number of Guidance Notes based on different topics. They provide additional clarification on how to implement and comply with BS 7671. Current titles are:</w:t>
      </w:r>
    </w:p>
    <w:p w:rsidR="0017291B" w:rsidRPr="00D428B3" w:rsidRDefault="0017291B" w:rsidP="00932D5A">
      <w:pPr>
        <w:pStyle w:val="ListParagraph"/>
        <w:numPr>
          <w:ilvl w:val="0"/>
          <w:numId w:val="43"/>
        </w:numPr>
        <w:spacing w:after="120"/>
        <w:ind w:left="714" w:hanging="357"/>
        <w:rPr>
          <w:rFonts w:ascii="Arial" w:hAnsi="Arial" w:cs="Arial"/>
          <w:color w:val="000000"/>
        </w:rPr>
      </w:pPr>
      <w:r w:rsidRPr="00864DFC">
        <w:rPr>
          <w:rFonts w:ascii="Arial" w:hAnsi="Arial" w:cs="Arial"/>
          <w:bCs/>
          <w:i/>
          <w:color w:val="000000"/>
        </w:rPr>
        <w:t>Guidance Note 1: Selection and Erection</w:t>
      </w:r>
      <w:r w:rsidRPr="00D428B3">
        <w:rPr>
          <w:rFonts w:ascii="Arial" w:hAnsi="Arial" w:cs="Arial"/>
          <w:bCs/>
          <w:color w:val="000000"/>
        </w:rPr>
        <w:t xml:space="preserve">, </w:t>
      </w:r>
      <w:r w:rsidR="001A0BD4">
        <w:rPr>
          <w:rFonts w:ascii="Arial" w:hAnsi="Arial" w:cs="Arial"/>
          <w:bCs/>
          <w:color w:val="000000"/>
        </w:rPr>
        <w:t>7</w:t>
      </w:r>
      <w:r w:rsidR="001A0BD4" w:rsidRPr="001A0BD4">
        <w:rPr>
          <w:rFonts w:ascii="Arial" w:hAnsi="Arial" w:cs="Arial"/>
          <w:bCs/>
          <w:color w:val="000000"/>
          <w:vertAlign w:val="superscript"/>
        </w:rPr>
        <w:t>th</w:t>
      </w:r>
      <w:r w:rsidR="001A0BD4">
        <w:rPr>
          <w:rFonts w:ascii="Arial" w:hAnsi="Arial" w:cs="Arial"/>
          <w:bCs/>
          <w:color w:val="000000"/>
        </w:rPr>
        <w:t> </w:t>
      </w:r>
      <w:r w:rsidRPr="00D428B3">
        <w:rPr>
          <w:rFonts w:ascii="Arial" w:hAnsi="Arial" w:cs="Arial"/>
          <w:bCs/>
          <w:color w:val="000000"/>
        </w:rPr>
        <w:t>Edition</w:t>
      </w:r>
    </w:p>
    <w:p w:rsidR="0017291B" w:rsidRPr="00D428B3" w:rsidRDefault="0017291B" w:rsidP="00932D5A">
      <w:pPr>
        <w:pStyle w:val="ListParagraph"/>
        <w:numPr>
          <w:ilvl w:val="0"/>
          <w:numId w:val="43"/>
        </w:numPr>
        <w:spacing w:after="120"/>
        <w:ind w:left="714" w:hanging="357"/>
        <w:rPr>
          <w:rFonts w:ascii="Arial" w:hAnsi="Arial" w:cs="Arial"/>
          <w:color w:val="000000"/>
        </w:rPr>
      </w:pPr>
      <w:r w:rsidRPr="00864DFC">
        <w:rPr>
          <w:rFonts w:ascii="Arial" w:hAnsi="Arial" w:cs="Arial"/>
          <w:bCs/>
          <w:i/>
          <w:color w:val="000000"/>
        </w:rPr>
        <w:t>Guidance Note 2: Isolation and Switching</w:t>
      </w:r>
      <w:r w:rsidRPr="00D428B3">
        <w:rPr>
          <w:rFonts w:ascii="Arial" w:hAnsi="Arial" w:cs="Arial"/>
          <w:bCs/>
          <w:color w:val="000000"/>
        </w:rPr>
        <w:t xml:space="preserve">, </w:t>
      </w:r>
      <w:r w:rsidR="001A0BD4">
        <w:rPr>
          <w:rFonts w:ascii="Arial" w:hAnsi="Arial" w:cs="Arial"/>
          <w:bCs/>
          <w:color w:val="000000"/>
        </w:rPr>
        <w:t>7</w:t>
      </w:r>
      <w:r w:rsidR="001A0BD4" w:rsidRPr="001A0BD4">
        <w:rPr>
          <w:rFonts w:ascii="Arial" w:hAnsi="Arial" w:cs="Arial"/>
          <w:bCs/>
          <w:color w:val="000000"/>
          <w:vertAlign w:val="superscript"/>
        </w:rPr>
        <w:t>th</w:t>
      </w:r>
      <w:r w:rsidR="001A0BD4">
        <w:rPr>
          <w:rFonts w:ascii="Arial" w:hAnsi="Arial" w:cs="Arial"/>
          <w:bCs/>
          <w:color w:val="000000"/>
        </w:rPr>
        <w:t> </w:t>
      </w:r>
      <w:r w:rsidR="001A0BD4" w:rsidRPr="00D428B3">
        <w:rPr>
          <w:rFonts w:ascii="Arial" w:hAnsi="Arial" w:cs="Arial"/>
          <w:bCs/>
          <w:color w:val="000000"/>
        </w:rPr>
        <w:t>Edition</w:t>
      </w:r>
    </w:p>
    <w:p w:rsidR="0017291B" w:rsidRPr="00D428B3" w:rsidRDefault="0017291B" w:rsidP="00932D5A">
      <w:pPr>
        <w:pStyle w:val="ListParagraph"/>
        <w:numPr>
          <w:ilvl w:val="0"/>
          <w:numId w:val="43"/>
        </w:numPr>
        <w:spacing w:after="120"/>
        <w:ind w:left="714" w:hanging="357"/>
        <w:rPr>
          <w:rFonts w:ascii="Arial" w:hAnsi="Arial" w:cs="Arial"/>
          <w:color w:val="000000"/>
        </w:rPr>
      </w:pPr>
      <w:r w:rsidRPr="00864DFC">
        <w:rPr>
          <w:rFonts w:ascii="Arial" w:hAnsi="Arial" w:cs="Arial"/>
          <w:bCs/>
          <w:i/>
          <w:color w:val="000000"/>
        </w:rPr>
        <w:t>Guidance Note 3: Inspection and Testing</w:t>
      </w:r>
      <w:r w:rsidRPr="00D428B3">
        <w:rPr>
          <w:rFonts w:ascii="Arial" w:hAnsi="Arial" w:cs="Arial"/>
          <w:bCs/>
          <w:color w:val="000000"/>
        </w:rPr>
        <w:t xml:space="preserve">, </w:t>
      </w:r>
      <w:r w:rsidR="001A0BD4">
        <w:rPr>
          <w:rFonts w:ascii="Arial" w:hAnsi="Arial" w:cs="Arial"/>
          <w:bCs/>
          <w:color w:val="000000"/>
        </w:rPr>
        <w:t>7</w:t>
      </w:r>
      <w:r w:rsidR="001A0BD4" w:rsidRPr="001A0BD4">
        <w:rPr>
          <w:rFonts w:ascii="Arial" w:hAnsi="Arial" w:cs="Arial"/>
          <w:bCs/>
          <w:color w:val="000000"/>
          <w:vertAlign w:val="superscript"/>
        </w:rPr>
        <w:t>th</w:t>
      </w:r>
      <w:r w:rsidR="001A0BD4">
        <w:rPr>
          <w:rFonts w:ascii="Arial" w:hAnsi="Arial" w:cs="Arial"/>
          <w:bCs/>
          <w:color w:val="000000"/>
        </w:rPr>
        <w:t> </w:t>
      </w:r>
      <w:r w:rsidR="001A0BD4" w:rsidRPr="00D428B3">
        <w:rPr>
          <w:rFonts w:ascii="Arial" w:hAnsi="Arial" w:cs="Arial"/>
          <w:bCs/>
          <w:color w:val="000000"/>
        </w:rPr>
        <w:t>Edition</w:t>
      </w:r>
    </w:p>
    <w:p w:rsidR="0017291B" w:rsidRPr="00D428B3" w:rsidRDefault="0017291B" w:rsidP="00932D5A">
      <w:pPr>
        <w:pStyle w:val="ListParagraph"/>
        <w:numPr>
          <w:ilvl w:val="0"/>
          <w:numId w:val="43"/>
        </w:numPr>
        <w:spacing w:after="120"/>
        <w:ind w:left="714" w:hanging="357"/>
        <w:rPr>
          <w:rFonts w:ascii="Arial" w:hAnsi="Arial" w:cs="Arial"/>
          <w:color w:val="000000"/>
        </w:rPr>
      </w:pPr>
      <w:r w:rsidRPr="00864DFC">
        <w:rPr>
          <w:rFonts w:ascii="Arial" w:hAnsi="Arial" w:cs="Arial"/>
          <w:bCs/>
          <w:i/>
          <w:color w:val="000000"/>
        </w:rPr>
        <w:t>Guidance Note 4: Protection Against Fire</w:t>
      </w:r>
      <w:r w:rsidRPr="00D428B3">
        <w:rPr>
          <w:rFonts w:ascii="Arial" w:hAnsi="Arial" w:cs="Arial"/>
          <w:bCs/>
          <w:color w:val="000000"/>
        </w:rPr>
        <w:t xml:space="preserve">, </w:t>
      </w:r>
      <w:r w:rsidR="001A0BD4">
        <w:rPr>
          <w:rFonts w:ascii="Arial" w:hAnsi="Arial" w:cs="Arial"/>
          <w:bCs/>
          <w:color w:val="000000"/>
        </w:rPr>
        <w:t>7</w:t>
      </w:r>
      <w:r w:rsidR="001A0BD4" w:rsidRPr="001A0BD4">
        <w:rPr>
          <w:rFonts w:ascii="Arial" w:hAnsi="Arial" w:cs="Arial"/>
          <w:bCs/>
          <w:color w:val="000000"/>
          <w:vertAlign w:val="superscript"/>
        </w:rPr>
        <w:t>th</w:t>
      </w:r>
      <w:r w:rsidR="001A0BD4">
        <w:rPr>
          <w:rFonts w:ascii="Arial" w:hAnsi="Arial" w:cs="Arial"/>
          <w:bCs/>
          <w:color w:val="000000"/>
        </w:rPr>
        <w:t> </w:t>
      </w:r>
      <w:r w:rsidR="001A0BD4" w:rsidRPr="00D428B3">
        <w:rPr>
          <w:rFonts w:ascii="Arial" w:hAnsi="Arial" w:cs="Arial"/>
          <w:bCs/>
          <w:color w:val="000000"/>
        </w:rPr>
        <w:t>Edition</w:t>
      </w:r>
    </w:p>
    <w:p w:rsidR="0017291B" w:rsidRPr="00D428B3" w:rsidRDefault="0017291B" w:rsidP="00932D5A">
      <w:pPr>
        <w:pStyle w:val="ListParagraph"/>
        <w:numPr>
          <w:ilvl w:val="0"/>
          <w:numId w:val="43"/>
        </w:numPr>
        <w:spacing w:after="120"/>
        <w:ind w:left="714" w:hanging="357"/>
        <w:rPr>
          <w:rFonts w:ascii="Arial" w:hAnsi="Arial" w:cs="Arial"/>
          <w:color w:val="000000"/>
        </w:rPr>
      </w:pPr>
      <w:r w:rsidRPr="00864DFC">
        <w:rPr>
          <w:rFonts w:ascii="Arial" w:hAnsi="Arial" w:cs="Arial"/>
          <w:bCs/>
          <w:i/>
          <w:color w:val="000000"/>
        </w:rPr>
        <w:t>Guidance Note 5: Protection Against Electric Shock</w:t>
      </w:r>
      <w:r w:rsidRPr="00D428B3">
        <w:rPr>
          <w:rFonts w:ascii="Arial" w:hAnsi="Arial" w:cs="Arial"/>
          <w:bCs/>
          <w:color w:val="000000"/>
        </w:rPr>
        <w:t xml:space="preserve">, </w:t>
      </w:r>
      <w:r w:rsidR="001A0BD4">
        <w:rPr>
          <w:rFonts w:ascii="Arial" w:hAnsi="Arial" w:cs="Arial"/>
          <w:bCs/>
          <w:color w:val="000000"/>
        </w:rPr>
        <w:t>7</w:t>
      </w:r>
      <w:r w:rsidR="001A0BD4" w:rsidRPr="001A0BD4">
        <w:rPr>
          <w:rFonts w:ascii="Arial" w:hAnsi="Arial" w:cs="Arial"/>
          <w:bCs/>
          <w:color w:val="000000"/>
          <w:vertAlign w:val="superscript"/>
        </w:rPr>
        <w:t>th</w:t>
      </w:r>
      <w:r w:rsidR="001A0BD4">
        <w:rPr>
          <w:rFonts w:ascii="Arial" w:hAnsi="Arial" w:cs="Arial"/>
          <w:bCs/>
          <w:color w:val="000000"/>
        </w:rPr>
        <w:t> </w:t>
      </w:r>
      <w:r w:rsidR="001A0BD4" w:rsidRPr="00D428B3">
        <w:rPr>
          <w:rFonts w:ascii="Arial" w:hAnsi="Arial" w:cs="Arial"/>
          <w:bCs/>
          <w:color w:val="000000"/>
        </w:rPr>
        <w:t>Edition</w:t>
      </w:r>
    </w:p>
    <w:p w:rsidR="0017291B" w:rsidRPr="00D428B3" w:rsidRDefault="0017291B" w:rsidP="00932D5A">
      <w:pPr>
        <w:pStyle w:val="ListParagraph"/>
        <w:numPr>
          <w:ilvl w:val="0"/>
          <w:numId w:val="43"/>
        </w:numPr>
        <w:spacing w:after="120"/>
        <w:ind w:left="714" w:hanging="357"/>
        <w:rPr>
          <w:rFonts w:ascii="Arial" w:hAnsi="Arial" w:cs="Arial"/>
          <w:color w:val="000000"/>
        </w:rPr>
      </w:pPr>
      <w:r w:rsidRPr="00864DFC">
        <w:rPr>
          <w:rFonts w:ascii="Arial" w:hAnsi="Arial" w:cs="Arial"/>
          <w:bCs/>
          <w:i/>
          <w:color w:val="000000"/>
        </w:rPr>
        <w:t>Guidance Note 6: Protection Against Overcurrent</w:t>
      </w:r>
      <w:r w:rsidRPr="00D428B3">
        <w:rPr>
          <w:rFonts w:ascii="Arial" w:hAnsi="Arial" w:cs="Arial"/>
          <w:bCs/>
          <w:color w:val="000000"/>
        </w:rPr>
        <w:t xml:space="preserve">, </w:t>
      </w:r>
      <w:r w:rsidR="001A0BD4">
        <w:rPr>
          <w:rFonts w:ascii="Arial" w:hAnsi="Arial" w:cs="Arial"/>
          <w:bCs/>
          <w:color w:val="000000"/>
        </w:rPr>
        <w:t>7</w:t>
      </w:r>
      <w:r w:rsidR="001A0BD4" w:rsidRPr="001A0BD4">
        <w:rPr>
          <w:rFonts w:ascii="Arial" w:hAnsi="Arial" w:cs="Arial"/>
          <w:bCs/>
          <w:color w:val="000000"/>
          <w:vertAlign w:val="superscript"/>
        </w:rPr>
        <w:t>th</w:t>
      </w:r>
      <w:r w:rsidR="001A0BD4">
        <w:rPr>
          <w:rFonts w:ascii="Arial" w:hAnsi="Arial" w:cs="Arial"/>
          <w:bCs/>
          <w:color w:val="000000"/>
        </w:rPr>
        <w:t> </w:t>
      </w:r>
      <w:r w:rsidR="001A0BD4" w:rsidRPr="00D428B3">
        <w:rPr>
          <w:rFonts w:ascii="Arial" w:hAnsi="Arial" w:cs="Arial"/>
          <w:bCs/>
          <w:color w:val="000000"/>
        </w:rPr>
        <w:t>Edition</w:t>
      </w:r>
    </w:p>
    <w:p w:rsidR="0017291B" w:rsidRPr="00D428B3" w:rsidRDefault="0017291B" w:rsidP="00932D5A">
      <w:pPr>
        <w:pStyle w:val="ListParagraph"/>
        <w:numPr>
          <w:ilvl w:val="0"/>
          <w:numId w:val="43"/>
        </w:numPr>
        <w:spacing w:after="120"/>
        <w:ind w:left="714" w:hanging="357"/>
        <w:rPr>
          <w:rFonts w:ascii="Arial" w:hAnsi="Arial" w:cs="Arial"/>
          <w:color w:val="000000"/>
        </w:rPr>
      </w:pPr>
      <w:r w:rsidRPr="00864DFC">
        <w:rPr>
          <w:rFonts w:ascii="Arial" w:hAnsi="Arial" w:cs="Arial"/>
          <w:bCs/>
          <w:i/>
          <w:color w:val="000000"/>
        </w:rPr>
        <w:t>Guidance Note 7: Special Location</w:t>
      </w:r>
      <w:r w:rsidRPr="00D428B3">
        <w:rPr>
          <w:rFonts w:ascii="Arial" w:hAnsi="Arial" w:cs="Arial"/>
          <w:bCs/>
          <w:color w:val="000000"/>
        </w:rPr>
        <w:t xml:space="preserve">, </w:t>
      </w:r>
      <w:r w:rsidR="001A0BD4">
        <w:rPr>
          <w:rFonts w:ascii="Arial" w:hAnsi="Arial" w:cs="Arial"/>
          <w:bCs/>
          <w:color w:val="000000"/>
        </w:rPr>
        <w:t>5</w:t>
      </w:r>
      <w:r w:rsidR="001A0BD4" w:rsidRPr="001A0BD4">
        <w:rPr>
          <w:rFonts w:ascii="Arial" w:hAnsi="Arial" w:cs="Arial"/>
          <w:bCs/>
          <w:color w:val="000000"/>
          <w:vertAlign w:val="superscript"/>
        </w:rPr>
        <w:t>th</w:t>
      </w:r>
      <w:r w:rsidR="001A0BD4">
        <w:rPr>
          <w:rFonts w:ascii="Arial" w:hAnsi="Arial" w:cs="Arial"/>
          <w:bCs/>
          <w:color w:val="000000"/>
        </w:rPr>
        <w:t> </w:t>
      </w:r>
      <w:r w:rsidRPr="00D428B3">
        <w:rPr>
          <w:rFonts w:ascii="Arial" w:hAnsi="Arial" w:cs="Arial"/>
          <w:bCs/>
          <w:color w:val="000000"/>
        </w:rPr>
        <w:t>Edition</w:t>
      </w:r>
    </w:p>
    <w:p w:rsidR="001B4B30" w:rsidRPr="00D428B3" w:rsidRDefault="0017291B" w:rsidP="00932D5A">
      <w:pPr>
        <w:pStyle w:val="ListParagraph"/>
        <w:numPr>
          <w:ilvl w:val="0"/>
          <w:numId w:val="43"/>
        </w:numPr>
        <w:spacing w:after="120"/>
        <w:ind w:left="714" w:hanging="357"/>
        <w:rPr>
          <w:rFonts w:ascii="Arial" w:hAnsi="Arial" w:cs="Arial"/>
        </w:rPr>
      </w:pPr>
      <w:r w:rsidRPr="00864DFC">
        <w:rPr>
          <w:rFonts w:ascii="Arial" w:hAnsi="Arial" w:cs="Arial"/>
          <w:bCs/>
          <w:i/>
        </w:rPr>
        <w:t>Guidance Note 8: Earthing and Bonding</w:t>
      </w:r>
      <w:r w:rsidRPr="00D428B3">
        <w:rPr>
          <w:rFonts w:ascii="Arial" w:hAnsi="Arial" w:cs="Arial"/>
          <w:bCs/>
        </w:rPr>
        <w:t xml:space="preserve">, </w:t>
      </w:r>
      <w:r w:rsidR="001A0BD4">
        <w:rPr>
          <w:rFonts w:ascii="Arial" w:hAnsi="Arial" w:cs="Arial"/>
          <w:bCs/>
        </w:rPr>
        <w:t>3</w:t>
      </w:r>
      <w:r w:rsidR="001A0BD4" w:rsidRPr="001A0BD4">
        <w:rPr>
          <w:rFonts w:ascii="Arial" w:hAnsi="Arial" w:cs="Arial"/>
          <w:bCs/>
          <w:vertAlign w:val="superscript"/>
        </w:rPr>
        <w:t>rd</w:t>
      </w:r>
      <w:r w:rsidR="001A0BD4">
        <w:rPr>
          <w:rFonts w:ascii="Arial" w:hAnsi="Arial" w:cs="Arial"/>
          <w:bCs/>
        </w:rPr>
        <w:t> </w:t>
      </w:r>
      <w:r w:rsidRPr="00D428B3">
        <w:rPr>
          <w:rFonts w:ascii="Arial" w:hAnsi="Arial" w:cs="Arial"/>
          <w:bCs/>
        </w:rPr>
        <w:t>Edition</w:t>
      </w:r>
      <w:r w:rsidR="000578CA">
        <w:rPr>
          <w:rFonts w:ascii="Arial" w:hAnsi="Arial" w:cs="Arial"/>
          <w:bCs/>
        </w:rPr>
        <w:t>.</w:t>
      </w:r>
    </w:p>
    <w:p w:rsidR="001B4B30" w:rsidRDefault="0017291B" w:rsidP="00FF5CDB">
      <w:pPr>
        <w:rPr>
          <w:rFonts w:ascii="Arial" w:hAnsi="Arial" w:cs="Arial"/>
          <w:sz w:val="22"/>
          <w:szCs w:val="22"/>
        </w:rPr>
      </w:pPr>
      <w:r w:rsidRPr="00D428B3">
        <w:rPr>
          <w:rFonts w:ascii="Arial" w:hAnsi="Arial" w:cs="Arial"/>
          <w:sz w:val="22"/>
          <w:szCs w:val="22"/>
        </w:rPr>
        <w:t>Although all are important</w:t>
      </w:r>
      <w:r w:rsidR="000578CA">
        <w:rPr>
          <w:rFonts w:ascii="Arial" w:hAnsi="Arial" w:cs="Arial"/>
          <w:sz w:val="22"/>
          <w:szCs w:val="22"/>
        </w:rPr>
        <w:t>,</w:t>
      </w:r>
      <w:r w:rsidRPr="00D428B3">
        <w:rPr>
          <w:rFonts w:ascii="Arial" w:hAnsi="Arial" w:cs="Arial"/>
          <w:sz w:val="22"/>
          <w:szCs w:val="22"/>
        </w:rPr>
        <w:t xml:space="preserve"> when designing and installing electrical installations</w:t>
      </w:r>
      <w:r w:rsidR="00CF1731">
        <w:rPr>
          <w:rFonts w:ascii="Arial" w:hAnsi="Arial" w:cs="Arial"/>
          <w:sz w:val="22"/>
          <w:szCs w:val="22"/>
        </w:rPr>
        <w:t>,</w:t>
      </w:r>
      <w:r w:rsidRPr="00D428B3">
        <w:rPr>
          <w:rFonts w:ascii="Arial" w:hAnsi="Arial" w:cs="Arial"/>
          <w:sz w:val="22"/>
          <w:szCs w:val="22"/>
        </w:rPr>
        <w:t xml:space="preserve"> the most popular in the set is </w:t>
      </w:r>
      <w:r w:rsidRPr="00D428B3">
        <w:rPr>
          <w:rFonts w:ascii="Arial" w:hAnsi="Arial" w:cs="Arial"/>
          <w:i/>
          <w:sz w:val="22"/>
          <w:szCs w:val="22"/>
        </w:rPr>
        <w:t>Guidance Note 3: Inspection and Testing</w:t>
      </w:r>
      <w:r w:rsidRPr="00D428B3">
        <w:rPr>
          <w:rFonts w:ascii="Arial" w:hAnsi="Arial" w:cs="Arial"/>
          <w:sz w:val="22"/>
          <w:szCs w:val="22"/>
        </w:rPr>
        <w:t>.</w:t>
      </w:r>
    </w:p>
    <w:p w:rsidR="00225086" w:rsidRPr="00D428B3" w:rsidRDefault="001A0BD4" w:rsidP="00932D5A">
      <w:pPr>
        <w:spacing w:after="120"/>
        <w:rPr>
          <w:rFonts w:ascii="Arial" w:hAnsi="Arial" w:cs="Arial"/>
          <w:b/>
          <w:sz w:val="22"/>
          <w:szCs w:val="22"/>
        </w:rPr>
      </w:pPr>
      <w:r>
        <w:rPr>
          <w:rFonts w:ascii="Arial" w:hAnsi="Arial" w:cs="Arial"/>
          <w:b/>
          <w:sz w:val="22"/>
          <w:szCs w:val="22"/>
        </w:rPr>
        <w:br w:type="page"/>
      </w:r>
      <w:r w:rsidR="0068636D" w:rsidRPr="00D428B3">
        <w:rPr>
          <w:rFonts w:ascii="Arial" w:hAnsi="Arial" w:cs="Arial"/>
          <w:b/>
          <w:sz w:val="22"/>
          <w:szCs w:val="22"/>
        </w:rPr>
        <w:t xml:space="preserve">Codes of </w:t>
      </w:r>
      <w:r w:rsidR="00864DFC">
        <w:rPr>
          <w:rFonts w:ascii="Arial" w:hAnsi="Arial" w:cs="Arial"/>
          <w:b/>
          <w:sz w:val="22"/>
          <w:szCs w:val="22"/>
        </w:rPr>
        <w:t>P</w:t>
      </w:r>
      <w:r w:rsidR="0068636D" w:rsidRPr="00D428B3">
        <w:rPr>
          <w:rFonts w:ascii="Arial" w:hAnsi="Arial" w:cs="Arial"/>
          <w:b/>
          <w:sz w:val="22"/>
          <w:szCs w:val="22"/>
        </w:rPr>
        <w:t>ractice</w:t>
      </w:r>
    </w:p>
    <w:p w:rsidR="007B4FCF" w:rsidRPr="00D428B3" w:rsidRDefault="007B4FCF" w:rsidP="00932D5A">
      <w:pPr>
        <w:pStyle w:val="Default"/>
        <w:spacing w:after="120"/>
        <w:rPr>
          <w:color w:val="auto"/>
          <w:sz w:val="22"/>
          <w:szCs w:val="22"/>
        </w:rPr>
      </w:pPr>
      <w:r w:rsidRPr="00D428B3">
        <w:rPr>
          <w:bCs/>
          <w:color w:val="auto"/>
          <w:sz w:val="22"/>
          <w:szCs w:val="22"/>
        </w:rPr>
        <w:t xml:space="preserve">These </w:t>
      </w:r>
      <w:r w:rsidRPr="00D428B3">
        <w:rPr>
          <w:color w:val="auto"/>
          <w:sz w:val="22"/>
          <w:szCs w:val="22"/>
        </w:rPr>
        <w:t xml:space="preserve">give practical guidance on compliance. </w:t>
      </w:r>
      <w:r w:rsidR="00864DFC">
        <w:rPr>
          <w:color w:val="auto"/>
          <w:sz w:val="22"/>
          <w:szCs w:val="22"/>
        </w:rPr>
        <w:t>Although f</w:t>
      </w:r>
      <w:r w:rsidRPr="00D428B3">
        <w:rPr>
          <w:color w:val="auto"/>
          <w:sz w:val="22"/>
          <w:szCs w:val="22"/>
        </w:rPr>
        <w:t xml:space="preserve">ailure to comply with an Approved Code of Practice is not an offence in itself, these </w:t>
      </w:r>
      <w:r w:rsidR="00864DFC">
        <w:rPr>
          <w:color w:val="auto"/>
          <w:sz w:val="22"/>
          <w:szCs w:val="22"/>
        </w:rPr>
        <w:t>C</w:t>
      </w:r>
      <w:r w:rsidRPr="00D428B3">
        <w:rPr>
          <w:color w:val="auto"/>
          <w:sz w:val="22"/>
          <w:szCs w:val="22"/>
        </w:rPr>
        <w:t>odes have special legal status. If an employer/individual faces criminal prosecution under health and safety law, and it is proved that the advice of the Approved Code of Practice has not been followed, a court can regard it as evidence of guilt unless it is satisfied that the employer/individual has complied with the law in some other way. Following Approved Codes of Practice is therefore regarded as best practice.</w:t>
      </w:r>
    </w:p>
    <w:p w:rsidR="005D215F" w:rsidRPr="00D428B3" w:rsidRDefault="00801C5B" w:rsidP="00932D5A">
      <w:pPr>
        <w:spacing w:after="120"/>
        <w:rPr>
          <w:rFonts w:ascii="Arial" w:hAnsi="Arial" w:cs="Arial"/>
          <w:b/>
          <w:sz w:val="22"/>
          <w:szCs w:val="22"/>
        </w:rPr>
      </w:pPr>
      <w:r w:rsidRPr="00D428B3">
        <w:rPr>
          <w:rFonts w:ascii="Arial" w:hAnsi="Arial" w:cs="Arial"/>
          <w:b/>
          <w:sz w:val="22"/>
          <w:szCs w:val="22"/>
        </w:rPr>
        <w:t>Implications of non</w:t>
      </w:r>
      <w:r w:rsidRPr="00D428B3">
        <w:rPr>
          <w:rFonts w:ascii="Arial" w:hAnsi="Arial" w:cs="Arial"/>
          <w:b/>
          <w:sz w:val="22"/>
          <w:szCs w:val="22"/>
        </w:rPr>
        <w:noBreakHyphen/>
        <w:t>compliance with regulations</w:t>
      </w:r>
    </w:p>
    <w:p w:rsidR="00BB350E" w:rsidRPr="00D428B3" w:rsidRDefault="00801C5B" w:rsidP="00932D5A">
      <w:pPr>
        <w:spacing w:after="120"/>
        <w:rPr>
          <w:rFonts w:ascii="Arial" w:hAnsi="Arial" w:cs="Arial"/>
          <w:sz w:val="22"/>
          <w:szCs w:val="22"/>
        </w:rPr>
      </w:pPr>
      <w:r w:rsidRPr="00D428B3">
        <w:rPr>
          <w:rFonts w:ascii="Arial" w:hAnsi="Arial" w:cs="Arial"/>
          <w:sz w:val="22"/>
          <w:szCs w:val="22"/>
        </w:rPr>
        <w:t xml:space="preserve">The direct implications of breaking statutory </w:t>
      </w:r>
      <w:r w:rsidR="00864DFC">
        <w:rPr>
          <w:rFonts w:ascii="Arial" w:hAnsi="Arial" w:cs="Arial"/>
          <w:sz w:val="22"/>
          <w:szCs w:val="22"/>
        </w:rPr>
        <w:t>R</w:t>
      </w:r>
      <w:r w:rsidRPr="00D428B3">
        <w:rPr>
          <w:rFonts w:ascii="Arial" w:hAnsi="Arial" w:cs="Arial"/>
          <w:sz w:val="22"/>
          <w:szCs w:val="22"/>
        </w:rPr>
        <w:t>egulations include the following:</w:t>
      </w:r>
    </w:p>
    <w:p w:rsidR="00801C5B" w:rsidRPr="00D428B3" w:rsidRDefault="00864DFC" w:rsidP="00932D5A">
      <w:pPr>
        <w:pStyle w:val="ListParagraph"/>
        <w:numPr>
          <w:ilvl w:val="0"/>
          <w:numId w:val="44"/>
        </w:numPr>
        <w:spacing w:after="120"/>
        <w:ind w:left="714" w:hanging="357"/>
        <w:rPr>
          <w:rFonts w:ascii="Arial" w:hAnsi="Arial" w:cs="Arial"/>
        </w:rPr>
      </w:pPr>
      <w:r>
        <w:rPr>
          <w:rFonts w:ascii="Arial" w:hAnsi="Arial" w:cs="Arial"/>
        </w:rPr>
        <w:t>p</w:t>
      </w:r>
      <w:r w:rsidR="00801C5B" w:rsidRPr="00D428B3">
        <w:rPr>
          <w:rFonts w:ascii="Arial" w:hAnsi="Arial" w:cs="Arial"/>
        </w:rPr>
        <w:t>rosecution</w:t>
      </w:r>
    </w:p>
    <w:p w:rsidR="00801C5B" w:rsidRPr="00D428B3" w:rsidRDefault="00864DFC" w:rsidP="00932D5A">
      <w:pPr>
        <w:pStyle w:val="ListParagraph"/>
        <w:numPr>
          <w:ilvl w:val="0"/>
          <w:numId w:val="44"/>
        </w:numPr>
        <w:spacing w:after="120"/>
        <w:ind w:left="714" w:hanging="357"/>
        <w:rPr>
          <w:rFonts w:ascii="Arial" w:hAnsi="Arial" w:cs="Arial"/>
        </w:rPr>
      </w:pPr>
      <w:r>
        <w:rPr>
          <w:rFonts w:ascii="Arial" w:hAnsi="Arial" w:cs="Arial"/>
        </w:rPr>
        <w:t>f</w:t>
      </w:r>
      <w:r w:rsidR="00801C5B" w:rsidRPr="00D428B3">
        <w:rPr>
          <w:rFonts w:ascii="Arial" w:hAnsi="Arial" w:cs="Arial"/>
        </w:rPr>
        <w:t>ine</w:t>
      </w:r>
    </w:p>
    <w:p w:rsidR="00801C5B" w:rsidRPr="00D428B3" w:rsidRDefault="00864DFC" w:rsidP="00932D5A">
      <w:pPr>
        <w:pStyle w:val="ListParagraph"/>
        <w:numPr>
          <w:ilvl w:val="0"/>
          <w:numId w:val="44"/>
        </w:numPr>
        <w:spacing w:after="120"/>
        <w:ind w:left="714" w:hanging="357"/>
        <w:rPr>
          <w:rFonts w:ascii="Arial" w:hAnsi="Arial" w:cs="Arial"/>
        </w:rPr>
      </w:pPr>
      <w:r>
        <w:rPr>
          <w:rFonts w:ascii="Arial" w:hAnsi="Arial" w:cs="Arial"/>
        </w:rPr>
        <w:t>i</w:t>
      </w:r>
      <w:r w:rsidR="00801C5B" w:rsidRPr="00D428B3">
        <w:rPr>
          <w:rFonts w:ascii="Arial" w:hAnsi="Arial" w:cs="Arial"/>
        </w:rPr>
        <w:t>mprisonment</w:t>
      </w:r>
    </w:p>
    <w:p w:rsidR="00801C5B" w:rsidRPr="00D428B3" w:rsidRDefault="00864DFC" w:rsidP="00932D5A">
      <w:pPr>
        <w:pStyle w:val="ListParagraph"/>
        <w:numPr>
          <w:ilvl w:val="0"/>
          <w:numId w:val="44"/>
        </w:numPr>
        <w:spacing w:after="120"/>
        <w:ind w:left="714" w:hanging="357"/>
        <w:rPr>
          <w:rFonts w:ascii="Arial" w:hAnsi="Arial" w:cs="Arial"/>
        </w:rPr>
      </w:pPr>
      <w:r>
        <w:rPr>
          <w:rFonts w:ascii="Arial" w:hAnsi="Arial" w:cs="Arial"/>
        </w:rPr>
        <w:t>p</w:t>
      </w:r>
      <w:r w:rsidR="00801C5B" w:rsidRPr="00D428B3">
        <w:rPr>
          <w:rFonts w:ascii="Arial" w:hAnsi="Arial" w:cs="Arial"/>
        </w:rPr>
        <w:t xml:space="preserve">rohibition notices (a work activity or premises must </w:t>
      </w:r>
      <w:r w:rsidRPr="00864DFC">
        <w:rPr>
          <w:rFonts w:ascii="Arial" w:hAnsi="Arial" w:cs="Arial"/>
          <w:b/>
        </w:rPr>
        <w:t>not</w:t>
      </w:r>
      <w:r w:rsidRPr="00D428B3">
        <w:rPr>
          <w:rFonts w:ascii="Arial" w:hAnsi="Arial" w:cs="Arial"/>
        </w:rPr>
        <w:t xml:space="preserve"> </w:t>
      </w:r>
      <w:r w:rsidR="00801C5B" w:rsidRPr="00D428B3">
        <w:rPr>
          <w:rFonts w:ascii="Arial" w:hAnsi="Arial" w:cs="Arial"/>
        </w:rPr>
        <w:t>be used until the non</w:t>
      </w:r>
      <w:r w:rsidR="00801C5B" w:rsidRPr="00D428B3">
        <w:rPr>
          <w:rFonts w:ascii="Arial" w:hAnsi="Arial" w:cs="Arial"/>
        </w:rPr>
        <w:noBreakHyphen/>
        <w:t>compliant situation is rectified)</w:t>
      </w:r>
    </w:p>
    <w:p w:rsidR="00801C5B" w:rsidRPr="00D428B3" w:rsidRDefault="00864DFC" w:rsidP="00932D5A">
      <w:pPr>
        <w:pStyle w:val="ListParagraph"/>
        <w:numPr>
          <w:ilvl w:val="0"/>
          <w:numId w:val="44"/>
        </w:numPr>
        <w:spacing w:after="120"/>
        <w:rPr>
          <w:rFonts w:ascii="Arial" w:hAnsi="Arial" w:cs="Arial"/>
        </w:rPr>
      </w:pPr>
      <w:r>
        <w:rPr>
          <w:rFonts w:ascii="Arial" w:hAnsi="Arial" w:cs="Arial"/>
        </w:rPr>
        <w:t>i</w:t>
      </w:r>
      <w:r w:rsidR="00801C5B" w:rsidRPr="00D428B3">
        <w:rPr>
          <w:rFonts w:ascii="Arial" w:hAnsi="Arial" w:cs="Arial"/>
        </w:rPr>
        <w:t>mprovement notices (a work activity or premises can continued to be used but shortcomings must be rectified within a specified time period).</w:t>
      </w:r>
    </w:p>
    <w:p w:rsidR="00801C5B" w:rsidRPr="00D428B3" w:rsidRDefault="00801C5B" w:rsidP="00932D5A">
      <w:pPr>
        <w:spacing w:after="120"/>
        <w:rPr>
          <w:rFonts w:ascii="Arial" w:hAnsi="Arial" w:cs="Arial"/>
          <w:sz w:val="22"/>
          <w:szCs w:val="22"/>
        </w:rPr>
      </w:pPr>
      <w:r w:rsidRPr="00D428B3">
        <w:rPr>
          <w:rFonts w:ascii="Arial" w:hAnsi="Arial" w:cs="Arial"/>
          <w:sz w:val="22"/>
          <w:szCs w:val="22"/>
        </w:rPr>
        <w:t>In addition, the non</w:t>
      </w:r>
      <w:r w:rsidRPr="00D428B3">
        <w:rPr>
          <w:rFonts w:ascii="Arial" w:hAnsi="Arial" w:cs="Arial"/>
          <w:sz w:val="22"/>
          <w:szCs w:val="22"/>
        </w:rPr>
        <w:noBreakHyphen/>
        <w:t xml:space="preserve">direct implications of breaking statutory </w:t>
      </w:r>
      <w:r w:rsidR="00864DFC">
        <w:rPr>
          <w:rFonts w:ascii="Arial" w:hAnsi="Arial" w:cs="Arial"/>
          <w:sz w:val="22"/>
          <w:szCs w:val="22"/>
        </w:rPr>
        <w:t>R</w:t>
      </w:r>
      <w:r w:rsidRPr="00D428B3">
        <w:rPr>
          <w:rFonts w:ascii="Arial" w:hAnsi="Arial" w:cs="Arial"/>
          <w:sz w:val="22"/>
          <w:szCs w:val="22"/>
        </w:rPr>
        <w:t>egulations include the following:</w:t>
      </w:r>
    </w:p>
    <w:p w:rsidR="00801C5B" w:rsidRPr="00D428B3" w:rsidRDefault="00864DFC" w:rsidP="00932D5A">
      <w:pPr>
        <w:pStyle w:val="ListParagraph"/>
        <w:numPr>
          <w:ilvl w:val="0"/>
          <w:numId w:val="45"/>
        </w:numPr>
        <w:spacing w:after="120"/>
        <w:ind w:left="714" w:hanging="357"/>
        <w:rPr>
          <w:rFonts w:ascii="Arial" w:hAnsi="Arial" w:cs="Arial"/>
        </w:rPr>
      </w:pPr>
      <w:r>
        <w:rPr>
          <w:rFonts w:ascii="Arial" w:hAnsi="Arial" w:cs="Arial"/>
        </w:rPr>
        <w:t>d</w:t>
      </w:r>
      <w:r w:rsidR="00801C5B" w:rsidRPr="00D428B3">
        <w:rPr>
          <w:rFonts w:ascii="Arial" w:hAnsi="Arial" w:cs="Arial"/>
        </w:rPr>
        <w:t>ismissal</w:t>
      </w:r>
    </w:p>
    <w:p w:rsidR="00801C5B" w:rsidRPr="00D428B3" w:rsidRDefault="00864DFC" w:rsidP="00932D5A">
      <w:pPr>
        <w:pStyle w:val="ListParagraph"/>
        <w:numPr>
          <w:ilvl w:val="0"/>
          <w:numId w:val="45"/>
        </w:numPr>
        <w:spacing w:after="120"/>
        <w:ind w:left="714" w:hanging="357"/>
        <w:rPr>
          <w:rFonts w:ascii="Arial" w:hAnsi="Arial" w:cs="Arial"/>
        </w:rPr>
      </w:pPr>
      <w:r>
        <w:rPr>
          <w:rFonts w:ascii="Arial" w:hAnsi="Arial" w:cs="Arial"/>
        </w:rPr>
        <w:t>i</w:t>
      </w:r>
      <w:r w:rsidR="00801C5B" w:rsidRPr="00D428B3">
        <w:rPr>
          <w:rFonts w:ascii="Arial" w:hAnsi="Arial" w:cs="Arial"/>
        </w:rPr>
        <w:t>njury</w:t>
      </w:r>
    </w:p>
    <w:p w:rsidR="00801C5B" w:rsidRPr="00D428B3" w:rsidRDefault="00864DFC" w:rsidP="00932D5A">
      <w:pPr>
        <w:pStyle w:val="ListParagraph"/>
        <w:numPr>
          <w:ilvl w:val="0"/>
          <w:numId w:val="45"/>
        </w:numPr>
        <w:spacing w:after="120"/>
        <w:ind w:left="714" w:hanging="357"/>
        <w:rPr>
          <w:rFonts w:ascii="Arial" w:hAnsi="Arial" w:cs="Arial"/>
        </w:rPr>
      </w:pPr>
      <w:r>
        <w:rPr>
          <w:rFonts w:ascii="Arial" w:hAnsi="Arial" w:cs="Arial"/>
        </w:rPr>
        <w:t>d</w:t>
      </w:r>
      <w:r w:rsidR="00801C5B" w:rsidRPr="00D428B3">
        <w:rPr>
          <w:rFonts w:ascii="Arial" w:hAnsi="Arial" w:cs="Arial"/>
        </w:rPr>
        <w:t>eath</w:t>
      </w:r>
    </w:p>
    <w:p w:rsidR="00801C5B" w:rsidRPr="00D428B3" w:rsidRDefault="00864DFC" w:rsidP="00932D5A">
      <w:pPr>
        <w:pStyle w:val="ListParagraph"/>
        <w:numPr>
          <w:ilvl w:val="0"/>
          <w:numId w:val="45"/>
        </w:numPr>
        <w:spacing w:after="120"/>
        <w:ind w:left="714" w:hanging="357"/>
        <w:rPr>
          <w:rFonts w:ascii="Arial" w:hAnsi="Arial" w:cs="Arial"/>
        </w:rPr>
      </w:pPr>
      <w:r>
        <w:rPr>
          <w:rFonts w:ascii="Arial" w:hAnsi="Arial" w:cs="Arial"/>
        </w:rPr>
        <w:t>l</w:t>
      </w:r>
      <w:r w:rsidR="00801C5B" w:rsidRPr="00D428B3">
        <w:rPr>
          <w:rFonts w:ascii="Arial" w:hAnsi="Arial" w:cs="Arial"/>
        </w:rPr>
        <w:t>oss of earnings</w:t>
      </w:r>
    </w:p>
    <w:p w:rsidR="00801C5B" w:rsidRPr="00D428B3" w:rsidRDefault="00864DFC" w:rsidP="00932D5A">
      <w:pPr>
        <w:pStyle w:val="ListParagraph"/>
        <w:numPr>
          <w:ilvl w:val="0"/>
          <w:numId w:val="45"/>
        </w:numPr>
        <w:spacing w:after="120"/>
        <w:ind w:left="714" w:hanging="357"/>
        <w:rPr>
          <w:rFonts w:ascii="Arial" w:hAnsi="Arial" w:cs="Arial"/>
        </w:rPr>
      </w:pPr>
      <w:r>
        <w:rPr>
          <w:rFonts w:ascii="Arial" w:hAnsi="Arial" w:cs="Arial"/>
        </w:rPr>
        <w:t>l</w:t>
      </w:r>
      <w:r w:rsidR="00801C5B" w:rsidRPr="00D428B3">
        <w:rPr>
          <w:rFonts w:ascii="Arial" w:hAnsi="Arial" w:cs="Arial"/>
        </w:rPr>
        <w:t>ost clients</w:t>
      </w:r>
    </w:p>
    <w:p w:rsidR="00801C5B" w:rsidRPr="00D428B3" w:rsidRDefault="00864DFC" w:rsidP="00932D5A">
      <w:pPr>
        <w:pStyle w:val="ListParagraph"/>
        <w:numPr>
          <w:ilvl w:val="0"/>
          <w:numId w:val="45"/>
        </w:numPr>
        <w:spacing w:after="120"/>
        <w:rPr>
          <w:rFonts w:ascii="Arial" w:hAnsi="Arial" w:cs="Arial"/>
        </w:rPr>
      </w:pPr>
      <w:r>
        <w:rPr>
          <w:rFonts w:ascii="Arial" w:hAnsi="Arial" w:cs="Arial"/>
        </w:rPr>
        <w:t>l</w:t>
      </w:r>
      <w:r w:rsidR="00801C5B" w:rsidRPr="00D428B3">
        <w:rPr>
          <w:rFonts w:ascii="Arial" w:hAnsi="Arial" w:cs="Arial"/>
        </w:rPr>
        <w:t>oss of reputation.</w:t>
      </w:r>
    </w:p>
    <w:p w:rsidR="001A0BD4" w:rsidRDefault="00225C93" w:rsidP="00932D5A">
      <w:pPr>
        <w:spacing w:after="120"/>
        <w:rPr>
          <w:sz w:val="22"/>
          <w:szCs w:val="22"/>
        </w:rPr>
      </w:pPr>
      <w:r>
        <w:rPr>
          <w:sz w:val="22"/>
          <w:szCs w:val="22"/>
        </w:rPr>
        <w:pict>
          <v:rect id="_x0000_i1026" style="width:0;height:1.5pt" o:hralign="center" o:hrstd="t" o:hr="t" fillcolor="#a0a0a0" stroked="f"/>
        </w:pict>
      </w:r>
    </w:p>
    <w:sectPr w:rsidR="001A0BD4" w:rsidSect="00FF5CDB">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374" w:rsidRDefault="002D2374">
      <w:r>
        <w:separator/>
      </w:r>
    </w:p>
  </w:endnote>
  <w:endnote w:type="continuationSeparator" w:id="0">
    <w:p w:rsidR="002D2374" w:rsidRDefault="002D2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3F2D3E" w:rsidRPr="005A76CF" w:rsidTr="002D7C6F">
      <w:tc>
        <w:tcPr>
          <w:tcW w:w="3250" w:type="pct"/>
          <w:shd w:val="clear" w:color="auto" w:fill="auto"/>
        </w:tcPr>
        <w:p w:rsidR="003F2D3E" w:rsidRPr="005A76CF" w:rsidRDefault="003F2D3E" w:rsidP="002D7C6F">
          <w:pPr>
            <w:pStyle w:val="Footer"/>
            <w:spacing w:before="20"/>
            <w:rPr>
              <w:rFonts w:ascii="Arial" w:hAnsi="Arial" w:cs="Arial"/>
              <w:sz w:val="18"/>
            </w:rPr>
          </w:pPr>
          <w:r w:rsidRPr="005A76CF">
            <w:rPr>
              <w:rFonts w:ascii="Arial" w:hAnsi="Arial" w:cs="Arial"/>
              <w:sz w:val="18"/>
            </w:rPr>
            <w:t xml:space="preserve">© </w:t>
          </w:r>
          <w:r w:rsidRPr="005A76CF">
            <w:rPr>
              <w:rFonts w:ascii="Arial" w:hAnsi="Arial" w:cs="Arial"/>
              <w:sz w:val="18"/>
            </w:rPr>
            <w:fldChar w:fldCharType="begin"/>
          </w:r>
          <w:r w:rsidRPr="005A76CF">
            <w:rPr>
              <w:rFonts w:ascii="Arial" w:hAnsi="Arial" w:cs="Arial"/>
              <w:sz w:val="18"/>
            </w:rPr>
            <w:instrText xml:space="preserve"> DATE \@ "yyyy" \* MERGEFORMAT </w:instrText>
          </w:r>
          <w:r w:rsidRPr="005A76CF">
            <w:rPr>
              <w:rFonts w:ascii="Arial" w:hAnsi="Arial" w:cs="Arial"/>
              <w:sz w:val="18"/>
            </w:rPr>
            <w:fldChar w:fldCharType="separate"/>
          </w:r>
          <w:r w:rsidR="00225C93">
            <w:rPr>
              <w:rFonts w:ascii="Arial" w:hAnsi="Arial" w:cs="Arial"/>
              <w:noProof/>
              <w:sz w:val="18"/>
            </w:rPr>
            <w:t>2015</w:t>
          </w:r>
          <w:r w:rsidRPr="005A76CF">
            <w:rPr>
              <w:rFonts w:ascii="Arial" w:hAnsi="Arial" w:cs="Arial"/>
              <w:sz w:val="18"/>
            </w:rPr>
            <w:fldChar w:fldCharType="end"/>
          </w:r>
          <w:r w:rsidRPr="005A76CF">
            <w:rPr>
              <w:rFonts w:ascii="Arial" w:hAnsi="Arial" w:cs="Arial"/>
              <w:sz w:val="18"/>
            </w:rPr>
            <w:t xml:space="preserve"> City and Guilds of London Institute. All rights reserved.</w:t>
          </w:r>
        </w:p>
        <w:p w:rsidR="003F2D3E" w:rsidRPr="005A76CF" w:rsidRDefault="003F2D3E" w:rsidP="002D7C6F">
          <w:pPr>
            <w:pStyle w:val="Footer"/>
            <w:spacing w:before="20"/>
            <w:rPr>
              <w:rFonts w:ascii="Arial" w:hAnsi="Arial" w:cs="Arial"/>
              <w:sz w:val="18"/>
            </w:rPr>
          </w:pPr>
          <w:r w:rsidRPr="005A76CF">
            <w:rPr>
              <w:rFonts w:ascii="Arial" w:hAnsi="Arial" w:cs="Arial"/>
              <w:sz w:val="18"/>
            </w:rPr>
            <w:t>www.SmartScreen.co.uk</w:t>
          </w:r>
        </w:p>
      </w:tc>
      <w:tc>
        <w:tcPr>
          <w:tcW w:w="2500" w:type="pct"/>
          <w:shd w:val="clear" w:color="auto" w:fill="auto"/>
        </w:tcPr>
        <w:p w:rsidR="003F2D3E" w:rsidRPr="005A76CF" w:rsidRDefault="003F2D3E" w:rsidP="002D7C6F">
          <w:pPr>
            <w:pStyle w:val="Footer"/>
            <w:spacing w:before="20"/>
            <w:jc w:val="right"/>
            <w:rPr>
              <w:rFonts w:ascii="Arial" w:hAnsi="Arial" w:cs="Arial"/>
              <w:sz w:val="18"/>
            </w:rPr>
          </w:pPr>
          <w:r w:rsidRPr="005A76CF">
            <w:rPr>
              <w:rFonts w:ascii="Arial" w:hAnsi="Arial" w:cs="Arial"/>
              <w:sz w:val="18"/>
            </w:rPr>
            <w:t xml:space="preserve">Page </w:t>
          </w:r>
          <w:r w:rsidRPr="005A76CF">
            <w:rPr>
              <w:rFonts w:ascii="Arial" w:hAnsi="Arial" w:cs="Arial"/>
              <w:sz w:val="18"/>
            </w:rPr>
            <w:fldChar w:fldCharType="begin"/>
          </w:r>
          <w:r w:rsidRPr="005A76CF">
            <w:rPr>
              <w:rFonts w:ascii="Arial" w:hAnsi="Arial" w:cs="Arial"/>
              <w:sz w:val="18"/>
            </w:rPr>
            <w:instrText xml:space="preserve"> PAGE   \* MERGEFORMAT </w:instrText>
          </w:r>
          <w:r w:rsidRPr="005A76CF">
            <w:rPr>
              <w:rFonts w:ascii="Arial" w:hAnsi="Arial" w:cs="Arial"/>
              <w:sz w:val="18"/>
            </w:rPr>
            <w:fldChar w:fldCharType="separate"/>
          </w:r>
          <w:r w:rsidR="00225C93">
            <w:rPr>
              <w:rFonts w:ascii="Arial" w:hAnsi="Arial" w:cs="Arial"/>
              <w:noProof/>
              <w:sz w:val="18"/>
            </w:rPr>
            <w:t>1</w:t>
          </w:r>
          <w:r w:rsidRPr="005A76CF">
            <w:rPr>
              <w:rFonts w:ascii="Arial" w:hAnsi="Arial" w:cs="Arial"/>
              <w:sz w:val="18"/>
            </w:rPr>
            <w:fldChar w:fldCharType="end"/>
          </w:r>
          <w:r w:rsidRPr="005A76CF">
            <w:rPr>
              <w:rFonts w:ascii="Arial" w:hAnsi="Arial" w:cs="Arial"/>
              <w:sz w:val="18"/>
            </w:rPr>
            <w:t xml:space="preserve"> of </w:t>
          </w:r>
          <w:r w:rsidRPr="005A76CF">
            <w:rPr>
              <w:rFonts w:ascii="Arial" w:hAnsi="Arial" w:cs="Arial"/>
              <w:sz w:val="18"/>
            </w:rPr>
            <w:fldChar w:fldCharType="begin"/>
          </w:r>
          <w:r w:rsidRPr="005A76CF">
            <w:rPr>
              <w:rFonts w:ascii="Arial" w:hAnsi="Arial" w:cs="Arial"/>
              <w:sz w:val="18"/>
            </w:rPr>
            <w:instrText xml:space="preserve"> NUMPAGES   \* MERGEFORMAT </w:instrText>
          </w:r>
          <w:r w:rsidRPr="005A76CF">
            <w:rPr>
              <w:rFonts w:ascii="Arial" w:hAnsi="Arial" w:cs="Arial"/>
              <w:sz w:val="18"/>
            </w:rPr>
            <w:fldChar w:fldCharType="separate"/>
          </w:r>
          <w:r w:rsidR="00225C93">
            <w:rPr>
              <w:rFonts w:ascii="Arial" w:hAnsi="Arial" w:cs="Arial"/>
              <w:noProof/>
              <w:sz w:val="18"/>
            </w:rPr>
            <w:t>4</w:t>
          </w:r>
          <w:r w:rsidRPr="005A76CF">
            <w:rPr>
              <w:rFonts w:ascii="Arial" w:hAnsi="Arial" w:cs="Arial"/>
              <w:sz w:val="18"/>
            </w:rPr>
            <w:fldChar w:fldCharType="end"/>
          </w:r>
        </w:p>
      </w:tc>
    </w:tr>
  </w:tbl>
  <w:p w:rsidR="003F2D3E" w:rsidRPr="00FF5CDB" w:rsidRDefault="003F2D3E">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374" w:rsidRDefault="002D2374">
      <w:r>
        <w:separator/>
      </w:r>
    </w:p>
  </w:footnote>
  <w:footnote w:type="continuationSeparator" w:id="0">
    <w:p w:rsidR="002D2374" w:rsidRDefault="002D23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1E0" w:firstRow="1" w:lastRow="1" w:firstColumn="1" w:lastColumn="1" w:noHBand="0" w:noVBand="0"/>
    </w:tblPr>
    <w:tblGrid>
      <w:gridCol w:w="6251"/>
      <w:gridCol w:w="3387"/>
    </w:tblGrid>
    <w:tr w:rsidR="008C1497" w:rsidRPr="00BE2849" w:rsidTr="007E0408">
      <w:tc>
        <w:tcPr>
          <w:tcW w:w="3243" w:type="pct"/>
          <w:shd w:val="clear" w:color="auto" w:fill="auto"/>
        </w:tcPr>
        <w:p w:rsidR="008C1497" w:rsidRPr="00BE2849" w:rsidRDefault="008C1497" w:rsidP="00BE2849">
          <w:pPr>
            <w:pStyle w:val="Header"/>
            <w:rPr>
              <w:rFonts w:ascii="Arial" w:hAnsi="Arial" w:cs="Arial"/>
              <w:sz w:val="18"/>
            </w:rPr>
          </w:pPr>
          <w:r w:rsidRPr="00BE2849">
            <w:rPr>
              <w:rFonts w:ascii="Arial" w:hAnsi="Arial" w:cs="Arial"/>
              <w:sz w:val="18"/>
            </w:rPr>
            <w:t>SmartScreen</w:t>
          </w:r>
        </w:p>
        <w:p w:rsidR="008C1497" w:rsidRPr="00BE2849" w:rsidRDefault="008C1497"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8C1497" w:rsidRPr="00BE2849" w:rsidRDefault="008C1497" w:rsidP="007A6CA5">
          <w:pPr>
            <w:pStyle w:val="Header"/>
            <w:jc w:val="right"/>
            <w:rPr>
              <w:rFonts w:ascii="Arial" w:hAnsi="Arial" w:cs="Arial"/>
              <w:sz w:val="18"/>
            </w:rPr>
          </w:pPr>
          <w:r w:rsidRPr="00BE2849">
            <w:rPr>
              <w:rFonts w:ascii="Arial" w:hAnsi="Arial" w:cs="Arial"/>
              <w:sz w:val="18"/>
            </w:rPr>
            <w:t>Unit 20</w:t>
          </w:r>
          <w:r w:rsidR="007A6CA5">
            <w:rPr>
              <w:rFonts w:ascii="Arial" w:hAnsi="Arial" w:cs="Arial"/>
              <w:sz w:val="18"/>
            </w:rPr>
            <w:t>3</w:t>
          </w:r>
          <w:r w:rsidRPr="00BE2849">
            <w:rPr>
              <w:rFonts w:ascii="Arial" w:hAnsi="Arial" w:cs="Arial"/>
              <w:sz w:val="18"/>
            </w:rPr>
            <w:t xml:space="preserve"> Handout 1</w:t>
          </w:r>
        </w:p>
      </w:tc>
    </w:tr>
  </w:tbl>
  <w:p w:rsidR="008C1497" w:rsidRPr="00FF5CDB" w:rsidRDefault="008C1497" w:rsidP="00BE2849">
    <w:pPr>
      <w:pStyle w:val="Header"/>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44205"/>
    <w:multiLevelType w:val="hybridMultilevel"/>
    <w:tmpl w:val="1CAEAF04"/>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182667"/>
    <w:multiLevelType w:val="hybridMultilevel"/>
    <w:tmpl w:val="09822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8E5829"/>
    <w:multiLevelType w:val="hybridMultilevel"/>
    <w:tmpl w:val="379A7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3F46EA"/>
    <w:multiLevelType w:val="hybridMultilevel"/>
    <w:tmpl w:val="7BBEA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056F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8B4B72"/>
    <w:multiLevelType w:val="hybridMultilevel"/>
    <w:tmpl w:val="3A66C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0176C2"/>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621630"/>
    <w:multiLevelType w:val="hybridMultilevel"/>
    <w:tmpl w:val="B5B0B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81512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6DC6DB0"/>
    <w:multiLevelType w:val="hybridMultilevel"/>
    <w:tmpl w:val="826AA61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A891027"/>
    <w:multiLevelType w:val="hybridMultilevel"/>
    <w:tmpl w:val="CC402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B75935"/>
    <w:multiLevelType w:val="hybridMultilevel"/>
    <w:tmpl w:val="26C6C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EA5DF0"/>
    <w:multiLevelType w:val="hybridMultilevel"/>
    <w:tmpl w:val="2154E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AD071F"/>
    <w:multiLevelType w:val="hybridMultilevel"/>
    <w:tmpl w:val="9CB660B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F325501"/>
    <w:multiLevelType w:val="hybridMultilevel"/>
    <w:tmpl w:val="96780A76"/>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319568E2"/>
    <w:multiLevelType w:val="hybridMultilevel"/>
    <w:tmpl w:val="D1E49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AB196C"/>
    <w:multiLevelType w:val="hybridMultilevel"/>
    <w:tmpl w:val="D398F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4354CE"/>
    <w:multiLevelType w:val="hybridMultilevel"/>
    <w:tmpl w:val="6020408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D3E2EBF"/>
    <w:multiLevelType w:val="hybridMultilevel"/>
    <w:tmpl w:val="3676974E"/>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A15048"/>
    <w:multiLevelType w:val="multilevel"/>
    <w:tmpl w:val="5BE61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A87922"/>
    <w:multiLevelType w:val="hybridMultilevel"/>
    <w:tmpl w:val="B734C10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1D01D71"/>
    <w:multiLevelType w:val="hybridMultilevel"/>
    <w:tmpl w:val="761A375E"/>
    <w:lvl w:ilvl="0" w:tplc="08090001">
      <w:start w:val="1"/>
      <w:numFmt w:val="bullet"/>
      <w:lvlText w:val=""/>
      <w:lvlJc w:val="left"/>
      <w:pPr>
        <w:ind w:left="744" w:hanging="360"/>
      </w:pPr>
      <w:rPr>
        <w:rFonts w:ascii="Symbol" w:hAnsi="Symbol" w:hint="default"/>
      </w:rPr>
    </w:lvl>
    <w:lvl w:ilvl="1" w:tplc="08090003" w:tentative="1">
      <w:start w:val="1"/>
      <w:numFmt w:val="bullet"/>
      <w:lvlText w:val="o"/>
      <w:lvlJc w:val="left"/>
      <w:pPr>
        <w:ind w:left="1464" w:hanging="360"/>
      </w:pPr>
      <w:rPr>
        <w:rFonts w:ascii="Courier New" w:hAnsi="Courier New" w:cs="Courier New" w:hint="default"/>
      </w:rPr>
    </w:lvl>
    <w:lvl w:ilvl="2" w:tplc="08090005" w:tentative="1">
      <w:start w:val="1"/>
      <w:numFmt w:val="bullet"/>
      <w:lvlText w:val=""/>
      <w:lvlJc w:val="left"/>
      <w:pPr>
        <w:ind w:left="2184" w:hanging="360"/>
      </w:pPr>
      <w:rPr>
        <w:rFonts w:ascii="Wingdings" w:hAnsi="Wingdings" w:hint="default"/>
      </w:rPr>
    </w:lvl>
    <w:lvl w:ilvl="3" w:tplc="08090001" w:tentative="1">
      <w:start w:val="1"/>
      <w:numFmt w:val="bullet"/>
      <w:lvlText w:val=""/>
      <w:lvlJc w:val="left"/>
      <w:pPr>
        <w:ind w:left="2904" w:hanging="360"/>
      </w:pPr>
      <w:rPr>
        <w:rFonts w:ascii="Symbol" w:hAnsi="Symbol" w:hint="default"/>
      </w:rPr>
    </w:lvl>
    <w:lvl w:ilvl="4" w:tplc="08090003" w:tentative="1">
      <w:start w:val="1"/>
      <w:numFmt w:val="bullet"/>
      <w:lvlText w:val="o"/>
      <w:lvlJc w:val="left"/>
      <w:pPr>
        <w:ind w:left="3624" w:hanging="360"/>
      </w:pPr>
      <w:rPr>
        <w:rFonts w:ascii="Courier New" w:hAnsi="Courier New" w:cs="Courier New" w:hint="default"/>
      </w:rPr>
    </w:lvl>
    <w:lvl w:ilvl="5" w:tplc="08090005" w:tentative="1">
      <w:start w:val="1"/>
      <w:numFmt w:val="bullet"/>
      <w:lvlText w:val=""/>
      <w:lvlJc w:val="left"/>
      <w:pPr>
        <w:ind w:left="4344" w:hanging="360"/>
      </w:pPr>
      <w:rPr>
        <w:rFonts w:ascii="Wingdings" w:hAnsi="Wingdings" w:hint="default"/>
      </w:rPr>
    </w:lvl>
    <w:lvl w:ilvl="6" w:tplc="08090001" w:tentative="1">
      <w:start w:val="1"/>
      <w:numFmt w:val="bullet"/>
      <w:lvlText w:val=""/>
      <w:lvlJc w:val="left"/>
      <w:pPr>
        <w:ind w:left="5064" w:hanging="360"/>
      </w:pPr>
      <w:rPr>
        <w:rFonts w:ascii="Symbol" w:hAnsi="Symbol" w:hint="default"/>
      </w:rPr>
    </w:lvl>
    <w:lvl w:ilvl="7" w:tplc="08090003" w:tentative="1">
      <w:start w:val="1"/>
      <w:numFmt w:val="bullet"/>
      <w:lvlText w:val="o"/>
      <w:lvlJc w:val="left"/>
      <w:pPr>
        <w:ind w:left="5784" w:hanging="360"/>
      </w:pPr>
      <w:rPr>
        <w:rFonts w:ascii="Courier New" w:hAnsi="Courier New" w:cs="Courier New" w:hint="default"/>
      </w:rPr>
    </w:lvl>
    <w:lvl w:ilvl="8" w:tplc="08090005" w:tentative="1">
      <w:start w:val="1"/>
      <w:numFmt w:val="bullet"/>
      <w:lvlText w:val=""/>
      <w:lvlJc w:val="left"/>
      <w:pPr>
        <w:ind w:left="6504" w:hanging="360"/>
      </w:pPr>
      <w:rPr>
        <w:rFonts w:ascii="Wingdings" w:hAnsi="Wingdings" w:hint="default"/>
      </w:rPr>
    </w:lvl>
  </w:abstractNum>
  <w:abstractNum w:abstractNumId="22" w15:restartNumberingAfterBreak="0">
    <w:nsid w:val="42F8789A"/>
    <w:multiLevelType w:val="hybridMultilevel"/>
    <w:tmpl w:val="0B60A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557F43"/>
    <w:multiLevelType w:val="hybridMultilevel"/>
    <w:tmpl w:val="2260287A"/>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7141493"/>
    <w:multiLevelType w:val="hybridMultilevel"/>
    <w:tmpl w:val="E62CDEBC"/>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A184504"/>
    <w:multiLevelType w:val="multilevel"/>
    <w:tmpl w:val="F16EBA32"/>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26" w15:restartNumberingAfterBreak="0">
    <w:nsid w:val="4C5803E9"/>
    <w:multiLevelType w:val="multilevel"/>
    <w:tmpl w:val="5766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347E36"/>
    <w:multiLevelType w:val="multilevel"/>
    <w:tmpl w:val="6756D9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AC4F38"/>
    <w:multiLevelType w:val="hybridMultilevel"/>
    <w:tmpl w:val="D33C579C"/>
    <w:lvl w:ilvl="0" w:tplc="2FBA7484">
      <w:start w:val="1"/>
      <w:numFmt w:val="bullet"/>
      <w:lvlText w:val=""/>
      <w:lvlJc w:val="left"/>
      <w:pPr>
        <w:tabs>
          <w:tab w:val="num" w:pos="360"/>
        </w:tabs>
        <w:ind w:left="340" w:hanging="34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7F0CDE"/>
    <w:multiLevelType w:val="multilevel"/>
    <w:tmpl w:val="CAA82D2E"/>
    <w:lvl w:ilvl="0">
      <w:start w:val="1"/>
      <w:numFmt w:val="none"/>
      <w:lvlText w:val=""/>
      <w:legacy w:legacy="1" w:legacySpace="120" w:legacyIndent="567"/>
      <w:lvlJc w:val="left"/>
      <w:pPr>
        <w:ind w:left="567" w:hanging="567"/>
      </w:pPr>
      <w:rPr>
        <w:rFonts w:ascii="Symbol" w:hAnsi="Symbol" w:hint="default"/>
        <w:sz w:val="36"/>
      </w:rPr>
    </w:lvl>
    <w:lvl w:ilvl="1">
      <w:start w:val="1"/>
      <w:numFmt w:val="none"/>
      <w:lvlText w:val="o"/>
      <w:legacy w:legacy="1" w:legacySpace="120" w:legacyIndent="360"/>
      <w:lvlJc w:val="left"/>
      <w:pPr>
        <w:ind w:left="927" w:hanging="360"/>
      </w:pPr>
      <w:rPr>
        <w:rFonts w:ascii="Courier New" w:hAnsi="Courier New" w:hint="default"/>
      </w:rPr>
    </w:lvl>
    <w:lvl w:ilvl="2">
      <w:start w:val="1"/>
      <w:numFmt w:val="none"/>
      <w:lvlText w:val=""/>
      <w:legacy w:legacy="1" w:legacySpace="120" w:legacyIndent="360"/>
      <w:lvlJc w:val="left"/>
      <w:pPr>
        <w:ind w:left="1287" w:hanging="360"/>
      </w:pPr>
      <w:rPr>
        <w:rFonts w:ascii="Wingdings" w:hAnsi="Wingdings" w:hint="default"/>
      </w:rPr>
    </w:lvl>
    <w:lvl w:ilvl="3">
      <w:start w:val="1"/>
      <w:numFmt w:val="none"/>
      <w:lvlText w:val=""/>
      <w:legacy w:legacy="1" w:legacySpace="120" w:legacyIndent="360"/>
      <w:lvlJc w:val="left"/>
      <w:pPr>
        <w:ind w:left="1647" w:hanging="360"/>
      </w:pPr>
      <w:rPr>
        <w:rFonts w:ascii="Symbol" w:hAnsi="Symbol" w:hint="default"/>
      </w:rPr>
    </w:lvl>
    <w:lvl w:ilvl="4">
      <w:start w:val="1"/>
      <w:numFmt w:val="none"/>
      <w:lvlText w:val="o"/>
      <w:legacy w:legacy="1" w:legacySpace="120" w:legacyIndent="360"/>
      <w:lvlJc w:val="left"/>
      <w:pPr>
        <w:ind w:left="2007" w:hanging="360"/>
      </w:pPr>
      <w:rPr>
        <w:rFonts w:ascii="Courier New" w:hAnsi="Courier New" w:hint="default"/>
      </w:rPr>
    </w:lvl>
    <w:lvl w:ilvl="5">
      <w:start w:val="1"/>
      <w:numFmt w:val="none"/>
      <w:lvlText w:val=""/>
      <w:legacy w:legacy="1" w:legacySpace="120" w:legacyIndent="360"/>
      <w:lvlJc w:val="left"/>
      <w:pPr>
        <w:ind w:left="2367" w:hanging="360"/>
      </w:pPr>
      <w:rPr>
        <w:rFonts w:ascii="Wingdings" w:hAnsi="Wingdings" w:hint="default"/>
      </w:rPr>
    </w:lvl>
    <w:lvl w:ilvl="6">
      <w:start w:val="1"/>
      <w:numFmt w:val="none"/>
      <w:lvlText w:val=""/>
      <w:legacy w:legacy="1" w:legacySpace="120" w:legacyIndent="360"/>
      <w:lvlJc w:val="left"/>
      <w:pPr>
        <w:ind w:left="2727" w:hanging="360"/>
      </w:pPr>
      <w:rPr>
        <w:rFonts w:ascii="Symbol" w:hAnsi="Symbol" w:hint="default"/>
      </w:rPr>
    </w:lvl>
    <w:lvl w:ilvl="7">
      <w:start w:val="1"/>
      <w:numFmt w:val="none"/>
      <w:lvlText w:val="o"/>
      <w:legacy w:legacy="1" w:legacySpace="120" w:legacyIndent="360"/>
      <w:lvlJc w:val="left"/>
      <w:pPr>
        <w:ind w:left="3087" w:hanging="360"/>
      </w:pPr>
      <w:rPr>
        <w:rFonts w:ascii="Courier New" w:hAnsi="Courier New" w:hint="default"/>
      </w:rPr>
    </w:lvl>
    <w:lvl w:ilvl="8">
      <w:start w:val="1"/>
      <w:numFmt w:val="none"/>
      <w:lvlText w:val=""/>
      <w:legacy w:legacy="1" w:legacySpace="120" w:legacyIndent="360"/>
      <w:lvlJc w:val="left"/>
      <w:pPr>
        <w:ind w:left="3447" w:hanging="360"/>
      </w:pPr>
      <w:rPr>
        <w:rFonts w:ascii="Wingdings" w:hAnsi="Wingdings" w:hint="default"/>
      </w:rPr>
    </w:lvl>
  </w:abstractNum>
  <w:abstractNum w:abstractNumId="30" w15:restartNumberingAfterBreak="0">
    <w:nsid w:val="56392397"/>
    <w:multiLevelType w:val="hybridMultilevel"/>
    <w:tmpl w:val="FBD23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BE3783"/>
    <w:multiLevelType w:val="hybridMultilevel"/>
    <w:tmpl w:val="B7665DB2"/>
    <w:lvl w:ilvl="0" w:tplc="B1EE66AA">
      <w:start w:val="1"/>
      <w:numFmt w:val="bullet"/>
      <w:lvlText w:val=""/>
      <w:lvlJc w:val="left"/>
      <w:pPr>
        <w:tabs>
          <w:tab w:val="num" w:pos="284"/>
        </w:tabs>
        <w:ind w:left="284" w:hanging="284"/>
      </w:pPr>
      <w:rPr>
        <w:rFonts w:ascii="Symbol" w:hAnsi="Symbol" w:hint="default"/>
        <w:color w:val="auto"/>
        <w:sz w:val="16"/>
        <w:szCs w:val="16"/>
      </w:rPr>
    </w:lvl>
    <w:lvl w:ilvl="1" w:tplc="08090003" w:tentative="1">
      <w:start w:val="1"/>
      <w:numFmt w:val="bullet"/>
      <w:lvlText w:val="o"/>
      <w:lvlJc w:val="left"/>
      <w:pPr>
        <w:tabs>
          <w:tab w:val="num" w:pos="720"/>
        </w:tabs>
        <w:ind w:left="720" w:hanging="360"/>
      </w:pPr>
      <w:rPr>
        <w:rFonts w:ascii="Courier New" w:hAnsi="Courier New" w:cs="Arial"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Arial"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Arial"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32" w15:restartNumberingAfterBreak="0">
    <w:nsid w:val="60C77E15"/>
    <w:multiLevelType w:val="multilevel"/>
    <w:tmpl w:val="CAA82D2E"/>
    <w:lvl w:ilvl="0">
      <w:start w:val="1"/>
      <w:numFmt w:val="none"/>
      <w:lvlText w:val=""/>
      <w:legacy w:legacy="1" w:legacySpace="120" w:legacyIndent="567"/>
      <w:lvlJc w:val="left"/>
      <w:pPr>
        <w:ind w:left="567" w:hanging="567"/>
      </w:pPr>
      <w:rPr>
        <w:rFonts w:ascii="Symbol" w:hAnsi="Symbol" w:hint="default"/>
        <w:sz w:val="36"/>
      </w:rPr>
    </w:lvl>
    <w:lvl w:ilvl="1">
      <w:start w:val="1"/>
      <w:numFmt w:val="none"/>
      <w:lvlText w:val="o"/>
      <w:legacy w:legacy="1" w:legacySpace="120" w:legacyIndent="360"/>
      <w:lvlJc w:val="left"/>
      <w:pPr>
        <w:ind w:left="927" w:hanging="360"/>
      </w:pPr>
      <w:rPr>
        <w:rFonts w:ascii="Courier New" w:hAnsi="Courier New" w:hint="default"/>
      </w:rPr>
    </w:lvl>
    <w:lvl w:ilvl="2">
      <w:start w:val="1"/>
      <w:numFmt w:val="none"/>
      <w:lvlText w:val=""/>
      <w:legacy w:legacy="1" w:legacySpace="120" w:legacyIndent="360"/>
      <w:lvlJc w:val="left"/>
      <w:pPr>
        <w:ind w:left="1287" w:hanging="360"/>
      </w:pPr>
      <w:rPr>
        <w:rFonts w:ascii="Wingdings" w:hAnsi="Wingdings" w:hint="default"/>
      </w:rPr>
    </w:lvl>
    <w:lvl w:ilvl="3">
      <w:start w:val="1"/>
      <w:numFmt w:val="none"/>
      <w:lvlText w:val=""/>
      <w:legacy w:legacy="1" w:legacySpace="120" w:legacyIndent="360"/>
      <w:lvlJc w:val="left"/>
      <w:pPr>
        <w:ind w:left="1647" w:hanging="360"/>
      </w:pPr>
      <w:rPr>
        <w:rFonts w:ascii="Symbol" w:hAnsi="Symbol" w:hint="default"/>
      </w:rPr>
    </w:lvl>
    <w:lvl w:ilvl="4">
      <w:start w:val="1"/>
      <w:numFmt w:val="none"/>
      <w:lvlText w:val="o"/>
      <w:legacy w:legacy="1" w:legacySpace="120" w:legacyIndent="360"/>
      <w:lvlJc w:val="left"/>
      <w:pPr>
        <w:ind w:left="2007" w:hanging="360"/>
      </w:pPr>
      <w:rPr>
        <w:rFonts w:ascii="Courier New" w:hAnsi="Courier New" w:hint="default"/>
      </w:rPr>
    </w:lvl>
    <w:lvl w:ilvl="5">
      <w:start w:val="1"/>
      <w:numFmt w:val="none"/>
      <w:lvlText w:val=""/>
      <w:legacy w:legacy="1" w:legacySpace="120" w:legacyIndent="360"/>
      <w:lvlJc w:val="left"/>
      <w:pPr>
        <w:ind w:left="2367" w:hanging="360"/>
      </w:pPr>
      <w:rPr>
        <w:rFonts w:ascii="Wingdings" w:hAnsi="Wingdings" w:hint="default"/>
      </w:rPr>
    </w:lvl>
    <w:lvl w:ilvl="6">
      <w:start w:val="1"/>
      <w:numFmt w:val="none"/>
      <w:lvlText w:val=""/>
      <w:legacy w:legacy="1" w:legacySpace="120" w:legacyIndent="360"/>
      <w:lvlJc w:val="left"/>
      <w:pPr>
        <w:ind w:left="2727" w:hanging="360"/>
      </w:pPr>
      <w:rPr>
        <w:rFonts w:ascii="Symbol" w:hAnsi="Symbol" w:hint="default"/>
      </w:rPr>
    </w:lvl>
    <w:lvl w:ilvl="7">
      <w:start w:val="1"/>
      <w:numFmt w:val="none"/>
      <w:lvlText w:val="o"/>
      <w:legacy w:legacy="1" w:legacySpace="120" w:legacyIndent="360"/>
      <w:lvlJc w:val="left"/>
      <w:pPr>
        <w:ind w:left="3087" w:hanging="360"/>
      </w:pPr>
      <w:rPr>
        <w:rFonts w:ascii="Courier New" w:hAnsi="Courier New" w:hint="default"/>
      </w:rPr>
    </w:lvl>
    <w:lvl w:ilvl="8">
      <w:start w:val="1"/>
      <w:numFmt w:val="none"/>
      <w:lvlText w:val=""/>
      <w:legacy w:legacy="1" w:legacySpace="120" w:legacyIndent="360"/>
      <w:lvlJc w:val="left"/>
      <w:pPr>
        <w:ind w:left="3447" w:hanging="360"/>
      </w:pPr>
      <w:rPr>
        <w:rFonts w:ascii="Wingdings" w:hAnsi="Wingdings" w:hint="default"/>
      </w:rPr>
    </w:lvl>
  </w:abstractNum>
  <w:abstractNum w:abstractNumId="33" w15:restartNumberingAfterBreak="0">
    <w:nsid w:val="66120A98"/>
    <w:multiLevelType w:val="hybridMultilevel"/>
    <w:tmpl w:val="58F880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9FF25D2"/>
    <w:multiLevelType w:val="multilevel"/>
    <w:tmpl w:val="2D6E65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067796"/>
    <w:multiLevelType w:val="hybridMultilevel"/>
    <w:tmpl w:val="156E9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CE97094"/>
    <w:multiLevelType w:val="hybridMultilevel"/>
    <w:tmpl w:val="51080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D8673E2"/>
    <w:multiLevelType w:val="hybridMultilevel"/>
    <w:tmpl w:val="5CAEF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6DBF7EF9"/>
    <w:multiLevelType w:val="hybridMultilevel"/>
    <w:tmpl w:val="E9AC2722"/>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EF339E9"/>
    <w:multiLevelType w:val="multilevel"/>
    <w:tmpl w:val="C37642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FBC55B0"/>
    <w:multiLevelType w:val="hybridMultilevel"/>
    <w:tmpl w:val="26BA0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192C77"/>
    <w:multiLevelType w:val="hybridMultilevel"/>
    <w:tmpl w:val="2A2C3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39B583E"/>
    <w:multiLevelType w:val="hybridMultilevel"/>
    <w:tmpl w:val="20B4F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E214C4"/>
    <w:multiLevelType w:val="multilevel"/>
    <w:tmpl w:val="CAA82D2E"/>
    <w:lvl w:ilvl="0">
      <w:start w:val="1"/>
      <w:numFmt w:val="none"/>
      <w:lvlText w:val=""/>
      <w:legacy w:legacy="1" w:legacySpace="120" w:legacyIndent="567"/>
      <w:lvlJc w:val="left"/>
      <w:pPr>
        <w:ind w:left="567" w:hanging="567"/>
      </w:pPr>
      <w:rPr>
        <w:rFonts w:ascii="Symbol" w:hAnsi="Symbol" w:hint="default"/>
        <w:sz w:val="36"/>
      </w:rPr>
    </w:lvl>
    <w:lvl w:ilvl="1">
      <w:start w:val="1"/>
      <w:numFmt w:val="none"/>
      <w:lvlText w:val="o"/>
      <w:legacy w:legacy="1" w:legacySpace="120" w:legacyIndent="360"/>
      <w:lvlJc w:val="left"/>
      <w:pPr>
        <w:ind w:left="927" w:hanging="360"/>
      </w:pPr>
      <w:rPr>
        <w:rFonts w:ascii="Courier New" w:hAnsi="Courier New" w:hint="default"/>
      </w:rPr>
    </w:lvl>
    <w:lvl w:ilvl="2">
      <w:start w:val="1"/>
      <w:numFmt w:val="none"/>
      <w:lvlText w:val=""/>
      <w:legacy w:legacy="1" w:legacySpace="120" w:legacyIndent="360"/>
      <w:lvlJc w:val="left"/>
      <w:pPr>
        <w:ind w:left="1287" w:hanging="360"/>
      </w:pPr>
      <w:rPr>
        <w:rFonts w:ascii="Wingdings" w:hAnsi="Wingdings" w:hint="default"/>
      </w:rPr>
    </w:lvl>
    <w:lvl w:ilvl="3">
      <w:start w:val="1"/>
      <w:numFmt w:val="none"/>
      <w:lvlText w:val=""/>
      <w:legacy w:legacy="1" w:legacySpace="120" w:legacyIndent="360"/>
      <w:lvlJc w:val="left"/>
      <w:pPr>
        <w:ind w:left="1647" w:hanging="360"/>
      </w:pPr>
      <w:rPr>
        <w:rFonts w:ascii="Symbol" w:hAnsi="Symbol" w:hint="default"/>
      </w:rPr>
    </w:lvl>
    <w:lvl w:ilvl="4">
      <w:start w:val="1"/>
      <w:numFmt w:val="none"/>
      <w:lvlText w:val="o"/>
      <w:legacy w:legacy="1" w:legacySpace="120" w:legacyIndent="360"/>
      <w:lvlJc w:val="left"/>
      <w:pPr>
        <w:ind w:left="2007" w:hanging="360"/>
      </w:pPr>
      <w:rPr>
        <w:rFonts w:ascii="Courier New" w:hAnsi="Courier New" w:hint="default"/>
      </w:rPr>
    </w:lvl>
    <w:lvl w:ilvl="5">
      <w:start w:val="1"/>
      <w:numFmt w:val="none"/>
      <w:lvlText w:val=""/>
      <w:legacy w:legacy="1" w:legacySpace="120" w:legacyIndent="360"/>
      <w:lvlJc w:val="left"/>
      <w:pPr>
        <w:ind w:left="2367" w:hanging="360"/>
      </w:pPr>
      <w:rPr>
        <w:rFonts w:ascii="Wingdings" w:hAnsi="Wingdings" w:hint="default"/>
      </w:rPr>
    </w:lvl>
    <w:lvl w:ilvl="6">
      <w:start w:val="1"/>
      <w:numFmt w:val="none"/>
      <w:lvlText w:val=""/>
      <w:legacy w:legacy="1" w:legacySpace="120" w:legacyIndent="360"/>
      <w:lvlJc w:val="left"/>
      <w:pPr>
        <w:ind w:left="2727" w:hanging="360"/>
      </w:pPr>
      <w:rPr>
        <w:rFonts w:ascii="Symbol" w:hAnsi="Symbol" w:hint="default"/>
      </w:rPr>
    </w:lvl>
    <w:lvl w:ilvl="7">
      <w:start w:val="1"/>
      <w:numFmt w:val="none"/>
      <w:lvlText w:val="o"/>
      <w:legacy w:legacy="1" w:legacySpace="120" w:legacyIndent="360"/>
      <w:lvlJc w:val="left"/>
      <w:pPr>
        <w:ind w:left="3087" w:hanging="360"/>
      </w:pPr>
      <w:rPr>
        <w:rFonts w:ascii="Courier New" w:hAnsi="Courier New" w:hint="default"/>
      </w:rPr>
    </w:lvl>
    <w:lvl w:ilvl="8">
      <w:start w:val="1"/>
      <w:numFmt w:val="none"/>
      <w:lvlText w:val=""/>
      <w:legacy w:legacy="1" w:legacySpace="120" w:legacyIndent="360"/>
      <w:lvlJc w:val="left"/>
      <w:pPr>
        <w:ind w:left="3447" w:hanging="360"/>
      </w:pPr>
      <w:rPr>
        <w:rFonts w:ascii="Wingdings" w:hAnsi="Wingdings" w:hint="default"/>
      </w:rPr>
    </w:lvl>
  </w:abstractNum>
  <w:abstractNum w:abstractNumId="44" w15:restartNumberingAfterBreak="0">
    <w:nsid w:val="7A3E72D1"/>
    <w:multiLevelType w:val="hybridMultilevel"/>
    <w:tmpl w:val="2800D4E8"/>
    <w:lvl w:ilvl="0" w:tplc="E52094A0">
      <w:start w:val="1"/>
      <w:numFmt w:val="bullet"/>
      <w:lvlText w:val=""/>
      <w:lvlJc w:val="left"/>
      <w:pPr>
        <w:tabs>
          <w:tab w:val="num" w:pos="600"/>
        </w:tabs>
        <w:ind w:left="600" w:hanging="360"/>
      </w:pPr>
      <w:rPr>
        <w:rFonts w:ascii="Symbol" w:hAnsi="Symbol" w:hint="default"/>
      </w:rPr>
    </w:lvl>
    <w:lvl w:ilvl="1" w:tplc="08090003" w:tentative="1">
      <w:start w:val="1"/>
      <w:numFmt w:val="bullet"/>
      <w:lvlText w:val="o"/>
      <w:lvlJc w:val="left"/>
      <w:pPr>
        <w:tabs>
          <w:tab w:val="num" w:pos="1320"/>
        </w:tabs>
        <w:ind w:left="1320" w:hanging="360"/>
      </w:pPr>
      <w:rPr>
        <w:rFonts w:ascii="Courier New" w:hAnsi="Courier New" w:cs="Courier New" w:hint="default"/>
      </w:rPr>
    </w:lvl>
    <w:lvl w:ilvl="2" w:tplc="08090005" w:tentative="1">
      <w:start w:val="1"/>
      <w:numFmt w:val="bullet"/>
      <w:lvlText w:val=""/>
      <w:lvlJc w:val="left"/>
      <w:pPr>
        <w:tabs>
          <w:tab w:val="num" w:pos="2040"/>
        </w:tabs>
        <w:ind w:left="2040" w:hanging="360"/>
      </w:pPr>
      <w:rPr>
        <w:rFonts w:ascii="Wingdings" w:hAnsi="Wingdings" w:hint="default"/>
      </w:rPr>
    </w:lvl>
    <w:lvl w:ilvl="3" w:tplc="08090001" w:tentative="1">
      <w:start w:val="1"/>
      <w:numFmt w:val="bullet"/>
      <w:lvlText w:val=""/>
      <w:lvlJc w:val="left"/>
      <w:pPr>
        <w:tabs>
          <w:tab w:val="num" w:pos="2760"/>
        </w:tabs>
        <w:ind w:left="2760" w:hanging="360"/>
      </w:pPr>
      <w:rPr>
        <w:rFonts w:ascii="Symbol" w:hAnsi="Symbol" w:hint="default"/>
      </w:rPr>
    </w:lvl>
    <w:lvl w:ilvl="4" w:tplc="08090003" w:tentative="1">
      <w:start w:val="1"/>
      <w:numFmt w:val="bullet"/>
      <w:lvlText w:val="o"/>
      <w:lvlJc w:val="left"/>
      <w:pPr>
        <w:tabs>
          <w:tab w:val="num" w:pos="3480"/>
        </w:tabs>
        <w:ind w:left="3480" w:hanging="360"/>
      </w:pPr>
      <w:rPr>
        <w:rFonts w:ascii="Courier New" w:hAnsi="Courier New" w:cs="Courier New" w:hint="default"/>
      </w:rPr>
    </w:lvl>
    <w:lvl w:ilvl="5" w:tplc="08090005" w:tentative="1">
      <w:start w:val="1"/>
      <w:numFmt w:val="bullet"/>
      <w:lvlText w:val=""/>
      <w:lvlJc w:val="left"/>
      <w:pPr>
        <w:tabs>
          <w:tab w:val="num" w:pos="4200"/>
        </w:tabs>
        <w:ind w:left="4200" w:hanging="360"/>
      </w:pPr>
      <w:rPr>
        <w:rFonts w:ascii="Wingdings" w:hAnsi="Wingdings" w:hint="default"/>
      </w:rPr>
    </w:lvl>
    <w:lvl w:ilvl="6" w:tplc="08090001" w:tentative="1">
      <w:start w:val="1"/>
      <w:numFmt w:val="bullet"/>
      <w:lvlText w:val=""/>
      <w:lvlJc w:val="left"/>
      <w:pPr>
        <w:tabs>
          <w:tab w:val="num" w:pos="4920"/>
        </w:tabs>
        <w:ind w:left="4920" w:hanging="360"/>
      </w:pPr>
      <w:rPr>
        <w:rFonts w:ascii="Symbol" w:hAnsi="Symbol" w:hint="default"/>
      </w:rPr>
    </w:lvl>
    <w:lvl w:ilvl="7" w:tplc="08090003" w:tentative="1">
      <w:start w:val="1"/>
      <w:numFmt w:val="bullet"/>
      <w:lvlText w:val="o"/>
      <w:lvlJc w:val="left"/>
      <w:pPr>
        <w:tabs>
          <w:tab w:val="num" w:pos="5640"/>
        </w:tabs>
        <w:ind w:left="5640" w:hanging="360"/>
      </w:pPr>
      <w:rPr>
        <w:rFonts w:ascii="Courier New" w:hAnsi="Courier New" w:cs="Courier New" w:hint="default"/>
      </w:rPr>
    </w:lvl>
    <w:lvl w:ilvl="8" w:tplc="08090005" w:tentative="1">
      <w:start w:val="1"/>
      <w:numFmt w:val="bullet"/>
      <w:lvlText w:val=""/>
      <w:lvlJc w:val="left"/>
      <w:pPr>
        <w:tabs>
          <w:tab w:val="num" w:pos="6360"/>
        </w:tabs>
        <w:ind w:left="6360" w:hanging="360"/>
      </w:pPr>
      <w:rPr>
        <w:rFonts w:ascii="Wingdings" w:hAnsi="Wingdings" w:hint="default"/>
      </w:rPr>
    </w:lvl>
  </w:abstractNum>
  <w:abstractNum w:abstractNumId="45" w15:restartNumberingAfterBreak="0">
    <w:nsid w:val="7EA4319B"/>
    <w:multiLevelType w:val="hybridMultilevel"/>
    <w:tmpl w:val="8206A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3"/>
  </w:num>
  <w:num w:numId="3">
    <w:abstractNumId w:val="35"/>
  </w:num>
  <w:num w:numId="4">
    <w:abstractNumId w:val="13"/>
  </w:num>
  <w:num w:numId="5">
    <w:abstractNumId w:val="38"/>
  </w:num>
  <w:num w:numId="6">
    <w:abstractNumId w:val="18"/>
  </w:num>
  <w:num w:numId="7">
    <w:abstractNumId w:val="31"/>
  </w:num>
  <w:num w:numId="8">
    <w:abstractNumId w:val="0"/>
  </w:num>
  <w:num w:numId="9">
    <w:abstractNumId w:val="23"/>
  </w:num>
  <w:num w:numId="10">
    <w:abstractNumId w:val="24"/>
  </w:num>
  <w:num w:numId="11">
    <w:abstractNumId w:val="20"/>
  </w:num>
  <w:num w:numId="12">
    <w:abstractNumId w:val="9"/>
  </w:num>
  <w:num w:numId="13">
    <w:abstractNumId w:val="37"/>
  </w:num>
  <w:num w:numId="14">
    <w:abstractNumId w:val="41"/>
  </w:num>
  <w:num w:numId="15">
    <w:abstractNumId w:val="2"/>
  </w:num>
  <w:num w:numId="16">
    <w:abstractNumId w:val="17"/>
  </w:num>
  <w:num w:numId="17">
    <w:abstractNumId w:val="45"/>
  </w:num>
  <w:num w:numId="18">
    <w:abstractNumId w:val="7"/>
  </w:num>
  <w:num w:numId="19">
    <w:abstractNumId w:val="6"/>
  </w:num>
  <w:num w:numId="20">
    <w:abstractNumId w:val="4"/>
  </w:num>
  <w:num w:numId="21">
    <w:abstractNumId w:val="8"/>
  </w:num>
  <w:num w:numId="22">
    <w:abstractNumId w:val="22"/>
  </w:num>
  <w:num w:numId="23">
    <w:abstractNumId w:val="15"/>
  </w:num>
  <w:num w:numId="24">
    <w:abstractNumId w:val="44"/>
  </w:num>
  <w:num w:numId="25">
    <w:abstractNumId w:val="36"/>
  </w:num>
  <w:num w:numId="26">
    <w:abstractNumId w:val="25"/>
  </w:num>
  <w:num w:numId="27">
    <w:abstractNumId w:val="39"/>
  </w:num>
  <w:num w:numId="28">
    <w:abstractNumId w:val="43"/>
  </w:num>
  <w:num w:numId="29">
    <w:abstractNumId w:val="5"/>
  </w:num>
  <w:num w:numId="30">
    <w:abstractNumId w:val="40"/>
  </w:num>
  <w:num w:numId="31">
    <w:abstractNumId w:val="34"/>
  </w:num>
  <w:num w:numId="32">
    <w:abstractNumId w:val="27"/>
  </w:num>
  <w:num w:numId="33">
    <w:abstractNumId w:val="19"/>
  </w:num>
  <w:num w:numId="34">
    <w:abstractNumId w:val="21"/>
  </w:num>
  <w:num w:numId="35">
    <w:abstractNumId w:val="29"/>
  </w:num>
  <w:num w:numId="36">
    <w:abstractNumId w:val="32"/>
  </w:num>
  <w:num w:numId="37">
    <w:abstractNumId w:val="28"/>
  </w:num>
  <w:num w:numId="38">
    <w:abstractNumId w:val="1"/>
  </w:num>
  <w:num w:numId="39">
    <w:abstractNumId w:val="3"/>
  </w:num>
  <w:num w:numId="40">
    <w:abstractNumId w:val="42"/>
  </w:num>
  <w:num w:numId="41">
    <w:abstractNumId w:val="26"/>
  </w:num>
  <w:num w:numId="42">
    <w:abstractNumId w:val="30"/>
  </w:num>
  <w:num w:numId="43">
    <w:abstractNumId w:val="11"/>
  </w:num>
  <w:num w:numId="44">
    <w:abstractNumId w:val="12"/>
  </w:num>
  <w:num w:numId="45">
    <w:abstractNumId w:val="10"/>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4D2"/>
    <w:rsid w:val="00005A0C"/>
    <w:rsid w:val="00010CD8"/>
    <w:rsid w:val="00021494"/>
    <w:rsid w:val="00023302"/>
    <w:rsid w:val="00027ED9"/>
    <w:rsid w:val="00033448"/>
    <w:rsid w:val="00052405"/>
    <w:rsid w:val="000578CA"/>
    <w:rsid w:val="000753B4"/>
    <w:rsid w:val="000914F1"/>
    <w:rsid w:val="00095B50"/>
    <w:rsid w:val="000A6940"/>
    <w:rsid w:val="000B2B3A"/>
    <w:rsid w:val="000E5848"/>
    <w:rsid w:val="000F6735"/>
    <w:rsid w:val="000F68F6"/>
    <w:rsid w:val="0010699D"/>
    <w:rsid w:val="00125045"/>
    <w:rsid w:val="00131E2F"/>
    <w:rsid w:val="001531DF"/>
    <w:rsid w:val="00154223"/>
    <w:rsid w:val="0016305B"/>
    <w:rsid w:val="0017291B"/>
    <w:rsid w:val="00186E84"/>
    <w:rsid w:val="001924D2"/>
    <w:rsid w:val="001A0BD4"/>
    <w:rsid w:val="001A4DFA"/>
    <w:rsid w:val="001B4B30"/>
    <w:rsid w:val="00210B99"/>
    <w:rsid w:val="00217A93"/>
    <w:rsid w:val="0022051A"/>
    <w:rsid w:val="00225086"/>
    <w:rsid w:val="00225C93"/>
    <w:rsid w:val="0022655B"/>
    <w:rsid w:val="00237BB0"/>
    <w:rsid w:val="00241896"/>
    <w:rsid w:val="0025798D"/>
    <w:rsid w:val="00272D65"/>
    <w:rsid w:val="002964CD"/>
    <w:rsid w:val="00296FC3"/>
    <w:rsid w:val="002D2374"/>
    <w:rsid w:val="002D7C6F"/>
    <w:rsid w:val="00306AF6"/>
    <w:rsid w:val="0031203E"/>
    <w:rsid w:val="00321F78"/>
    <w:rsid w:val="003224C2"/>
    <w:rsid w:val="00323400"/>
    <w:rsid w:val="003311D5"/>
    <w:rsid w:val="00332730"/>
    <w:rsid w:val="00336392"/>
    <w:rsid w:val="00336E82"/>
    <w:rsid w:val="00345133"/>
    <w:rsid w:val="00345571"/>
    <w:rsid w:val="003D1AB0"/>
    <w:rsid w:val="003F2D3E"/>
    <w:rsid w:val="004A2728"/>
    <w:rsid w:val="004C6FC6"/>
    <w:rsid w:val="00505C63"/>
    <w:rsid w:val="005104DE"/>
    <w:rsid w:val="00515F69"/>
    <w:rsid w:val="0054644A"/>
    <w:rsid w:val="005502AB"/>
    <w:rsid w:val="005546A4"/>
    <w:rsid w:val="00564E04"/>
    <w:rsid w:val="00593EF1"/>
    <w:rsid w:val="005C3679"/>
    <w:rsid w:val="005D215F"/>
    <w:rsid w:val="005E7EA9"/>
    <w:rsid w:val="005F3C51"/>
    <w:rsid w:val="00604E57"/>
    <w:rsid w:val="00605C9E"/>
    <w:rsid w:val="00621A89"/>
    <w:rsid w:val="006503A8"/>
    <w:rsid w:val="0065498F"/>
    <w:rsid w:val="0066001E"/>
    <w:rsid w:val="0068636D"/>
    <w:rsid w:val="00693925"/>
    <w:rsid w:val="006A5D9D"/>
    <w:rsid w:val="006E0A82"/>
    <w:rsid w:val="00703D6B"/>
    <w:rsid w:val="0072308F"/>
    <w:rsid w:val="00731618"/>
    <w:rsid w:val="00743F66"/>
    <w:rsid w:val="00752165"/>
    <w:rsid w:val="00796960"/>
    <w:rsid w:val="007A39B1"/>
    <w:rsid w:val="007A6CA5"/>
    <w:rsid w:val="007B4FCF"/>
    <w:rsid w:val="007D02C7"/>
    <w:rsid w:val="007D0441"/>
    <w:rsid w:val="007E0408"/>
    <w:rsid w:val="00801C5B"/>
    <w:rsid w:val="0085046A"/>
    <w:rsid w:val="00864DFC"/>
    <w:rsid w:val="008662A9"/>
    <w:rsid w:val="0087073D"/>
    <w:rsid w:val="00894B5F"/>
    <w:rsid w:val="00897C94"/>
    <w:rsid w:val="008C1497"/>
    <w:rsid w:val="008E6899"/>
    <w:rsid w:val="008F0F2C"/>
    <w:rsid w:val="0091743C"/>
    <w:rsid w:val="00925286"/>
    <w:rsid w:val="00932D5A"/>
    <w:rsid w:val="009375D9"/>
    <w:rsid w:val="0096594F"/>
    <w:rsid w:val="009B0122"/>
    <w:rsid w:val="009C0C93"/>
    <w:rsid w:val="009D24C5"/>
    <w:rsid w:val="009D2A44"/>
    <w:rsid w:val="009F081F"/>
    <w:rsid w:val="009F318A"/>
    <w:rsid w:val="00A104DF"/>
    <w:rsid w:val="00A16B1F"/>
    <w:rsid w:val="00A43DEB"/>
    <w:rsid w:val="00A56779"/>
    <w:rsid w:val="00A83A16"/>
    <w:rsid w:val="00A848B3"/>
    <w:rsid w:val="00AD5667"/>
    <w:rsid w:val="00AE1BAB"/>
    <w:rsid w:val="00B24160"/>
    <w:rsid w:val="00B478B7"/>
    <w:rsid w:val="00B6304E"/>
    <w:rsid w:val="00B73A34"/>
    <w:rsid w:val="00BA257A"/>
    <w:rsid w:val="00BB350E"/>
    <w:rsid w:val="00BE2849"/>
    <w:rsid w:val="00C16DD0"/>
    <w:rsid w:val="00C33422"/>
    <w:rsid w:val="00C519BC"/>
    <w:rsid w:val="00C767B8"/>
    <w:rsid w:val="00C7687B"/>
    <w:rsid w:val="00C8563B"/>
    <w:rsid w:val="00CA2B0C"/>
    <w:rsid w:val="00CA7B52"/>
    <w:rsid w:val="00CF1731"/>
    <w:rsid w:val="00CF5D89"/>
    <w:rsid w:val="00D428B3"/>
    <w:rsid w:val="00D537E0"/>
    <w:rsid w:val="00D609DC"/>
    <w:rsid w:val="00D7381C"/>
    <w:rsid w:val="00D75E20"/>
    <w:rsid w:val="00D812EA"/>
    <w:rsid w:val="00D86756"/>
    <w:rsid w:val="00D90174"/>
    <w:rsid w:val="00D96E0B"/>
    <w:rsid w:val="00D97C4F"/>
    <w:rsid w:val="00DB6D1A"/>
    <w:rsid w:val="00DE1F45"/>
    <w:rsid w:val="00DE60FB"/>
    <w:rsid w:val="00DE6FCF"/>
    <w:rsid w:val="00DF7DF9"/>
    <w:rsid w:val="00E708AF"/>
    <w:rsid w:val="00E860FD"/>
    <w:rsid w:val="00EB2789"/>
    <w:rsid w:val="00ED072C"/>
    <w:rsid w:val="00ED7E0E"/>
    <w:rsid w:val="00EE1B5D"/>
    <w:rsid w:val="00F17186"/>
    <w:rsid w:val="00F67E87"/>
    <w:rsid w:val="00FE6844"/>
    <w:rsid w:val="00FF2BD9"/>
    <w:rsid w:val="00FF56E9"/>
    <w:rsid w:val="00FF5CDB"/>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5:docId w15:val="{02C1551D-078E-461B-98DD-2BBD1C4D6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uiPriority w:val="59"/>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iPriority w:val="99"/>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3F2D3E"/>
    <w:rPr>
      <w:sz w:val="24"/>
      <w:szCs w:val="24"/>
      <w:lang w:eastAsia="en-US"/>
    </w:rPr>
  </w:style>
  <w:style w:type="character" w:styleId="CommentReference">
    <w:name w:val="annotation reference"/>
    <w:rsid w:val="00AD5667"/>
    <w:rPr>
      <w:sz w:val="16"/>
      <w:szCs w:val="16"/>
    </w:rPr>
  </w:style>
  <w:style w:type="paragraph" w:styleId="CommentText">
    <w:name w:val="annotation text"/>
    <w:basedOn w:val="Normal"/>
    <w:link w:val="CommentTextChar"/>
    <w:rsid w:val="00AD5667"/>
    <w:rPr>
      <w:sz w:val="20"/>
      <w:szCs w:val="20"/>
    </w:rPr>
  </w:style>
  <w:style w:type="character" w:customStyle="1" w:styleId="CommentTextChar">
    <w:name w:val="Comment Text Char"/>
    <w:basedOn w:val="DefaultParagraphFont"/>
    <w:link w:val="CommentText"/>
    <w:rsid w:val="00AD5667"/>
  </w:style>
  <w:style w:type="paragraph" w:styleId="CommentSubject">
    <w:name w:val="annotation subject"/>
    <w:basedOn w:val="CommentText"/>
    <w:next w:val="CommentText"/>
    <w:link w:val="CommentSubjectChar"/>
    <w:rsid w:val="00AD5667"/>
    <w:rPr>
      <w:b/>
      <w:bCs/>
    </w:rPr>
  </w:style>
  <w:style w:type="character" w:customStyle="1" w:styleId="CommentSubjectChar">
    <w:name w:val="Comment Subject Char"/>
    <w:link w:val="CommentSubject"/>
    <w:rsid w:val="00AD56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257817">
      <w:bodyDiv w:val="1"/>
      <w:marLeft w:val="0"/>
      <w:marRight w:val="0"/>
      <w:marTop w:val="0"/>
      <w:marBottom w:val="0"/>
      <w:divBdr>
        <w:top w:val="none" w:sz="0" w:space="0" w:color="auto"/>
        <w:left w:val="none" w:sz="0" w:space="0" w:color="auto"/>
        <w:bottom w:val="none" w:sz="0" w:space="0" w:color="auto"/>
        <w:right w:val="none" w:sz="0" w:space="0" w:color="auto"/>
      </w:divBdr>
    </w:div>
    <w:div w:id="413935332">
      <w:bodyDiv w:val="1"/>
      <w:marLeft w:val="0"/>
      <w:marRight w:val="0"/>
      <w:marTop w:val="0"/>
      <w:marBottom w:val="0"/>
      <w:divBdr>
        <w:top w:val="none" w:sz="0" w:space="0" w:color="auto"/>
        <w:left w:val="none" w:sz="0" w:space="0" w:color="auto"/>
        <w:bottom w:val="none" w:sz="0" w:space="0" w:color="auto"/>
        <w:right w:val="none" w:sz="0" w:space="0" w:color="auto"/>
      </w:divBdr>
    </w:div>
    <w:div w:id="1352948056">
      <w:bodyDiv w:val="1"/>
      <w:marLeft w:val="0"/>
      <w:marRight w:val="0"/>
      <w:marTop w:val="0"/>
      <w:marBottom w:val="0"/>
      <w:divBdr>
        <w:top w:val="none" w:sz="0" w:space="0" w:color="auto"/>
        <w:left w:val="none" w:sz="0" w:space="0" w:color="auto"/>
        <w:bottom w:val="none" w:sz="0" w:space="0" w:color="auto"/>
        <w:right w:val="none" w:sz="0" w:space="0" w:color="auto"/>
      </w:divBdr>
    </w:div>
    <w:div w:id="1400439151">
      <w:bodyDiv w:val="1"/>
      <w:marLeft w:val="0"/>
      <w:marRight w:val="0"/>
      <w:marTop w:val="0"/>
      <w:marBottom w:val="0"/>
      <w:divBdr>
        <w:top w:val="none" w:sz="0" w:space="0" w:color="auto"/>
        <w:left w:val="none" w:sz="0" w:space="0" w:color="auto"/>
        <w:bottom w:val="none" w:sz="0" w:space="0" w:color="auto"/>
        <w:right w:val="none" w:sz="0" w:space="0" w:color="auto"/>
      </w:divBdr>
    </w:div>
    <w:div w:id="1492064033">
      <w:bodyDiv w:val="1"/>
      <w:marLeft w:val="0"/>
      <w:marRight w:val="0"/>
      <w:marTop w:val="0"/>
      <w:marBottom w:val="0"/>
      <w:divBdr>
        <w:top w:val="none" w:sz="0" w:space="0" w:color="auto"/>
        <w:left w:val="none" w:sz="0" w:space="0" w:color="auto"/>
        <w:bottom w:val="none" w:sz="0" w:space="0" w:color="auto"/>
        <w:right w:val="none" w:sz="0" w:space="0" w:color="auto"/>
      </w:divBdr>
    </w:div>
    <w:div w:id="1525435767">
      <w:bodyDiv w:val="1"/>
      <w:marLeft w:val="0"/>
      <w:marRight w:val="0"/>
      <w:marTop w:val="0"/>
      <w:marBottom w:val="0"/>
      <w:divBdr>
        <w:top w:val="none" w:sz="0" w:space="0" w:color="auto"/>
        <w:left w:val="none" w:sz="0" w:space="0" w:color="auto"/>
        <w:bottom w:val="none" w:sz="0" w:space="0" w:color="auto"/>
        <w:right w:val="none" w:sz="0" w:space="0" w:color="auto"/>
      </w:divBdr>
    </w:div>
    <w:div w:id="183502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D367C3-4B32-4486-876C-68D5FF4CE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Level 2 EFK Manual</vt:lpstr>
    </vt:vector>
  </TitlesOfParts>
  <Company>Sprint Academy</Company>
  <LinksUpToDate>false</LinksUpToDate>
  <CharactersWithSpaces>9123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Richard Moore</dc:creator>
  <cp:lastModifiedBy>Fiona Freel</cp:lastModifiedBy>
  <cp:revision>4</cp:revision>
  <cp:lastPrinted>2015-12-17T15:40:00Z</cp:lastPrinted>
  <dcterms:created xsi:type="dcterms:W3CDTF">2015-02-18T21:26:00Z</dcterms:created>
  <dcterms:modified xsi:type="dcterms:W3CDTF">2015-12-17T15:40:00Z</dcterms:modified>
</cp:coreProperties>
</file>