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849" w:rsidRPr="00B24160" w:rsidRDefault="007E0408" w:rsidP="00BE2849">
      <w:pPr>
        <w:pBdr>
          <w:top w:val="single" w:sz="6" w:space="1" w:color="auto"/>
          <w:bottom w:val="single" w:sz="6" w:space="1" w:color="auto"/>
        </w:pBdr>
        <w:rPr>
          <w:rFonts w:ascii="Arial" w:hAnsi="Arial" w:cs="Arial"/>
          <w:b/>
          <w:color w:val="000000"/>
        </w:rPr>
      </w:pPr>
      <w:r>
        <w:rPr>
          <w:rFonts w:ascii="Arial" w:hAnsi="Arial" w:cs="Arial"/>
          <w:bCs/>
          <w:color w:val="FF0000"/>
          <w:sz w:val="32"/>
          <w:szCs w:val="27"/>
        </w:rPr>
        <w:t>20</w:t>
      </w:r>
      <w:r w:rsidR="007A6CA5">
        <w:rPr>
          <w:rFonts w:ascii="Arial" w:hAnsi="Arial" w:cs="Arial"/>
          <w:bCs/>
          <w:color w:val="FF0000"/>
          <w:sz w:val="32"/>
          <w:szCs w:val="27"/>
        </w:rPr>
        <w:t>3</w:t>
      </w:r>
      <w:r>
        <w:rPr>
          <w:rFonts w:ascii="Arial" w:hAnsi="Arial" w:cs="Arial"/>
          <w:bCs/>
          <w:color w:val="FF0000"/>
          <w:sz w:val="32"/>
          <w:szCs w:val="27"/>
        </w:rPr>
        <w:t xml:space="preserve">: </w:t>
      </w:r>
      <w:r w:rsidR="007A6CA5">
        <w:rPr>
          <w:rFonts w:ascii="Arial" w:hAnsi="Arial" w:cs="Arial"/>
          <w:bCs/>
          <w:color w:val="FF0000"/>
          <w:sz w:val="32"/>
          <w:szCs w:val="27"/>
        </w:rPr>
        <w:t>Electrical installations technology</w:t>
      </w:r>
      <w:r w:rsidR="00B6304E">
        <w:rPr>
          <w:rFonts w:ascii="Arial" w:hAnsi="Arial" w:cs="Arial"/>
          <w:bCs/>
          <w:color w:val="FF0000"/>
          <w:sz w:val="32"/>
          <w:szCs w:val="27"/>
        </w:rPr>
        <w:br/>
      </w:r>
      <w:r w:rsidR="00BE2849" w:rsidRPr="00B24160">
        <w:rPr>
          <w:rFonts w:ascii="Arial" w:hAnsi="Arial" w:cs="Arial"/>
          <w:b/>
          <w:color w:val="000000"/>
        </w:rPr>
        <w:t>Handout</w:t>
      </w:r>
      <w:r w:rsidR="00B6304E" w:rsidRPr="00B24160">
        <w:rPr>
          <w:rFonts w:ascii="Arial" w:hAnsi="Arial" w:cs="Arial"/>
          <w:b/>
          <w:color w:val="000000"/>
        </w:rPr>
        <w:t> </w:t>
      </w:r>
      <w:r w:rsidR="00426F02">
        <w:rPr>
          <w:rFonts w:ascii="Arial" w:hAnsi="Arial" w:cs="Arial"/>
          <w:b/>
          <w:color w:val="000000"/>
        </w:rPr>
        <w:t>5</w:t>
      </w:r>
      <w:r w:rsidR="00BE2849" w:rsidRPr="00B24160">
        <w:rPr>
          <w:rFonts w:ascii="Arial" w:hAnsi="Arial" w:cs="Arial"/>
          <w:b/>
          <w:color w:val="000000"/>
        </w:rPr>
        <w:t xml:space="preserve">: </w:t>
      </w:r>
      <w:r w:rsidR="00F7376D">
        <w:rPr>
          <w:rFonts w:ascii="Arial" w:hAnsi="Arial" w:cs="Arial"/>
          <w:b/>
        </w:rPr>
        <w:t>Socket</w:t>
      </w:r>
      <w:r w:rsidR="00C74991">
        <w:rPr>
          <w:rFonts w:ascii="Arial" w:hAnsi="Arial" w:cs="Arial"/>
          <w:b/>
        </w:rPr>
        <w:t xml:space="preserve"> </w:t>
      </w:r>
      <w:r w:rsidR="00730534">
        <w:rPr>
          <w:rFonts w:ascii="Arial" w:hAnsi="Arial" w:cs="Arial"/>
          <w:b/>
        </w:rPr>
        <w:t>circuits</w:t>
      </w:r>
    </w:p>
    <w:p w:rsidR="007E0408" w:rsidRPr="007E0408" w:rsidRDefault="007E0408" w:rsidP="00004DF4">
      <w:pPr>
        <w:pStyle w:val="Default"/>
        <w:spacing w:before="120"/>
        <w:rPr>
          <w:color w:val="auto"/>
          <w:sz w:val="22"/>
          <w:szCs w:val="22"/>
        </w:rPr>
      </w:pPr>
      <w:r w:rsidRPr="007E0408">
        <w:rPr>
          <w:b/>
          <w:bCs/>
          <w:color w:val="auto"/>
          <w:sz w:val="22"/>
          <w:szCs w:val="22"/>
        </w:rPr>
        <w:t>Learning outcome</w:t>
      </w:r>
    </w:p>
    <w:p w:rsidR="007E0408" w:rsidRPr="007E0408" w:rsidRDefault="007E0408" w:rsidP="00004DF4">
      <w:pPr>
        <w:pStyle w:val="Default"/>
        <w:rPr>
          <w:color w:val="auto"/>
          <w:sz w:val="22"/>
          <w:szCs w:val="22"/>
        </w:rPr>
      </w:pPr>
      <w:r w:rsidRPr="007E0408">
        <w:rPr>
          <w:color w:val="auto"/>
          <w:sz w:val="22"/>
          <w:szCs w:val="22"/>
        </w:rPr>
        <w:t>The learner will:</w:t>
      </w:r>
    </w:p>
    <w:p w:rsidR="007E0408" w:rsidRDefault="00EC6823" w:rsidP="00004DF4">
      <w:pPr>
        <w:pStyle w:val="Default"/>
        <w:numPr>
          <w:ilvl w:val="0"/>
          <w:numId w:val="1"/>
        </w:numPr>
        <w:spacing w:after="120"/>
        <w:rPr>
          <w:color w:val="auto"/>
          <w:sz w:val="22"/>
          <w:szCs w:val="22"/>
        </w:rPr>
      </w:pPr>
      <w:r>
        <w:rPr>
          <w:color w:val="auto"/>
          <w:sz w:val="22"/>
          <w:szCs w:val="22"/>
        </w:rPr>
        <w:t>k</w:t>
      </w:r>
      <w:r w:rsidR="007E0408" w:rsidRPr="007E0408">
        <w:rPr>
          <w:color w:val="auto"/>
          <w:sz w:val="22"/>
          <w:szCs w:val="22"/>
        </w:rPr>
        <w:t>no</w:t>
      </w:r>
      <w:r w:rsidR="007E0408">
        <w:rPr>
          <w:color w:val="auto"/>
          <w:sz w:val="22"/>
          <w:szCs w:val="22"/>
        </w:rPr>
        <w:t xml:space="preserve">w </w:t>
      </w:r>
      <w:r w:rsidR="00C74991" w:rsidRPr="00684ECA">
        <w:rPr>
          <w:sz w:val="22"/>
          <w:szCs w:val="22"/>
        </w:rPr>
        <w:t>wiring systems of electrical installations</w:t>
      </w:r>
      <w:r>
        <w:rPr>
          <w:sz w:val="22"/>
          <w:szCs w:val="22"/>
        </w:rPr>
        <w:t>.</w:t>
      </w:r>
    </w:p>
    <w:p w:rsidR="007E0408" w:rsidRPr="007E0408" w:rsidRDefault="007E0408" w:rsidP="00004DF4">
      <w:pPr>
        <w:pStyle w:val="Default"/>
        <w:rPr>
          <w:color w:val="auto"/>
          <w:sz w:val="22"/>
          <w:szCs w:val="22"/>
        </w:rPr>
      </w:pPr>
      <w:r w:rsidRPr="007E0408">
        <w:rPr>
          <w:b/>
          <w:bCs/>
          <w:color w:val="auto"/>
          <w:sz w:val="22"/>
          <w:szCs w:val="22"/>
        </w:rPr>
        <w:t xml:space="preserve">Assessment </w:t>
      </w:r>
      <w:r w:rsidR="00EC6823">
        <w:rPr>
          <w:b/>
          <w:bCs/>
          <w:color w:val="auto"/>
          <w:sz w:val="22"/>
          <w:szCs w:val="22"/>
        </w:rPr>
        <w:t>c</w:t>
      </w:r>
      <w:r w:rsidRPr="007E0408">
        <w:rPr>
          <w:b/>
          <w:bCs/>
          <w:color w:val="auto"/>
          <w:sz w:val="22"/>
          <w:szCs w:val="22"/>
        </w:rPr>
        <w:t>riteria</w:t>
      </w:r>
    </w:p>
    <w:p w:rsidR="007E0408" w:rsidRPr="007E0408" w:rsidRDefault="007E0408" w:rsidP="00004DF4">
      <w:pPr>
        <w:pStyle w:val="Default"/>
        <w:rPr>
          <w:color w:val="auto"/>
          <w:sz w:val="22"/>
          <w:szCs w:val="22"/>
        </w:rPr>
      </w:pPr>
      <w:r>
        <w:rPr>
          <w:color w:val="auto"/>
          <w:sz w:val="22"/>
          <w:szCs w:val="22"/>
        </w:rPr>
        <w:t>The learner can:</w:t>
      </w:r>
    </w:p>
    <w:p w:rsidR="00C74991" w:rsidRDefault="00C74991" w:rsidP="00004DF4">
      <w:pPr>
        <w:pStyle w:val="Default"/>
        <w:spacing w:after="120"/>
        <w:ind w:left="567" w:hanging="567"/>
        <w:rPr>
          <w:b/>
          <w:bCs/>
          <w:sz w:val="22"/>
          <w:szCs w:val="22"/>
        </w:rPr>
      </w:pPr>
      <w:r>
        <w:rPr>
          <w:sz w:val="22"/>
          <w:szCs w:val="22"/>
        </w:rPr>
        <w:t>3</w:t>
      </w:r>
      <w:r w:rsidR="003236F5">
        <w:rPr>
          <w:sz w:val="22"/>
          <w:szCs w:val="22"/>
        </w:rPr>
        <w:t>.</w:t>
      </w:r>
      <w:r>
        <w:rPr>
          <w:sz w:val="22"/>
          <w:szCs w:val="22"/>
        </w:rPr>
        <w:t>1</w:t>
      </w:r>
      <w:r w:rsidR="003236F5">
        <w:rPr>
          <w:sz w:val="22"/>
          <w:szCs w:val="22"/>
        </w:rPr>
        <w:tab/>
      </w:r>
      <w:r w:rsidR="00EC6823">
        <w:rPr>
          <w:sz w:val="22"/>
          <w:szCs w:val="22"/>
        </w:rPr>
        <w:t>d</w:t>
      </w:r>
      <w:r w:rsidRPr="00684ECA">
        <w:rPr>
          <w:sz w:val="22"/>
          <w:szCs w:val="22"/>
        </w:rPr>
        <w:t xml:space="preserve">escribe principles of operation of different </w:t>
      </w:r>
      <w:r w:rsidRPr="00684ECA">
        <w:rPr>
          <w:b/>
          <w:bCs/>
          <w:sz w:val="22"/>
          <w:szCs w:val="22"/>
        </w:rPr>
        <w:t>circuit types</w:t>
      </w:r>
      <w:r w:rsidR="00EC6823">
        <w:rPr>
          <w:b/>
          <w:bCs/>
          <w:sz w:val="22"/>
          <w:szCs w:val="22"/>
        </w:rPr>
        <w:t>.</w:t>
      </w:r>
    </w:p>
    <w:p w:rsidR="007E0408" w:rsidRDefault="007E0408" w:rsidP="00C71533">
      <w:pPr>
        <w:pStyle w:val="Default"/>
        <w:rPr>
          <w:b/>
          <w:bCs/>
          <w:color w:val="auto"/>
          <w:sz w:val="22"/>
          <w:szCs w:val="22"/>
        </w:rPr>
      </w:pPr>
      <w:r w:rsidRPr="007E0408">
        <w:rPr>
          <w:b/>
          <w:bCs/>
          <w:color w:val="auto"/>
          <w:sz w:val="22"/>
          <w:szCs w:val="22"/>
        </w:rPr>
        <w:t>Range</w:t>
      </w:r>
    </w:p>
    <w:p w:rsidR="00C74991" w:rsidRDefault="00C74991" w:rsidP="00C71533">
      <w:pPr>
        <w:pStyle w:val="Default"/>
        <w:rPr>
          <w:sz w:val="22"/>
          <w:szCs w:val="22"/>
        </w:rPr>
      </w:pPr>
      <w:r w:rsidRPr="00FB6A20">
        <w:rPr>
          <w:b/>
          <w:bCs/>
          <w:sz w:val="22"/>
          <w:szCs w:val="22"/>
        </w:rPr>
        <w:t>Circuit types</w:t>
      </w:r>
      <w:r>
        <w:rPr>
          <w:sz w:val="22"/>
          <w:szCs w:val="22"/>
        </w:rPr>
        <w:t xml:space="preserve">: </w:t>
      </w:r>
      <w:r w:rsidRPr="00FB6A20">
        <w:rPr>
          <w:sz w:val="22"/>
          <w:szCs w:val="22"/>
        </w:rPr>
        <w:t>Lighting, power and heating, alarm and emergency systems, data communications, control circuits, ring final, radial.</w:t>
      </w:r>
    </w:p>
    <w:p w:rsidR="00C71533" w:rsidRDefault="00543582" w:rsidP="00C71533">
      <w:pPr>
        <w:pStyle w:val="Default"/>
        <w:spacing w:after="120"/>
        <w:jc w:val="center"/>
        <w:rPr>
          <w:sz w:val="22"/>
          <w:szCs w:val="22"/>
        </w:rPr>
      </w:pPr>
      <w:r>
        <w:rPr>
          <w:sz w:val="22"/>
          <w:szCs w:val="22"/>
        </w:rPr>
        <w:pict>
          <v:rect id="_x0000_i1025" style="width:0;height:1.5pt" o:hralign="center" o:hrstd="t" o:hr="t" fillcolor="#a0a0a0" stroked="f"/>
        </w:pict>
      </w:r>
    </w:p>
    <w:p w:rsidR="00B24160" w:rsidRPr="00C71533" w:rsidRDefault="00F7376D" w:rsidP="00C71533">
      <w:pPr>
        <w:pStyle w:val="Default"/>
        <w:spacing w:after="120"/>
        <w:jc w:val="center"/>
        <w:rPr>
          <w:color w:val="auto"/>
        </w:rPr>
      </w:pPr>
      <w:r w:rsidRPr="00C71533">
        <w:rPr>
          <w:b/>
        </w:rPr>
        <w:t>Socket</w:t>
      </w:r>
      <w:r w:rsidR="00C74991" w:rsidRPr="00C71533">
        <w:rPr>
          <w:b/>
        </w:rPr>
        <w:t xml:space="preserve"> circuit</w:t>
      </w:r>
      <w:r w:rsidR="00B128C6" w:rsidRPr="00C71533">
        <w:rPr>
          <w:b/>
        </w:rPr>
        <w:t>s</w:t>
      </w:r>
    </w:p>
    <w:p w:rsidR="007A245D" w:rsidRPr="007A245D" w:rsidRDefault="00444B8A" w:rsidP="00004DF4">
      <w:pPr>
        <w:tabs>
          <w:tab w:val="left" w:pos="-567"/>
        </w:tabs>
        <w:spacing w:after="120"/>
        <w:rPr>
          <w:rFonts w:ascii="Arial" w:hAnsi="Arial" w:cs="Arial"/>
          <w:sz w:val="22"/>
          <w:szCs w:val="22"/>
        </w:rPr>
      </w:pPr>
      <w:r w:rsidRPr="007A245D">
        <w:rPr>
          <w:rFonts w:ascii="Arial" w:hAnsi="Arial" w:cs="Arial"/>
          <w:sz w:val="22"/>
          <w:szCs w:val="22"/>
        </w:rPr>
        <w:t>Socket circuits are used to easily connect the wide range of electrical and electronic appliances to the mains supply using a plug and socket arrangement</w:t>
      </w:r>
      <w:r w:rsidR="007A245D" w:rsidRPr="007A245D">
        <w:rPr>
          <w:rFonts w:ascii="Arial" w:hAnsi="Arial" w:cs="Arial"/>
          <w:sz w:val="22"/>
          <w:szCs w:val="22"/>
        </w:rPr>
        <w:t>.</w:t>
      </w:r>
    </w:p>
    <w:p w:rsidR="00444B8A" w:rsidRPr="007A245D" w:rsidRDefault="00444B8A" w:rsidP="00004DF4">
      <w:pPr>
        <w:tabs>
          <w:tab w:val="left" w:pos="-567"/>
        </w:tabs>
        <w:spacing w:after="120"/>
        <w:rPr>
          <w:rFonts w:ascii="Arial" w:hAnsi="Arial" w:cs="Arial"/>
          <w:sz w:val="22"/>
          <w:szCs w:val="22"/>
        </w:rPr>
      </w:pPr>
      <w:r w:rsidRPr="007A245D">
        <w:rPr>
          <w:rFonts w:ascii="Arial" w:hAnsi="Arial" w:cs="Arial"/>
          <w:sz w:val="22"/>
          <w:szCs w:val="22"/>
        </w:rPr>
        <w:t>A flexible cord</w:t>
      </w:r>
      <w:r w:rsidR="00EC6823">
        <w:rPr>
          <w:rFonts w:ascii="Arial" w:hAnsi="Arial" w:cs="Arial"/>
          <w:sz w:val="22"/>
          <w:szCs w:val="22"/>
        </w:rPr>
        <w:t>,</w:t>
      </w:r>
      <w:r w:rsidRPr="007A245D">
        <w:rPr>
          <w:rFonts w:ascii="Arial" w:hAnsi="Arial" w:cs="Arial"/>
          <w:sz w:val="22"/>
          <w:szCs w:val="22"/>
        </w:rPr>
        <w:t xml:space="preserve"> normally not longer than 2 metres</w:t>
      </w:r>
      <w:r w:rsidR="00EC6823">
        <w:rPr>
          <w:rFonts w:ascii="Arial" w:hAnsi="Arial" w:cs="Arial"/>
          <w:sz w:val="22"/>
          <w:szCs w:val="22"/>
        </w:rPr>
        <w:t>,</w:t>
      </w:r>
      <w:r w:rsidRPr="007A245D">
        <w:rPr>
          <w:rFonts w:ascii="Arial" w:hAnsi="Arial" w:cs="Arial"/>
          <w:sz w:val="22"/>
          <w:szCs w:val="22"/>
        </w:rPr>
        <w:t xml:space="preserve"> connects the appliance to the plug top</w:t>
      </w:r>
      <w:r w:rsidR="00EC6823">
        <w:rPr>
          <w:rFonts w:ascii="Arial" w:hAnsi="Arial" w:cs="Arial"/>
          <w:sz w:val="22"/>
          <w:szCs w:val="22"/>
        </w:rPr>
        <w:t>,</w:t>
      </w:r>
      <w:r w:rsidRPr="007A245D">
        <w:rPr>
          <w:rFonts w:ascii="Arial" w:hAnsi="Arial" w:cs="Arial"/>
          <w:sz w:val="22"/>
          <w:szCs w:val="22"/>
        </w:rPr>
        <w:t xml:space="preserve"> which is then inserted into a conveniently located socket outlet.</w:t>
      </w:r>
    </w:p>
    <w:p w:rsidR="007A245D" w:rsidRPr="007A245D" w:rsidRDefault="008A7C91" w:rsidP="00004DF4">
      <w:pPr>
        <w:tabs>
          <w:tab w:val="left" w:pos="-567"/>
        </w:tabs>
        <w:spacing w:after="120"/>
        <w:rPr>
          <w:rFonts w:ascii="Arial" w:hAnsi="Arial" w:cs="Arial"/>
          <w:sz w:val="22"/>
          <w:szCs w:val="22"/>
        </w:rPr>
      </w:pPr>
      <w:r w:rsidRPr="007A245D">
        <w:rPr>
          <w:rFonts w:ascii="Arial" w:hAnsi="Arial" w:cs="Arial"/>
          <w:sz w:val="22"/>
          <w:szCs w:val="22"/>
        </w:rPr>
        <w:t>BS 7671 Regulation 553.1.</w:t>
      </w:r>
      <w:r w:rsidR="00004DF4">
        <w:rPr>
          <w:rFonts w:ascii="Arial" w:hAnsi="Arial" w:cs="Arial"/>
          <w:sz w:val="22"/>
          <w:szCs w:val="22"/>
        </w:rPr>
        <w:t>201</w:t>
      </w:r>
      <w:r w:rsidRPr="007A245D">
        <w:rPr>
          <w:rFonts w:ascii="Arial" w:hAnsi="Arial" w:cs="Arial"/>
          <w:sz w:val="22"/>
          <w:szCs w:val="22"/>
        </w:rPr>
        <w:t xml:space="preserve"> states that, </w:t>
      </w:r>
      <w:r w:rsidR="00EC6823">
        <w:rPr>
          <w:rFonts w:ascii="Arial" w:hAnsi="Arial" w:cs="Arial"/>
          <w:i/>
          <w:sz w:val="22"/>
          <w:szCs w:val="22"/>
        </w:rPr>
        <w:t>‘E</w:t>
      </w:r>
      <w:r w:rsidRPr="007A245D">
        <w:rPr>
          <w:rFonts w:ascii="Arial" w:hAnsi="Arial" w:cs="Arial"/>
          <w:i/>
          <w:sz w:val="22"/>
          <w:szCs w:val="22"/>
        </w:rPr>
        <w:t>very socket</w:t>
      </w:r>
      <w:r w:rsidRPr="007A245D">
        <w:rPr>
          <w:rFonts w:ascii="Arial" w:hAnsi="Arial" w:cs="Arial"/>
          <w:i/>
          <w:sz w:val="22"/>
          <w:szCs w:val="22"/>
        </w:rPr>
        <w:noBreakHyphen/>
        <w:t>outlet for household and similar use shall be of the shuttered type and, for an a</w:t>
      </w:r>
      <w:r w:rsidR="00EC6823">
        <w:rPr>
          <w:rFonts w:ascii="Arial" w:hAnsi="Arial" w:cs="Arial"/>
          <w:i/>
          <w:sz w:val="22"/>
          <w:szCs w:val="22"/>
        </w:rPr>
        <w:t>.</w:t>
      </w:r>
      <w:r w:rsidRPr="007A245D">
        <w:rPr>
          <w:rFonts w:ascii="Arial" w:hAnsi="Arial" w:cs="Arial"/>
          <w:i/>
          <w:sz w:val="22"/>
          <w:szCs w:val="22"/>
        </w:rPr>
        <w:t>c</w:t>
      </w:r>
      <w:r w:rsidR="00EC6823">
        <w:rPr>
          <w:rFonts w:ascii="Arial" w:hAnsi="Arial" w:cs="Arial"/>
          <w:i/>
          <w:sz w:val="22"/>
          <w:szCs w:val="22"/>
        </w:rPr>
        <w:t>.</w:t>
      </w:r>
      <w:r w:rsidRPr="007A245D">
        <w:rPr>
          <w:rFonts w:ascii="Arial" w:hAnsi="Arial" w:cs="Arial"/>
          <w:i/>
          <w:sz w:val="22"/>
          <w:szCs w:val="22"/>
        </w:rPr>
        <w:t xml:space="preserve"> installation, shall preferably be of a type complying with BS 1363’</w:t>
      </w:r>
      <w:r w:rsidR="007A245D" w:rsidRPr="007A245D">
        <w:rPr>
          <w:rFonts w:ascii="Arial" w:hAnsi="Arial" w:cs="Arial"/>
          <w:sz w:val="22"/>
          <w:szCs w:val="22"/>
        </w:rPr>
        <w:t>.</w:t>
      </w:r>
    </w:p>
    <w:p w:rsidR="004D3B7E" w:rsidRPr="007A245D" w:rsidRDefault="008A7C91" w:rsidP="00004DF4">
      <w:pPr>
        <w:tabs>
          <w:tab w:val="left" w:pos="-567"/>
        </w:tabs>
        <w:spacing w:after="120"/>
        <w:rPr>
          <w:rFonts w:ascii="Arial" w:hAnsi="Arial" w:cs="Arial"/>
          <w:sz w:val="22"/>
          <w:szCs w:val="22"/>
        </w:rPr>
      </w:pPr>
      <w:r w:rsidRPr="007A245D">
        <w:rPr>
          <w:rFonts w:ascii="Arial" w:hAnsi="Arial" w:cs="Arial"/>
          <w:sz w:val="22"/>
          <w:szCs w:val="22"/>
        </w:rPr>
        <w:t>Various current ratings are available but th</w:t>
      </w:r>
      <w:r w:rsidR="004D3B7E" w:rsidRPr="007A245D">
        <w:rPr>
          <w:rFonts w:ascii="Arial" w:hAnsi="Arial" w:cs="Arial"/>
          <w:sz w:val="22"/>
          <w:szCs w:val="22"/>
        </w:rPr>
        <w:t>e 13</w:t>
      </w:r>
      <w:r w:rsidRPr="007A245D">
        <w:rPr>
          <w:rFonts w:ascii="Arial" w:hAnsi="Arial" w:cs="Arial"/>
          <w:sz w:val="22"/>
          <w:szCs w:val="22"/>
        </w:rPr>
        <w:noBreakHyphen/>
      </w:r>
      <w:r w:rsidR="004D3B7E" w:rsidRPr="007A245D">
        <w:rPr>
          <w:rFonts w:ascii="Arial" w:hAnsi="Arial" w:cs="Arial"/>
          <w:sz w:val="22"/>
          <w:szCs w:val="22"/>
        </w:rPr>
        <w:t xml:space="preserve">ampere flat pin type </w:t>
      </w:r>
      <w:r w:rsidRPr="007A245D">
        <w:rPr>
          <w:rFonts w:ascii="Arial" w:hAnsi="Arial" w:cs="Arial"/>
          <w:sz w:val="22"/>
          <w:szCs w:val="22"/>
        </w:rPr>
        <w:t>is the most commonly encountered in Great Britain</w:t>
      </w:r>
      <w:r w:rsidR="00EC6823">
        <w:rPr>
          <w:rFonts w:ascii="Arial" w:hAnsi="Arial" w:cs="Arial"/>
          <w:sz w:val="22"/>
          <w:szCs w:val="22"/>
        </w:rPr>
        <w:t>,</w:t>
      </w:r>
      <w:r w:rsidRPr="007A245D">
        <w:rPr>
          <w:rFonts w:ascii="Arial" w:hAnsi="Arial" w:cs="Arial"/>
          <w:sz w:val="22"/>
          <w:szCs w:val="22"/>
        </w:rPr>
        <w:t xml:space="preserve"> with each plug top fitted with a cartridge fuse to BS 1362 to protect the flexible cord.</w:t>
      </w:r>
    </w:p>
    <w:p w:rsidR="007A245D" w:rsidRPr="007A245D" w:rsidRDefault="00EC6823" w:rsidP="00004DF4">
      <w:pPr>
        <w:tabs>
          <w:tab w:val="left" w:pos="-567"/>
        </w:tabs>
        <w:spacing w:after="120"/>
        <w:rPr>
          <w:rFonts w:ascii="Arial" w:hAnsi="Arial" w:cs="Arial"/>
          <w:sz w:val="22"/>
          <w:szCs w:val="22"/>
        </w:rPr>
      </w:pPr>
      <w:r>
        <w:rPr>
          <w:rFonts w:ascii="Arial" w:hAnsi="Arial" w:cs="Arial"/>
          <w:sz w:val="22"/>
          <w:szCs w:val="22"/>
        </w:rPr>
        <w:t>In order t</w:t>
      </w:r>
      <w:r w:rsidR="008A7C91" w:rsidRPr="007A245D">
        <w:rPr>
          <w:rFonts w:ascii="Arial" w:hAnsi="Arial" w:cs="Arial"/>
          <w:sz w:val="22"/>
          <w:szCs w:val="22"/>
        </w:rPr>
        <w:t>o enable appliances to be wired</w:t>
      </w:r>
      <w:r w:rsidR="00B33A6C" w:rsidRPr="007A245D">
        <w:rPr>
          <w:rFonts w:ascii="Arial" w:hAnsi="Arial" w:cs="Arial"/>
          <w:sz w:val="22"/>
          <w:szCs w:val="22"/>
        </w:rPr>
        <w:t xml:space="preserve"> from a convenient and adjacent socket outlet, the outlets are wired to a ring radial circui</w:t>
      </w:r>
      <w:r w:rsidR="007A245D" w:rsidRPr="007A245D">
        <w:rPr>
          <w:rFonts w:ascii="Arial" w:hAnsi="Arial" w:cs="Arial"/>
          <w:sz w:val="22"/>
          <w:szCs w:val="22"/>
        </w:rPr>
        <w:t>t or to a radial final circuit.</w:t>
      </w:r>
    </w:p>
    <w:p w:rsidR="004D3B7E" w:rsidRPr="007A245D" w:rsidRDefault="00B33A6C" w:rsidP="00004DF4">
      <w:pPr>
        <w:tabs>
          <w:tab w:val="left" w:pos="-567"/>
        </w:tabs>
        <w:spacing w:after="120"/>
        <w:rPr>
          <w:rFonts w:ascii="Arial" w:hAnsi="Arial" w:cs="Arial"/>
          <w:sz w:val="22"/>
          <w:szCs w:val="22"/>
        </w:rPr>
      </w:pPr>
      <w:r w:rsidRPr="007A245D">
        <w:rPr>
          <w:rFonts w:ascii="Arial" w:hAnsi="Arial" w:cs="Arial"/>
          <w:sz w:val="22"/>
          <w:szCs w:val="22"/>
        </w:rPr>
        <w:t>As long as the circuit complies with the requirements of Table H2.1 in Appendix</w:t>
      </w:r>
      <w:r w:rsidRPr="007A245D">
        <w:rPr>
          <w:rFonts w:ascii="Arial" w:hAnsi="Arial" w:cs="Arial"/>
          <w:vanish/>
          <w:sz w:val="22"/>
          <w:szCs w:val="22"/>
        </w:rPr>
        <w:t> H of the IET ‘On</w:t>
      </w:r>
      <w:r w:rsidRPr="007A245D">
        <w:rPr>
          <w:rFonts w:ascii="Arial" w:hAnsi="Arial" w:cs="Arial"/>
          <w:vanish/>
          <w:sz w:val="22"/>
          <w:szCs w:val="22"/>
        </w:rPr>
        <w:noBreakHyphen/>
        <w:t>Site Guide (reproduced below), an unlimited number of outlets can be connected to it</w:t>
      </w:r>
      <w:r w:rsidR="004D3B7E" w:rsidRPr="007A245D">
        <w:rPr>
          <w:rFonts w:ascii="Arial" w:hAnsi="Arial" w:cs="Arial"/>
          <w:sz w:val="22"/>
          <w:szCs w:val="22"/>
        </w:rPr>
        <w:t>.</w:t>
      </w:r>
    </w:p>
    <w:p w:rsidR="004D3B7E" w:rsidRDefault="004D3B7E" w:rsidP="00537328">
      <w:pPr>
        <w:tabs>
          <w:tab w:val="left" w:pos="-567"/>
        </w:tabs>
        <w:rPr>
          <w:rFonts w:ascii="Arial" w:hAnsi="Arial" w:cs="Arial"/>
          <w:b/>
          <w:sz w:val="22"/>
          <w:szCs w:val="22"/>
        </w:rPr>
      </w:pPr>
      <w:r w:rsidRPr="009F365C">
        <w:rPr>
          <w:rFonts w:ascii="Arial" w:hAnsi="Arial" w:cs="Arial"/>
          <w:b/>
          <w:sz w:val="22"/>
          <w:szCs w:val="22"/>
        </w:rPr>
        <w:t xml:space="preserve">Table H2.1 </w:t>
      </w:r>
      <w:r w:rsidR="0042286F">
        <w:rPr>
          <w:rFonts w:ascii="Arial" w:hAnsi="Arial" w:cs="Arial"/>
          <w:b/>
          <w:sz w:val="22"/>
          <w:szCs w:val="22"/>
        </w:rPr>
        <w:t>–</w:t>
      </w:r>
      <w:r w:rsidRPr="009F365C">
        <w:rPr>
          <w:rFonts w:ascii="Arial" w:hAnsi="Arial" w:cs="Arial"/>
          <w:b/>
          <w:sz w:val="22"/>
          <w:szCs w:val="22"/>
        </w:rPr>
        <w:t xml:space="preserve"> Final circuits using BS</w:t>
      </w:r>
      <w:r w:rsidR="00537328">
        <w:rPr>
          <w:rFonts w:ascii="Arial" w:hAnsi="Arial" w:cs="Arial"/>
          <w:b/>
          <w:sz w:val="22"/>
          <w:szCs w:val="22"/>
        </w:rPr>
        <w:t> </w:t>
      </w:r>
      <w:r w:rsidRPr="009F365C">
        <w:rPr>
          <w:rFonts w:ascii="Arial" w:hAnsi="Arial" w:cs="Arial"/>
          <w:b/>
          <w:sz w:val="22"/>
          <w:szCs w:val="22"/>
        </w:rPr>
        <w:t xml:space="preserve">1363 </w:t>
      </w:r>
      <w:r w:rsidR="00537328">
        <w:rPr>
          <w:rFonts w:ascii="Arial" w:hAnsi="Arial" w:cs="Arial"/>
          <w:b/>
          <w:sz w:val="22"/>
          <w:szCs w:val="22"/>
        </w:rPr>
        <w:t>s</w:t>
      </w:r>
      <w:r w:rsidRPr="009F365C">
        <w:rPr>
          <w:rFonts w:ascii="Arial" w:hAnsi="Arial" w:cs="Arial"/>
          <w:b/>
          <w:sz w:val="22"/>
          <w:szCs w:val="22"/>
        </w:rPr>
        <w:t>ocket-</w:t>
      </w:r>
      <w:r w:rsidR="00537328">
        <w:rPr>
          <w:rFonts w:ascii="Arial" w:hAnsi="Arial" w:cs="Arial"/>
          <w:b/>
          <w:sz w:val="22"/>
          <w:szCs w:val="22"/>
        </w:rPr>
        <w:t>o</w:t>
      </w:r>
      <w:r w:rsidRPr="009F365C">
        <w:rPr>
          <w:rFonts w:ascii="Arial" w:hAnsi="Arial" w:cs="Arial"/>
          <w:b/>
          <w:sz w:val="22"/>
          <w:szCs w:val="22"/>
        </w:rPr>
        <w:t xml:space="preserve">utlets and </w:t>
      </w:r>
      <w:r w:rsidR="00537328">
        <w:rPr>
          <w:rFonts w:ascii="Arial" w:hAnsi="Arial" w:cs="Arial"/>
          <w:b/>
          <w:sz w:val="22"/>
          <w:szCs w:val="22"/>
        </w:rPr>
        <w:t>c</w:t>
      </w:r>
      <w:r w:rsidRPr="009F365C">
        <w:rPr>
          <w:rFonts w:ascii="Arial" w:hAnsi="Arial" w:cs="Arial"/>
          <w:b/>
          <w:sz w:val="22"/>
          <w:szCs w:val="22"/>
        </w:rPr>
        <w:t xml:space="preserve">onnection </w:t>
      </w:r>
      <w:r w:rsidR="00537328">
        <w:rPr>
          <w:rFonts w:ascii="Arial" w:hAnsi="Arial" w:cs="Arial"/>
          <w:b/>
          <w:sz w:val="22"/>
          <w:szCs w:val="22"/>
        </w:rPr>
        <w:t>u</w:t>
      </w:r>
      <w:r w:rsidRPr="009F365C">
        <w:rPr>
          <w:rFonts w:ascii="Arial" w:hAnsi="Arial" w:cs="Arial"/>
          <w:b/>
          <w:sz w:val="22"/>
          <w:szCs w:val="22"/>
        </w:rPr>
        <w:t>nits</w:t>
      </w:r>
    </w:p>
    <w:tbl>
      <w:tblPr>
        <w:tblW w:w="0" w:type="auto"/>
        <w:tblLayout w:type="fixed"/>
        <w:tblLook w:val="04A0" w:firstRow="1" w:lastRow="0" w:firstColumn="1" w:lastColumn="0" w:noHBand="0" w:noVBand="1"/>
      </w:tblPr>
      <w:tblGrid>
        <w:gridCol w:w="1101"/>
        <w:gridCol w:w="992"/>
        <w:gridCol w:w="1559"/>
        <w:gridCol w:w="1985"/>
        <w:gridCol w:w="2126"/>
        <w:gridCol w:w="1523"/>
      </w:tblGrid>
      <w:tr w:rsidR="006220D3" w:rsidRPr="00537328" w:rsidTr="00C33DF8">
        <w:tc>
          <w:tcPr>
            <w:tcW w:w="1101" w:type="dxa"/>
            <w:shd w:val="clear" w:color="auto" w:fill="262626" w:themeFill="text1" w:themeFillTint="D9"/>
            <w:vAlign w:val="bottom"/>
          </w:tcPr>
          <w:p w:rsidR="006220D3" w:rsidRPr="00E92512" w:rsidRDefault="006220D3" w:rsidP="00E92512">
            <w:pPr>
              <w:tabs>
                <w:tab w:val="left" w:pos="-567"/>
              </w:tabs>
              <w:spacing w:before="60" w:after="60"/>
              <w:rPr>
                <w:rFonts w:ascii="Arial" w:hAnsi="Arial" w:cs="Arial"/>
                <w:b/>
                <w:color w:val="FFFFFF"/>
                <w:sz w:val="20"/>
                <w:szCs w:val="20"/>
              </w:rPr>
            </w:pPr>
          </w:p>
        </w:tc>
        <w:tc>
          <w:tcPr>
            <w:tcW w:w="992" w:type="dxa"/>
            <w:shd w:val="clear" w:color="auto" w:fill="262626" w:themeFill="text1" w:themeFillTint="D9"/>
            <w:vAlign w:val="bottom"/>
          </w:tcPr>
          <w:p w:rsidR="006220D3" w:rsidRPr="00E92512" w:rsidRDefault="006220D3" w:rsidP="00E92512">
            <w:pPr>
              <w:tabs>
                <w:tab w:val="left" w:pos="-567"/>
              </w:tabs>
              <w:spacing w:before="60" w:after="60"/>
              <w:rPr>
                <w:rFonts w:ascii="Arial" w:hAnsi="Arial" w:cs="Arial"/>
                <w:b/>
                <w:color w:val="FFFFFF"/>
                <w:sz w:val="20"/>
                <w:szCs w:val="20"/>
              </w:rPr>
            </w:pPr>
          </w:p>
        </w:tc>
        <w:tc>
          <w:tcPr>
            <w:tcW w:w="1559" w:type="dxa"/>
            <w:shd w:val="clear" w:color="auto" w:fill="262626" w:themeFill="text1" w:themeFillTint="D9"/>
            <w:vAlign w:val="bottom"/>
          </w:tcPr>
          <w:p w:rsidR="006220D3" w:rsidRPr="00E92512" w:rsidRDefault="006220D3" w:rsidP="00E92512">
            <w:pPr>
              <w:tabs>
                <w:tab w:val="left" w:pos="-567"/>
              </w:tabs>
              <w:spacing w:before="60" w:after="60"/>
              <w:rPr>
                <w:rFonts w:ascii="Arial" w:hAnsi="Arial" w:cs="Arial"/>
                <w:b/>
                <w:color w:val="FFFFFF"/>
                <w:sz w:val="20"/>
                <w:szCs w:val="20"/>
              </w:rPr>
            </w:pPr>
          </w:p>
        </w:tc>
        <w:tc>
          <w:tcPr>
            <w:tcW w:w="4111" w:type="dxa"/>
            <w:gridSpan w:val="2"/>
            <w:shd w:val="clear" w:color="auto" w:fill="262626" w:themeFill="text1" w:themeFillTint="D9"/>
            <w:vAlign w:val="bottom"/>
          </w:tcPr>
          <w:p w:rsidR="006220D3" w:rsidRPr="00E92512" w:rsidRDefault="006220D3" w:rsidP="00E92512">
            <w:pPr>
              <w:tabs>
                <w:tab w:val="left" w:pos="-567"/>
              </w:tabs>
              <w:spacing w:before="60" w:after="60"/>
              <w:jc w:val="center"/>
              <w:rPr>
                <w:rFonts w:ascii="Arial" w:hAnsi="Arial" w:cs="Arial"/>
                <w:b/>
                <w:color w:val="FFFFFF"/>
                <w:sz w:val="20"/>
                <w:szCs w:val="20"/>
              </w:rPr>
            </w:pPr>
            <w:r w:rsidRPr="00E92512">
              <w:rPr>
                <w:rFonts w:ascii="Arial" w:hAnsi="Arial" w:cs="Arial"/>
                <w:b/>
                <w:color w:val="FFFFFF"/>
                <w:sz w:val="20"/>
                <w:szCs w:val="20"/>
              </w:rPr>
              <w:t>Minimum live conductor</w:t>
            </w:r>
            <w:r w:rsidRPr="00E92512">
              <w:rPr>
                <w:rFonts w:ascii="Arial" w:hAnsi="Arial" w:cs="Arial"/>
                <w:b/>
                <w:color w:val="FFFFFF"/>
                <w:sz w:val="20"/>
                <w:szCs w:val="20"/>
              </w:rPr>
              <w:br/>
              <w:t>cross-sectional area (mm</w:t>
            </w:r>
            <w:r w:rsidRPr="00E92512">
              <w:rPr>
                <w:rFonts w:ascii="Arial" w:hAnsi="Arial" w:cs="Arial"/>
                <w:b/>
                <w:color w:val="FFFFFF"/>
                <w:sz w:val="20"/>
                <w:szCs w:val="20"/>
                <w:vertAlign w:val="superscript"/>
              </w:rPr>
              <w:t>2</w:t>
            </w:r>
            <w:r w:rsidRPr="00E92512">
              <w:rPr>
                <w:rFonts w:ascii="Arial" w:hAnsi="Arial" w:cs="Arial"/>
                <w:b/>
                <w:color w:val="FFFFFF"/>
                <w:sz w:val="20"/>
                <w:szCs w:val="20"/>
              </w:rPr>
              <w:t>)</w:t>
            </w:r>
          </w:p>
        </w:tc>
        <w:tc>
          <w:tcPr>
            <w:tcW w:w="1523" w:type="dxa"/>
            <w:shd w:val="clear" w:color="auto" w:fill="262626" w:themeFill="text1" w:themeFillTint="D9"/>
            <w:vAlign w:val="bottom"/>
          </w:tcPr>
          <w:p w:rsidR="006220D3" w:rsidRPr="00E92512" w:rsidRDefault="006220D3" w:rsidP="00E92512">
            <w:pPr>
              <w:tabs>
                <w:tab w:val="left" w:pos="-567"/>
              </w:tabs>
              <w:spacing w:before="60" w:after="60"/>
              <w:rPr>
                <w:rFonts w:ascii="Arial" w:hAnsi="Arial" w:cs="Arial"/>
                <w:b/>
                <w:color w:val="FFFFFF"/>
                <w:sz w:val="20"/>
                <w:szCs w:val="20"/>
              </w:rPr>
            </w:pPr>
          </w:p>
        </w:tc>
      </w:tr>
      <w:tr w:rsidR="006220D3" w:rsidRPr="00537328" w:rsidTr="00C33DF8">
        <w:tc>
          <w:tcPr>
            <w:tcW w:w="2093" w:type="dxa"/>
            <w:gridSpan w:val="2"/>
            <w:shd w:val="clear" w:color="auto" w:fill="262626" w:themeFill="text1" w:themeFillTint="D9"/>
            <w:vAlign w:val="bottom"/>
          </w:tcPr>
          <w:p w:rsidR="006220D3" w:rsidRPr="00E92512" w:rsidRDefault="006220D3" w:rsidP="00E92512">
            <w:pPr>
              <w:tabs>
                <w:tab w:val="left" w:pos="-567"/>
              </w:tabs>
              <w:spacing w:before="60" w:after="60"/>
              <w:jc w:val="center"/>
              <w:rPr>
                <w:rFonts w:ascii="Arial" w:hAnsi="Arial" w:cs="Arial"/>
                <w:b/>
                <w:color w:val="FFFFFF"/>
                <w:sz w:val="20"/>
                <w:szCs w:val="20"/>
              </w:rPr>
            </w:pPr>
            <w:r w:rsidRPr="00E92512">
              <w:rPr>
                <w:rFonts w:ascii="Arial" w:hAnsi="Arial" w:cs="Arial"/>
                <w:b/>
                <w:color w:val="FFFFFF"/>
                <w:sz w:val="20"/>
                <w:szCs w:val="20"/>
              </w:rPr>
              <w:t>Type of</w:t>
            </w:r>
            <w:r w:rsidRPr="00E92512">
              <w:rPr>
                <w:rFonts w:ascii="Arial" w:hAnsi="Arial" w:cs="Arial"/>
                <w:b/>
                <w:color w:val="FFFFFF"/>
                <w:sz w:val="20"/>
                <w:szCs w:val="20"/>
              </w:rPr>
              <w:br/>
              <w:t>Circuit</w:t>
            </w:r>
          </w:p>
        </w:tc>
        <w:tc>
          <w:tcPr>
            <w:tcW w:w="1559" w:type="dxa"/>
            <w:shd w:val="clear" w:color="auto" w:fill="262626" w:themeFill="text1" w:themeFillTint="D9"/>
            <w:vAlign w:val="bottom"/>
          </w:tcPr>
          <w:p w:rsidR="006220D3" w:rsidRPr="00E92512" w:rsidRDefault="006220D3" w:rsidP="00E92512">
            <w:pPr>
              <w:tabs>
                <w:tab w:val="left" w:pos="-567"/>
              </w:tabs>
              <w:spacing w:before="60" w:after="60"/>
              <w:jc w:val="center"/>
              <w:rPr>
                <w:rFonts w:ascii="Arial" w:hAnsi="Arial" w:cs="Arial"/>
                <w:b/>
                <w:color w:val="FFFFFF"/>
                <w:sz w:val="20"/>
                <w:szCs w:val="20"/>
              </w:rPr>
            </w:pPr>
            <w:r w:rsidRPr="00E92512">
              <w:rPr>
                <w:rFonts w:ascii="Arial" w:hAnsi="Arial" w:cs="Arial"/>
                <w:b/>
                <w:color w:val="FFFFFF"/>
                <w:sz w:val="20"/>
                <w:szCs w:val="20"/>
              </w:rPr>
              <w:t>Overcurrent</w:t>
            </w:r>
            <w:r w:rsidRPr="00E92512">
              <w:rPr>
                <w:rFonts w:ascii="Arial" w:hAnsi="Arial" w:cs="Arial"/>
                <w:b/>
                <w:color w:val="FFFFFF"/>
                <w:sz w:val="20"/>
                <w:szCs w:val="20"/>
              </w:rPr>
              <w:br/>
              <w:t>protective</w:t>
            </w:r>
            <w:r w:rsidRPr="00E92512">
              <w:rPr>
                <w:rFonts w:ascii="Arial" w:hAnsi="Arial" w:cs="Arial"/>
                <w:b/>
                <w:color w:val="FFFFFF"/>
                <w:sz w:val="20"/>
                <w:szCs w:val="20"/>
              </w:rPr>
              <w:br/>
              <w:t>device</w:t>
            </w:r>
            <w:r w:rsidRPr="00E92512">
              <w:rPr>
                <w:rFonts w:ascii="Arial" w:hAnsi="Arial" w:cs="Arial"/>
                <w:b/>
                <w:color w:val="FFFFFF"/>
                <w:sz w:val="20"/>
                <w:szCs w:val="20"/>
              </w:rPr>
              <w:br/>
              <w:t>rating (A)</w:t>
            </w:r>
          </w:p>
        </w:tc>
        <w:tc>
          <w:tcPr>
            <w:tcW w:w="1985" w:type="dxa"/>
            <w:shd w:val="clear" w:color="auto" w:fill="262626" w:themeFill="text1" w:themeFillTint="D9"/>
            <w:vAlign w:val="bottom"/>
          </w:tcPr>
          <w:p w:rsidR="006220D3" w:rsidRPr="00E92512" w:rsidRDefault="006220D3" w:rsidP="00E92512">
            <w:pPr>
              <w:tabs>
                <w:tab w:val="left" w:pos="-567"/>
              </w:tabs>
              <w:spacing w:before="60" w:after="60"/>
              <w:jc w:val="center"/>
              <w:rPr>
                <w:rFonts w:ascii="Arial" w:hAnsi="Arial" w:cs="Arial"/>
                <w:b/>
                <w:color w:val="FFFFFF"/>
                <w:sz w:val="20"/>
                <w:szCs w:val="20"/>
              </w:rPr>
            </w:pPr>
            <w:r w:rsidRPr="00E92512">
              <w:rPr>
                <w:rFonts w:ascii="Arial" w:hAnsi="Arial" w:cs="Arial"/>
                <w:b/>
                <w:color w:val="FFFFFF"/>
                <w:sz w:val="20"/>
                <w:szCs w:val="20"/>
              </w:rPr>
              <w:t>Copper conductor</w:t>
            </w:r>
            <w:r w:rsidRPr="00E92512">
              <w:rPr>
                <w:rFonts w:ascii="Arial" w:hAnsi="Arial" w:cs="Arial"/>
                <w:b/>
                <w:color w:val="FFFFFF"/>
                <w:sz w:val="20"/>
                <w:szCs w:val="20"/>
              </w:rPr>
              <w:br/>
              <w:t>thermoplastic or</w:t>
            </w:r>
            <w:r w:rsidRPr="00E92512">
              <w:rPr>
                <w:rFonts w:ascii="Arial" w:hAnsi="Arial" w:cs="Arial"/>
                <w:b/>
                <w:color w:val="FFFFFF"/>
                <w:sz w:val="20"/>
                <w:szCs w:val="20"/>
              </w:rPr>
              <w:br/>
              <w:t>thermosetting</w:t>
            </w:r>
            <w:r w:rsidRPr="00E92512">
              <w:rPr>
                <w:rFonts w:ascii="Arial" w:hAnsi="Arial" w:cs="Arial"/>
                <w:b/>
                <w:color w:val="FFFFFF"/>
                <w:sz w:val="20"/>
                <w:szCs w:val="20"/>
              </w:rPr>
              <w:br/>
              <w:t>insulated cables</w:t>
            </w:r>
          </w:p>
        </w:tc>
        <w:tc>
          <w:tcPr>
            <w:tcW w:w="2126" w:type="dxa"/>
            <w:shd w:val="clear" w:color="auto" w:fill="262626" w:themeFill="text1" w:themeFillTint="D9"/>
            <w:vAlign w:val="bottom"/>
          </w:tcPr>
          <w:p w:rsidR="006220D3" w:rsidRPr="00E92512" w:rsidRDefault="006220D3" w:rsidP="00E92512">
            <w:pPr>
              <w:tabs>
                <w:tab w:val="left" w:pos="-567"/>
              </w:tabs>
              <w:spacing w:before="60" w:after="60"/>
              <w:jc w:val="center"/>
              <w:rPr>
                <w:rFonts w:ascii="Arial" w:hAnsi="Arial" w:cs="Arial"/>
                <w:b/>
                <w:color w:val="FFFFFF"/>
                <w:sz w:val="20"/>
                <w:szCs w:val="20"/>
              </w:rPr>
            </w:pPr>
            <w:r w:rsidRPr="00E92512">
              <w:rPr>
                <w:rFonts w:ascii="Arial" w:hAnsi="Arial" w:cs="Arial"/>
                <w:b/>
                <w:color w:val="FFFFFF"/>
                <w:sz w:val="20"/>
                <w:szCs w:val="20"/>
              </w:rPr>
              <w:t>Copper</w:t>
            </w:r>
            <w:r w:rsidRPr="00E92512">
              <w:rPr>
                <w:rFonts w:ascii="Arial" w:hAnsi="Arial" w:cs="Arial"/>
                <w:b/>
                <w:color w:val="FFFFFF"/>
                <w:sz w:val="20"/>
                <w:szCs w:val="20"/>
              </w:rPr>
              <w:br/>
              <w:t>conductor</w:t>
            </w:r>
            <w:r w:rsidRPr="00E92512">
              <w:rPr>
                <w:rFonts w:ascii="Arial" w:hAnsi="Arial" w:cs="Arial"/>
                <w:b/>
                <w:color w:val="FFFFFF"/>
                <w:sz w:val="20"/>
                <w:szCs w:val="20"/>
              </w:rPr>
              <w:br/>
              <w:t>mineral</w:t>
            </w:r>
            <w:r w:rsidRPr="00E92512">
              <w:rPr>
                <w:rFonts w:ascii="Arial" w:hAnsi="Arial" w:cs="Arial"/>
                <w:b/>
                <w:color w:val="FFFFFF"/>
                <w:sz w:val="20"/>
                <w:szCs w:val="20"/>
              </w:rPr>
              <w:br/>
              <w:t>insulated cables</w:t>
            </w:r>
          </w:p>
        </w:tc>
        <w:tc>
          <w:tcPr>
            <w:tcW w:w="1523" w:type="dxa"/>
            <w:shd w:val="clear" w:color="auto" w:fill="262626" w:themeFill="text1" w:themeFillTint="D9"/>
            <w:vAlign w:val="bottom"/>
          </w:tcPr>
          <w:p w:rsidR="006220D3" w:rsidRPr="00E92512" w:rsidRDefault="006220D3" w:rsidP="00E92512">
            <w:pPr>
              <w:tabs>
                <w:tab w:val="left" w:pos="-567"/>
              </w:tabs>
              <w:spacing w:before="60" w:after="60"/>
              <w:jc w:val="center"/>
              <w:rPr>
                <w:rFonts w:ascii="Arial" w:hAnsi="Arial" w:cs="Arial"/>
                <w:b/>
                <w:color w:val="FFFFFF"/>
                <w:sz w:val="20"/>
                <w:szCs w:val="20"/>
              </w:rPr>
            </w:pPr>
            <w:r w:rsidRPr="00E92512">
              <w:rPr>
                <w:rFonts w:ascii="Arial" w:hAnsi="Arial" w:cs="Arial"/>
                <w:b/>
                <w:color w:val="FFFFFF"/>
                <w:sz w:val="20"/>
                <w:szCs w:val="20"/>
              </w:rPr>
              <w:t>Maximum</w:t>
            </w:r>
            <w:r w:rsidRPr="00E92512">
              <w:rPr>
                <w:rFonts w:ascii="Arial" w:hAnsi="Arial" w:cs="Arial"/>
                <w:b/>
                <w:color w:val="FFFFFF"/>
                <w:sz w:val="20"/>
                <w:szCs w:val="20"/>
              </w:rPr>
              <w:br/>
              <w:t>floor area</w:t>
            </w:r>
            <w:r w:rsidRPr="00E92512">
              <w:rPr>
                <w:rFonts w:ascii="Arial" w:hAnsi="Arial" w:cs="Arial"/>
                <w:b/>
                <w:color w:val="FFFFFF"/>
                <w:sz w:val="20"/>
                <w:szCs w:val="20"/>
              </w:rPr>
              <w:br/>
              <w:t>served</w:t>
            </w:r>
          </w:p>
          <w:p w:rsidR="006220D3" w:rsidRPr="00E92512" w:rsidRDefault="006220D3" w:rsidP="00E92512">
            <w:pPr>
              <w:tabs>
                <w:tab w:val="left" w:pos="-567"/>
              </w:tabs>
              <w:spacing w:before="60" w:after="60"/>
              <w:jc w:val="center"/>
              <w:rPr>
                <w:rFonts w:ascii="Arial" w:hAnsi="Arial" w:cs="Arial"/>
                <w:b/>
                <w:color w:val="FFFFFF"/>
                <w:sz w:val="20"/>
                <w:szCs w:val="20"/>
              </w:rPr>
            </w:pPr>
            <w:r w:rsidRPr="00E92512">
              <w:rPr>
                <w:rFonts w:ascii="Arial" w:hAnsi="Arial" w:cs="Arial"/>
                <w:b/>
                <w:color w:val="FFFFFF"/>
                <w:sz w:val="20"/>
                <w:szCs w:val="20"/>
              </w:rPr>
              <w:t>(m</w:t>
            </w:r>
            <w:r w:rsidRPr="00E92512">
              <w:rPr>
                <w:rFonts w:ascii="Arial" w:hAnsi="Arial" w:cs="Arial"/>
                <w:b/>
                <w:color w:val="FFFFFF"/>
                <w:sz w:val="20"/>
                <w:szCs w:val="20"/>
                <w:vertAlign w:val="superscript"/>
              </w:rPr>
              <w:t>2</w:t>
            </w:r>
            <w:r w:rsidRPr="00E92512">
              <w:rPr>
                <w:rFonts w:ascii="Arial" w:hAnsi="Arial" w:cs="Arial"/>
                <w:b/>
                <w:color w:val="FFFFFF"/>
                <w:sz w:val="20"/>
                <w:szCs w:val="20"/>
              </w:rPr>
              <w:t>)</w:t>
            </w:r>
          </w:p>
        </w:tc>
      </w:tr>
      <w:tr w:rsidR="00537328" w:rsidRPr="00537328" w:rsidTr="00C33DF8">
        <w:tc>
          <w:tcPr>
            <w:tcW w:w="1101" w:type="dxa"/>
            <w:shd w:val="clear" w:color="auto" w:fill="262626" w:themeFill="text1" w:themeFillTint="D9"/>
          </w:tcPr>
          <w:p w:rsidR="006220D3" w:rsidRPr="00E92512" w:rsidRDefault="006220D3" w:rsidP="00E92512">
            <w:pPr>
              <w:tabs>
                <w:tab w:val="left" w:pos="-567"/>
              </w:tabs>
              <w:spacing w:before="60" w:after="60"/>
              <w:jc w:val="center"/>
              <w:rPr>
                <w:rFonts w:ascii="Arial" w:hAnsi="Arial" w:cs="Arial"/>
                <w:b/>
                <w:color w:val="FFFFFF"/>
                <w:sz w:val="20"/>
                <w:szCs w:val="20"/>
              </w:rPr>
            </w:pPr>
            <w:r w:rsidRPr="00E92512">
              <w:rPr>
                <w:rFonts w:ascii="Arial" w:hAnsi="Arial" w:cs="Arial"/>
                <w:b/>
                <w:color w:val="FFFFFF"/>
                <w:sz w:val="20"/>
                <w:szCs w:val="20"/>
              </w:rPr>
              <w:t>1</w:t>
            </w:r>
          </w:p>
        </w:tc>
        <w:tc>
          <w:tcPr>
            <w:tcW w:w="992" w:type="dxa"/>
            <w:shd w:val="clear" w:color="auto" w:fill="262626" w:themeFill="text1" w:themeFillTint="D9"/>
          </w:tcPr>
          <w:p w:rsidR="006220D3" w:rsidRPr="00E92512" w:rsidRDefault="006220D3" w:rsidP="00E92512">
            <w:pPr>
              <w:tabs>
                <w:tab w:val="left" w:pos="-567"/>
              </w:tabs>
              <w:spacing w:before="60" w:after="60"/>
              <w:jc w:val="center"/>
              <w:rPr>
                <w:rFonts w:ascii="Arial" w:hAnsi="Arial" w:cs="Arial"/>
                <w:b/>
                <w:color w:val="FFFFFF"/>
                <w:sz w:val="20"/>
                <w:szCs w:val="20"/>
              </w:rPr>
            </w:pPr>
            <w:r w:rsidRPr="00E92512">
              <w:rPr>
                <w:rFonts w:ascii="Arial" w:hAnsi="Arial" w:cs="Arial"/>
                <w:b/>
                <w:color w:val="FFFFFF"/>
                <w:sz w:val="20"/>
                <w:szCs w:val="20"/>
              </w:rPr>
              <w:t>2</w:t>
            </w:r>
          </w:p>
        </w:tc>
        <w:tc>
          <w:tcPr>
            <w:tcW w:w="1559" w:type="dxa"/>
            <w:shd w:val="clear" w:color="auto" w:fill="262626" w:themeFill="text1" w:themeFillTint="D9"/>
          </w:tcPr>
          <w:p w:rsidR="006220D3" w:rsidRPr="00E92512" w:rsidRDefault="006220D3" w:rsidP="00E92512">
            <w:pPr>
              <w:tabs>
                <w:tab w:val="left" w:pos="-567"/>
              </w:tabs>
              <w:spacing w:before="60" w:after="60"/>
              <w:jc w:val="center"/>
              <w:rPr>
                <w:rFonts w:ascii="Arial" w:hAnsi="Arial" w:cs="Arial"/>
                <w:b/>
                <w:color w:val="FFFFFF"/>
                <w:sz w:val="20"/>
                <w:szCs w:val="20"/>
              </w:rPr>
            </w:pPr>
            <w:r w:rsidRPr="00E92512">
              <w:rPr>
                <w:rFonts w:ascii="Arial" w:hAnsi="Arial" w:cs="Arial"/>
                <w:b/>
                <w:color w:val="FFFFFF"/>
                <w:sz w:val="20"/>
                <w:szCs w:val="20"/>
              </w:rPr>
              <w:t>3</w:t>
            </w:r>
          </w:p>
        </w:tc>
        <w:tc>
          <w:tcPr>
            <w:tcW w:w="1985" w:type="dxa"/>
            <w:shd w:val="clear" w:color="auto" w:fill="262626" w:themeFill="text1" w:themeFillTint="D9"/>
          </w:tcPr>
          <w:p w:rsidR="006220D3" w:rsidRPr="00E92512" w:rsidRDefault="006220D3" w:rsidP="00E92512">
            <w:pPr>
              <w:tabs>
                <w:tab w:val="left" w:pos="-567"/>
              </w:tabs>
              <w:spacing w:before="60" w:after="60"/>
              <w:jc w:val="center"/>
              <w:rPr>
                <w:rFonts w:ascii="Arial" w:hAnsi="Arial" w:cs="Arial"/>
                <w:b/>
                <w:color w:val="FFFFFF"/>
                <w:sz w:val="20"/>
                <w:szCs w:val="20"/>
              </w:rPr>
            </w:pPr>
            <w:r w:rsidRPr="00E92512">
              <w:rPr>
                <w:rFonts w:ascii="Arial" w:hAnsi="Arial" w:cs="Arial"/>
                <w:b/>
                <w:color w:val="FFFFFF"/>
                <w:sz w:val="20"/>
                <w:szCs w:val="20"/>
              </w:rPr>
              <w:t>4</w:t>
            </w:r>
          </w:p>
        </w:tc>
        <w:tc>
          <w:tcPr>
            <w:tcW w:w="2126" w:type="dxa"/>
            <w:shd w:val="clear" w:color="auto" w:fill="262626" w:themeFill="text1" w:themeFillTint="D9"/>
          </w:tcPr>
          <w:p w:rsidR="006220D3" w:rsidRPr="00E92512" w:rsidRDefault="006220D3" w:rsidP="00E92512">
            <w:pPr>
              <w:tabs>
                <w:tab w:val="left" w:pos="-567"/>
              </w:tabs>
              <w:spacing w:before="60" w:after="60"/>
              <w:jc w:val="center"/>
              <w:rPr>
                <w:rFonts w:ascii="Arial" w:hAnsi="Arial" w:cs="Arial"/>
                <w:b/>
                <w:color w:val="FFFFFF"/>
                <w:sz w:val="20"/>
                <w:szCs w:val="20"/>
              </w:rPr>
            </w:pPr>
            <w:r w:rsidRPr="00E92512">
              <w:rPr>
                <w:rFonts w:ascii="Arial" w:hAnsi="Arial" w:cs="Arial"/>
                <w:b/>
                <w:color w:val="FFFFFF"/>
                <w:sz w:val="20"/>
                <w:szCs w:val="20"/>
              </w:rPr>
              <w:t>5</w:t>
            </w:r>
          </w:p>
        </w:tc>
        <w:tc>
          <w:tcPr>
            <w:tcW w:w="1523" w:type="dxa"/>
            <w:shd w:val="clear" w:color="auto" w:fill="262626" w:themeFill="text1" w:themeFillTint="D9"/>
          </w:tcPr>
          <w:p w:rsidR="006220D3" w:rsidRPr="00E92512" w:rsidRDefault="006220D3" w:rsidP="00E92512">
            <w:pPr>
              <w:tabs>
                <w:tab w:val="left" w:pos="-567"/>
              </w:tabs>
              <w:spacing w:before="60" w:after="60"/>
              <w:jc w:val="center"/>
              <w:rPr>
                <w:rFonts w:ascii="Arial" w:hAnsi="Arial" w:cs="Arial"/>
                <w:b/>
                <w:color w:val="FFFFFF"/>
                <w:sz w:val="20"/>
                <w:szCs w:val="20"/>
              </w:rPr>
            </w:pPr>
            <w:r w:rsidRPr="00E92512">
              <w:rPr>
                <w:rFonts w:ascii="Arial" w:hAnsi="Arial" w:cs="Arial"/>
                <w:b/>
                <w:color w:val="FFFFFF"/>
                <w:sz w:val="20"/>
                <w:szCs w:val="20"/>
              </w:rPr>
              <w:t>6</w:t>
            </w:r>
          </w:p>
        </w:tc>
      </w:tr>
      <w:tr w:rsidR="00537328" w:rsidRPr="006220D3" w:rsidTr="00C33DF8">
        <w:tc>
          <w:tcPr>
            <w:tcW w:w="1101" w:type="dxa"/>
            <w:shd w:val="clear" w:color="auto" w:fill="D9D9D9" w:themeFill="background1" w:themeFillShade="D9"/>
          </w:tcPr>
          <w:p w:rsidR="006220D3" w:rsidRPr="00E92512" w:rsidRDefault="006220D3" w:rsidP="00E92512">
            <w:pPr>
              <w:tabs>
                <w:tab w:val="left" w:pos="-567"/>
              </w:tabs>
              <w:spacing w:before="60" w:after="60"/>
              <w:jc w:val="center"/>
              <w:rPr>
                <w:rFonts w:ascii="Arial" w:hAnsi="Arial" w:cs="Arial"/>
                <w:b/>
                <w:sz w:val="20"/>
                <w:szCs w:val="20"/>
              </w:rPr>
            </w:pPr>
            <w:r w:rsidRPr="00E92512">
              <w:rPr>
                <w:rFonts w:ascii="Arial" w:hAnsi="Arial" w:cs="Arial"/>
                <w:b/>
                <w:sz w:val="20"/>
                <w:szCs w:val="20"/>
              </w:rPr>
              <w:t>A1</w:t>
            </w:r>
          </w:p>
        </w:tc>
        <w:tc>
          <w:tcPr>
            <w:tcW w:w="992" w:type="dxa"/>
            <w:shd w:val="clear" w:color="auto" w:fill="D9D9D9" w:themeFill="background1" w:themeFillShade="D9"/>
          </w:tcPr>
          <w:p w:rsidR="006220D3" w:rsidRPr="00E92512" w:rsidRDefault="006220D3" w:rsidP="00E92512">
            <w:pPr>
              <w:tabs>
                <w:tab w:val="left" w:pos="-567"/>
              </w:tabs>
              <w:spacing w:before="60" w:after="60"/>
              <w:jc w:val="center"/>
              <w:rPr>
                <w:rFonts w:ascii="Arial" w:hAnsi="Arial" w:cs="Arial"/>
                <w:b/>
                <w:sz w:val="20"/>
                <w:szCs w:val="20"/>
              </w:rPr>
            </w:pPr>
            <w:r w:rsidRPr="00E92512">
              <w:rPr>
                <w:rFonts w:ascii="Arial" w:hAnsi="Arial" w:cs="Arial"/>
                <w:b/>
                <w:sz w:val="20"/>
                <w:szCs w:val="20"/>
              </w:rPr>
              <w:t>Ring</w:t>
            </w:r>
          </w:p>
        </w:tc>
        <w:tc>
          <w:tcPr>
            <w:tcW w:w="1559" w:type="dxa"/>
            <w:shd w:val="clear" w:color="auto" w:fill="D9D9D9" w:themeFill="background1" w:themeFillShade="D9"/>
          </w:tcPr>
          <w:p w:rsidR="006220D3" w:rsidRPr="00E92512" w:rsidRDefault="006220D3" w:rsidP="00E92512">
            <w:pPr>
              <w:tabs>
                <w:tab w:val="left" w:pos="-567"/>
              </w:tabs>
              <w:spacing w:before="60" w:after="60"/>
              <w:jc w:val="center"/>
              <w:rPr>
                <w:rFonts w:ascii="Arial" w:hAnsi="Arial" w:cs="Arial"/>
                <w:b/>
                <w:sz w:val="20"/>
                <w:szCs w:val="20"/>
              </w:rPr>
            </w:pPr>
            <w:r w:rsidRPr="00E92512">
              <w:rPr>
                <w:rFonts w:ascii="Arial" w:hAnsi="Arial" w:cs="Arial"/>
                <w:b/>
                <w:sz w:val="20"/>
                <w:szCs w:val="20"/>
              </w:rPr>
              <w:t>30 or 32</w:t>
            </w:r>
          </w:p>
        </w:tc>
        <w:tc>
          <w:tcPr>
            <w:tcW w:w="1985" w:type="dxa"/>
            <w:shd w:val="clear" w:color="auto" w:fill="D9D9D9" w:themeFill="background1" w:themeFillShade="D9"/>
          </w:tcPr>
          <w:p w:rsidR="006220D3" w:rsidRPr="00E92512" w:rsidRDefault="006220D3" w:rsidP="00E92512">
            <w:pPr>
              <w:tabs>
                <w:tab w:val="left" w:pos="-567"/>
              </w:tabs>
              <w:spacing w:before="60" w:after="60"/>
              <w:jc w:val="center"/>
              <w:rPr>
                <w:rFonts w:ascii="Arial" w:hAnsi="Arial" w:cs="Arial"/>
                <w:b/>
                <w:sz w:val="20"/>
                <w:szCs w:val="20"/>
              </w:rPr>
            </w:pPr>
            <w:r w:rsidRPr="00E92512">
              <w:rPr>
                <w:rFonts w:ascii="Arial" w:hAnsi="Arial" w:cs="Arial"/>
                <w:b/>
                <w:sz w:val="20"/>
                <w:szCs w:val="20"/>
              </w:rPr>
              <w:t>2.5</w:t>
            </w:r>
          </w:p>
        </w:tc>
        <w:tc>
          <w:tcPr>
            <w:tcW w:w="2126" w:type="dxa"/>
            <w:shd w:val="clear" w:color="auto" w:fill="D9D9D9" w:themeFill="background1" w:themeFillShade="D9"/>
          </w:tcPr>
          <w:p w:rsidR="006220D3" w:rsidRPr="00E92512" w:rsidRDefault="006220D3" w:rsidP="00E92512">
            <w:pPr>
              <w:tabs>
                <w:tab w:val="left" w:pos="-567"/>
              </w:tabs>
              <w:spacing w:before="60" w:after="60"/>
              <w:jc w:val="center"/>
              <w:rPr>
                <w:rFonts w:ascii="Arial" w:hAnsi="Arial" w:cs="Arial"/>
                <w:b/>
                <w:sz w:val="20"/>
                <w:szCs w:val="20"/>
              </w:rPr>
            </w:pPr>
            <w:r w:rsidRPr="00E92512">
              <w:rPr>
                <w:rFonts w:ascii="Arial" w:hAnsi="Arial" w:cs="Arial"/>
                <w:b/>
                <w:sz w:val="20"/>
                <w:szCs w:val="20"/>
              </w:rPr>
              <w:t>1.5</w:t>
            </w:r>
          </w:p>
        </w:tc>
        <w:tc>
          <w:tcPr>
            <w:tcW w:w="1523" w:type="dxa"/>
            <w:shd w:val="clear" w:color="auto" w:fill="D9D9D9" w:themeFill="background1" w:themeFillShade="D9"/>
          </w:tcPr>
          <w:p w:rsidR="006220D3" w:rsidRPr="00E92512" w:rsidRDefault="006220D3" w:rsidP="00E92512">
            <w:pPr>
              <w:tabs>
                <w:tab w:val="left" w:pos="-567"/>
              </w:tabs>
              <w:spacing w:before="60" w:after="60"/>
              <w:jc w:val="center"/>
              <w:rPr>
                <w:rFonts w:ascii="Arial" w:hAnsi="Arial" w:cs="Arial"/>
                <w:b/>
                <w:sz w:val="20"/>
                <w:szCs w:val="20"/>
              </w:rPr>
            </w:pPr>
            <w:r w:rsidRPr="00E92512">
              <w:rPr>
                <w:rFonts w:ascii="Arial" w:hAnsi="Arial" w:cs="Arial"/>
                <w:b/>
                <w:sz w:val="20"/>
                <w:szCs w:val="20"/>
              </w:rPr>
              <w:t>100</w:t>
            </w:r>
          </w:p>
        </w:tc>
      </w:tr>
      <w:tr w:rsidR="006220D3" w:rsidRPr="006220D3" w:rsidTr="00C33DF8">
        <w:tc>
          <w:tcPr>
            <w:tcW w:w="1101" w:type="dxa"/>
            <w:shd w:val="clear" w:color="auto" w:fill="808080" w:themeFill="background1" w:themeFillShade="80"/>
          </w:tcPr>
          <w:p w:rsidR="006220D3" w:rsidRPr="00E92512" w:rsidRDefault="006220D3" w:rsidP="00E92512">
            <w:pPr>
              <w:tabs>
                <w:tab w:val="left" w:pos="-567"/>
              </w:tabs>
              <w:spacing w:before="60" w:after="60"/>
              <w:jc w:val="center"/>
              <w:rPr>
                <w:rFonts w:ascii="Arial" w:hAnsi="Arial" w:cs="Arial"/>
                <w:b/>
                <w:sz w:val="20"/>
                <w:szCs w:val="20"/>
              </w:rPr>
            </w:pPr>
            <w:r w:rsidRPr="00E92512">
              <w:rPr>
                <w:rFonts w:ascii="Arial" w:hAnsi="Arial" w:cs="Arial"/>
                <w:b/>
                <w:sz w:val="20"/>
                <w:szCs w:val="20"/>
              </w:rPr>
              <w:t>A2</w:t>
            </w:r>
          </w:p>
        </w:tc>
        <w:tc>
          <w:tcPr>
            <w:tcW w:w="992" w:type="dxa"/>
            <w:shd w:val="clear" w:color="auto" w:fill="808080" w:themeFill="background1" w:themeFillShade="80"/>
          </w:tcPr>
          <w:p w:rsidR="006220D3" w:rsidRPr="00E92512" w:rsidRDefault="006220D3" w:rsidP="00E92512">
            <w:pPr>
              <w:tabs>
                <w:tab w:val="left" w:pos="-567"/>
              </w:tabs>
              <w:spacing w:before="60" w:after="60"/>
              <w:jc w:val="center"/>
              <w:rPr>
                <w:rFonts w:ascii="Arial" w:hAnsi="Arial" w:cs="Arial"/>
                <w:b/>
                <w:sz w:val="20"/>
                <w:szCs w:val="20"/>
              </w:rPr>
            </w:pPr>
            <w:r w:rsidRPr="00E92512">
              <w:rPr>
                <w:rFonts w:ascii="Arial" w:hAnsi="Arial" w:cs="Arial"/>
                <w:b/>
                <w:sz w:val="20"/>
                <w:szCs w:val="20"/>
              </w:rPr>
              <w:t>Radial</w:t>
            </w:r>
          </w:p>
        </w:tc>
        <w:tc>
          <w:tcPr>
            <w:tcW w:w="1559" w:type="dxa"/>
            <w:shd w:val="clear" w:color="auto" w:fill="808080" w:themeFill="background1" w:themeFillShade="80"/>
          </w:tcPr>
          <w:p w:rsidR="006220D3" w:rsidRPr="00E92512" w:rsidRDefault="006220D3" w:rsidP="00E92512">
            <w:pPr>
              <w:tabs>
                <w:tab w:val="left" w:pos="-567"/>
              </w:tabs>
              <w:spacing w:before="60" w:after="60"/>
              <w:jc w:val="center"/>
              <w:rPr>
                <w:rFonts w:ascii="Arial" w:hAnsi="Arial" w:cs="Arial"/>
                <w:b/>
                <w:sz w:val="20"/>
                <w:szCs w:val="20"/>
              </w:rPr>
            </w:pPr>
            <w:r w:rsidRPr="00E92512">
              <w:rPr>
                <w:rFonts w:ascii="Arial" w:hAnsi="Arial" w:cs="Arial"/>
                <w:b/>
                <w:sz w:val="20"/>
                <w:szCs w:val="20"/>
              </w:rPr>
              <w:t>30 or 32</w:t>
            </w:r>
          </w:p>
        </w:tc>
        <w:tc>
          <w:tcPr>
            <w:tcW w:w="1985" w:type="dxa"/>
            <w:shd w:val="clear" w:color="auto" w:fill="808080" w:themeFill="background1" w:themeFillShade="80"/>
          </w:tcPr>
          <w:p w:rsidR="006220D3" w:rsidRPr="00E92512" w:rsidRDefault="006220D3" w:rsidP="00E92512">
            <w:pPr>
              <w:tabs>
                <w:tab w:val="left" w:pos="-567"/>
              </w:tabs>
              <w:spacing w:before="60" w:after="60"/>
              <w:jc w:val="center"/>
              <w:rPr>
                <w:rFonts w:ascii="Arial" w:hAnsi="Arial" w:cs="Arial"/>
                <w:b/>
                <w:sz w:val="20"/>
                <w:szCs w:val="20"/>
              </w:rPr>
            </w:pPr>
            <w:r w:rsidRPr="00E92512">
              <w:rPr>
                <w:rFonts w:ascii="Arial" w:hAnsi="Arial" w:cs="Arial"/>
                <w:b/>
                <w:sz w:val="20"/>
                <w:szCs w:val="20"/>
              </w:rPr>
              <w:t>4</w:t>
            </w:r>
          </w:p>
        </w:tc>
        <w:tc>
          <w:tcPr>
            <w:tcW w:w="2126" w:type="dxa"/>
            <w:shd w:val="clear" w:color="auto" w:fill="808080" w:themeFill="background1" w:themeFillShade="80"/>
          </w:tcPr>
          <w:p w:rsidR="006220D3" w:rsidRPr="00E92512" w:rsidRDefault="006220D3" w:rsidP="00E92512">
            <w:pPr>
              <w:tabs>
                <w:tab w:val="left" w:pos="-567"/>
              </w:tabs>
              <w:spacing w:before="60" w:after="60"/>
              <w:jc w:val="center"/>
              <w:rPr>
                <w:rFonts w:ascii="Arial" w:hAnsi="Arial" w:cs="Arial"/>
                <w:b/>
                <w:sz w:val="20"/>
                <w:szCs w:val="20"/>
              </w:rPr>
            </w:pPr>
            <w:r w:rsidRPr="00E92512">
              <w:rPr>
                <w:rFonts w:ascii="Arial" w:hAnsi="Arial" w:cs="Arial"/>
                <w:b/>
                <w:sz w:val="20"/>
                <w:szCs w:val="20"/>
              </w:rPr>
              <w:t>2.5</w:t>
            </w:r>
          </w:p>
        </w:tc>
        <w:tc>
          <w:tcPr>
            <w:tcW w:w="1523" w:type="dxa"/>
            <w:shd w:val="clear" w:color="auto" w:fill="808080" w:themeFill="background1" w:themeFillShade="80"/>
          </w:tcPr>
          <w:p w:rsidR="006220D3" w:rsidRPr="00E92512" w:rsidRDefault="006220D3" w:rsidP="00E92512">
            <w:pPr>
              <w:tabs>
                <w:tab w:val="left" w:pos="-567"/>
              </w:tabs>
              <w:spacing w:before="60" w:after="60"/>
              <w:jc w:val="center"/>
              <w:rPr>
                <w:rFonts w:ascii="Arial" w:hAnsi="Arial" w:cs="Arial"/>
                <w:b/>
                <w:sz w:val="20"/>
                <w:szCs w:val="20"/>
              </w:rPr>
            </w:pPr>
            <w:r w:rsidRPr="00E92512">
              <w:rPr>
                <w:rFonts w:ascii="Arial" w:hAnsi="Arial" w:cs="Arial"/>
                <w:b/>
                <w:sz w:val="20"/>
                <w:szCs w:val="20"/>
              </w:rPr>
              <w:t>75</w:t>
            </w:r>
          </w:p>
        </w:tc>
      </w:tr>
      <w:tr w:rsidR="00537328" w:rsidRPr="006220D3" w:rsidTr="00C33DF8">
        <w:tc>
          <w:tcPr>
            <w:tcW w:w="1101" w:type="dxa"/>
            <w:shd w:val="clear" w:color="auto" w:fill="D9D9D9" w:themeFill="background1" w:themeFillShade="D9"/>
          </w:tcPr>
          <w:p w:rsidR="006220D3" w:rsidRPr="00E92512" w:rsidRDefault="006220D3" w:rsidP="00E92512">
            <w:pPr>
              <w:tabs>
                <w:tab w:val="left" w:pos="-567"/>
              </w:tabs>
              <w:spacing w:before="60" w:after="60"/>
              <w:jc w:val="center"/>
              <w:rPr>
                <w:rFonts w:ascii="Arial" w:hAnsi="Arial" w:cs="Arial"/>
                <w:b/>
                <w:sz w:val="20"/>
                <w:szCs w:val="20"/>
              </w:rPr>
            </w:pPr>
            <w:r w:rsidRPr="00E92512">
              <w:rPr>
                <w:rFonts w:ascii="Arial" w:hAnsi="Arial" w:cs="Arial"/>
                <w:b/>
                <w:sz w:val="20"/>
                <w:szCs w:val="20"/>
              </w:rPr>
              <w:t>A3</w:t>
            </w:r>
          </w:p>
        </w:tc>
        <w:tc>
          <w:tcPr>
            <w:tcW w:w="992" w:type="dxa"/>
            <w:shd w:val="clear" w:color="auto" w:fill="D9D9D9" w:themeFill="background1" w:themeFillShade="D9"/>
          </w:tcPr>
          <w:p w:rsidR="006220D3" w:rsidRPr="00E92512" w:rsidRDefault="006220D3" w:rsidP="00E92512">
            <w:pPr>
              <w:tabs>
                <w:tab w:val="left" w:pos="-567"/>
              </w:tabs>
              <w:spacing w:before="60" w:after="60"/>
              <w:jc w:val="center"/>
              <w:rPr>
                <w:rFonts w:ascii="Arial" w:hAnsi="Arial" w:cs="Arial"/>
                <w:b/>
                <w:sz w:val="20"/>
                <w:szCs w:val="20"/>
              </w:rPr>
            </w:pPr>
            <w:r w:rsidRPr="00E92512">
              <w:rPr>
                <w:rFonts w:ascii="Arial" w:hAnsi="Arial" w:cs="Arial"/>
                <w:b/>
                <w:sz w:val="20"/>
                <w:szCs w:val="20"/>
              </w:rPr>
              <w:t>Radial</w:t>
            </w:r>
          </w:p>
        </w:tc>
        <w:tc>
          <w:tcPr>
            <w:tcW w:w="1559" w:type="dxa"/>
            <w:shd w:val="clear" w:color="auto" w:fill="D9D9D9" w:themeFill="background1" w:themeFillShade="D9"/>
          </w:tcPr>
          <w:p w:rsidR="006220D3" w:rsidRPr="00E92512" w:rsidRDefault="006220D3" w:rsidP="00E92512">
            <w:pPr>
              <w:tabs>
                <w:tab w:val="left" w:pos="-567"/>
              </w:tabs>
              <w:spacing w:before="60" w:after="60"/>
              <w:jc w:val="center"/>
              <w:rPr>
                <w:rFonts w:ascii="Arial" w:hAnsi="Arial" w:cs="Arial"/>
                <w:b/>
                <w:sz w:val="20"/>
                <w:szCs w:val="20"/>
              </w:rPr>
            </w:pPr>
            <w:r w:rsidRPr="00E92512">
              <w:rPr>
                <w:rFonts w:ascii="Arial" w:hAnsi="Arial" w:cs="Arial"/>
                <w:b/>
                <w:sz w:val="20"/>
                <w:szCs w:val="20"/>
              </w:rPr>
              <w:t>20</w:t>
            </w:r>
          </w:p>
        </w:tc>
        <w:tc>
          <w:tcPr>
            <w:tcW w:w="1985" w:type="dxa"/>
            <w:shd w:val="clear" w:color="auto" w:fill="D9D9D9" w:themeFill="background1" w:themeFillShade="D9"/>
          </w:tcPr>
          <w:p w:rsidR="006220D3" w:rsidRPr="00E92512" w:rsidRDefault="006220D3" w:rsidP="00E92512">
            <w:pPr>
              <w:tabs>
                <w:tab w:val="left" w:pos="-567"/>
              </w:tabs>
              <w:spacing w:before="60" w:after="60"/>
              <w:jc w:val="center"/>
              <w:rPr>
                <w:rFonts w:ascii="Arial" w:hAnsi="Arial" w:cs="Arial"/>
                <w:b/>
                <w:sz w:val="20"/>
                <w:szCs w:val="20"/>
              </w:rPr>
            </w:pPr>
            <w:r w:rsidRPr="00E92512">
              <w:rPr>
                <w:rFonts w:ascii="Arial" w:hAnsi="Arial" w:cs="Arial"/>
                <w:b/>
                <w:sz w:val="20"/>
                <w:szCs w:val="20"/>
              </w:rPr>
              <w:t>2.5</w:t>
            </w:r>
          </w:p>
        </w:tc>
        <w:tc>
          <w:tcPr>
            <w:tcW w:w="2126" w:type="dxa"/>
            <w:shd w:val="clear" w:color="auto" w:fill="D9D9D9" w:themeFill="background1" w:themeFillShade="D9"/>
          </w:tcPr>
          <w:p w:rsidR="006220D3" w:rsidRPr="00E92512" w:rsidRDefault="006220D3" w:rsidP="00E92512">
            <w:pPr>
              <w:tabs>
                <w:tab w:val="left" w:pos="-567"/>
              </w:tabs>
              <w:spacing w:before="60" w:after="60"/>
              <w:jc w:val="center"/>
              <w:rPr>
                <w:rFonts w:ascii="Arial" w:hAnsi="Arial" w:cs="Arial"/>
                <w:b/>
                <w:sz w:val="20"/>
                <w:szCs w:val="20"/>
              </w:rPr>
            </w:pPr>
            <w:r w:rsidRPr="00E92512">
              <w:rPr>
                <w:rFonts w:ascii="Arial" w:hAnsi="Arial" w:cs="Arial"/>
                <w:b/>
                <w:sz w:val="20"/>
                <w:szCs w:val="20"/>
              </w:rPr>
              <w:t>1.5</w:t>
            </w:r>
          </w:p>
        </w:tc>
        <w:tc>
          <w:tcPr>
            <w:tcW w:w="1523" w:type="dxa"/>
            <w:shd w:val="clear" w:color="auto" w:fill="D9D9D9" w:themeFill="background1" w:themeFillShade="D9"/>
          </w:tcPr>
          <w:p w:rsidR="006220D3" w:rsidRPr="00E92512" w:rsidRDefault="006220D3" w:rsidP="00E92512">
            <w:pPr>
              <w:tabs>
                <w:tab w:val="left" w:pos="-567"/>
              </w:tabs>
              <w:spacing w:before="60" w:after="60"/>
              <w:jc w:val="center"/>
              <w:rPr>
                <w:rFonts w:ascii="Arial" w:hAnsi="Arial" w:cs="Arial"/>
                <w:b/>
                <w:sz w:val="20"/>
                <w:szCs w:val="20"/>
              </w:rPr>
            </w:pPr>
            <w:r w:rsidRPr="00E92512">
              <w:rPr>
                <w:rFonts w:ascii="Arial" w:hAnsi="Arial" w:cs="Arial"/>
                <w:b/>
                <w:sz w:val="20"/>
                <w:szCs w:val="20"/>
              </w:rPr>
              <w:t>50</w:t>
            </w:r>
          </w:p>
        </w:tc>
      </w:tr>
    </w:tbl>
    <w:p w:rsidR="009F365C" w:rsidRDefault="007A245D" w:rsidP="008E7624">
      <w:pPr>
        <w:tabs>
          <w:tab w:val="left" w:pos="-567"/>
        </w:tabs>
        <w:spacing w:after="120"/>
        <w:rPr>
          <w:rFonts w:ascii="Arial" w:hAnsi="Arial" w:cs="Arial"/>
          <w:sz w:val="16"/>
          <w:szCs w:val="16"/>
        </w:rPr>
      </w:pPr>
      <w:r>
        <w:rPr>
          <w:rFonts w:ascii="Arial" w:hAnsi="Arial" w:cs="Arial"/>
          <w:sz w:val="16"/>
          <w:szCs w:val="16"/>
        </w:rPr>
        <w:t>The above reproduced from the IET On</w:t>
      </w:r>
      <w:r>
        <w:rPr>
          <w:rFonts w:ascii="Arial" w:hAnsi="Arial" w:cs="Arial"/>
          <w:sz w:val="16"/>
          <w:szCs w:val="16"/>
        </w:rPr>
        <w:noBreakHyphen/>
        <w:t>Site Guide</w:t>
      </w:r>
    </w:p>
    <w:p w:rsidR="008E7624" w:rsidRDefault="00004DF4" w:rsidP="00FF18E7">
      <w:pPr>
        <w:rPr>
          <w:rFonts w:ascii="Arial" w:hAnsi="Arial" w:cs="Arial"/>
          <w:sz w:val="22"/>
          <w:szCs w:val="22"/>
        </w:rPr>
      </w:pPr>
      <w:r>
        <w:rPr>
          <w:rFonts w:ascii="Arial" w:hAnsi="Arial" w:cs="Arial"/>
          <w:sz w:val="22"/>
          <w:szCs w:val="22"/>
        </w:rPr>
        <w:t xml:space="preserve">Additionally, </w:t>
      </w:r>
      <w:r w:rsidR="008E7624" w:rsidRPr="008E7624">
        <w:rPr>
          <w:rFonts w:ascii="Arial" w:hAnsi="Arial" w:cs="Arial"/>
          <w:sz w:val="22"/>
          <w:szCs w:val="22"/>
        </w:rPr>
        <w:t>sockets outlets with a rating not exceeding 20A and mobile equipment with a current rating not exceeding 32A for use outdoors, must be protected by an RCD with a rating (I</w:t>
      </w:r>
      <w:r w:rsidR="008E7624" w:rsidRPr="008E7624">
        <w:rPr>
          <w:rFonts w:ascii="Calibri" w:hAnsi="Calibri" w:cs="Arial"/>
          <w:sz w:val="22"/>
          <w:szCs w:val="22"/>
          <w:vertAlign w:val="subscript"/>
        </w:rPr>
        <w:t>Δ</w:t>
      </w:r>
      <w:r w:rsidR="008E7624" w:rsidRPr="008E7624">
        <w:rPr>
          <w:rFonts w:ascii="Arial" w:hAnsi="Arial" w:cs="Arial"/>
          <w:sz w:val="22"/>
          <w:szCs w:val="22"/>
          <w:vertAlign w:val="subscript"/>
        </w:rPr>
        <w:t>n</w:t>
      </w:r>
      <w:r w:rsidR="008E7624" w:rsidRPr="008E7624">
        <w:rPr>
          <w:rFonts w:ascii="Arial" w:hAnsi="Arial" w:cs="Arial"/>
          <w:sz w:val="22"/>
          <w:szCs w:val="22"/>
        </w:rPr>
        <w:t>) not exceeding 30mA and an operating time not exceeding 40mS at 5 x I</w:t>
      </w:r>
      <w:r w:rsidR="008E7624" w:rsidRPr="008E7624">
        <w:rPr>
          <w:rFonts w:ascii="Calibri" w:hAnsi="Calibri" w:cs="Arial"/>
          <w:sz w:val="22"/>
          <w:szCs w:val="22"/>
          <w:vertAlign w:val="subscript"/>
        </w:rPr>
        <w:t>Δ</w:t>
      </w:r>
      <w:r w:rsidR="008E7624" w:rsidRPr="008E7624">
        <w:rPr>
          <w:rFonts w:ascii="Arial" w:hAnsi="Arial" w:cs="Arial"/>
          <w:sz w:val="22"/>
          <w:szCs w:val="22"/>
          <w:vertAlign w:val="subscript"/>
        </w:rPr>
        <w:t>n</w:t>
      </w:r>
      <w:r w:rsidR="008E7624">
        <w:rPr>
          <w:rFonts w:ascii="Arial" w:hAnsi="Arial" w:cs="Arial"/>
          <w:sz w:val="22"/>
          <w:szCs w:val="22"/>
        </w:rPr>
        <w:t xml:space="preserve"> (</w:t>
      </w:r>
      <w:r w:rsidR="00E030FC">
        <w:rPr>
          <w:rFonts w:ascii="Arial" w:hAnsi="Arial" w:cs="Arial"/>
          <w:sz w:val="22"/>
          <w:szCs w:val="22"/>
        </w:rPr>
        <w:t>BS 7671</w:t>
      </w:r>
      <w:r w:rsidR="008E7624">
        <w:rPr>
          <w:rFonts w:ascii="Arial" w:hAnsi="Arial" w:cs="Arial"/>
          <w:sz w:val="22"/>
          <w:szCs w:val="22"/>
        </w:rPr>
        <w:t xml:space="preserve"> Regulation 411.3.3)</w:t>
      </w:r>
      <w:r w:rsidR="008E7624" w:rsidRPr="008E7624">
        <w:rPr>
          <w:rFonts w:ascii="Arial" w:hAnsi="Arial" w:cs="Arial"/>
          <w:sz w:val="22"/>
          <w:szCs w:val="22"/>
        </w:rPr>
        <w:t>.</w:t>
      </w:r>
    </w:p>
    <w:p w:rsidR="004D3B7E" w:rsidRPr="004D3B7E" w:rsidRDefault="00004DF4" w:rsidP="00004DF4">
      <w:pPr>
        <w:tabs>
          <w:tab w:val="left" w:pos="-567"/>
        </w:tabs>
        <w:spacing w:after="120"/>
        <w:rPr>
          <w:rFonts w:ascii="Arial" w:hAnsi="Arial" w:cs="Arial"/>
          <w:b/>
          <w:sz w:val="22"/>
          <w:szCs w:val="22"/>
        </w:rPr>
      </w:pPr>
      <w:r>
        <w:rPr>
          <w:rFonts w:ascii="Arial" w:hAnsi="Arial" w:cs="Arial"/>
          <w:b/>
          <w:sz w:val="22"/>
          <w:szCs w:val="22"/>
        </w:rPr>
        <w:br w:type="page"/>
      </w:r>
      <w:r w:rsidR="004D3B7E" w:rsidRPr="004D3B7E">
        <w:rPr>
          <w:rFonts w:ascii="Arial" w:hAnsi="Arial" w:cs="Arial"/>
          <w:b/>
          <w:sz w:val="22"/>
          <w:szCs w:val="22"/>
        </w:rPr>
        <w:lastRenderedPageBreak/>
        <w:t xml:space="preserve">Radial </w:t>
      </w:r>
      <w:r w:rsidR="00E0487C">
        <w:rPr>
          <w:rFonts w:ascii="Arial" w:hAnsi="Arial" w:cs="Arial"/>
          <w:b/>
          <w:sz w:val="22"/>
          <w:szCs w:val="22"/>
        </w:rPr>
        <w:t>final c</w:t>
      </w:r>
      <w:r w:rsidR="004D3B7E" w:rsidRPr="004D3B7E">
        <w:rPr>
          <w:rFonts w:ascii="Arial" w:hAnsi="Arial" w:cs="Arial"/>
          <w:b/>
          <w:sz w:val="22"/>
          <w:szCs w:val="22"/>
        </w:rPr>
        <w:t>ircuits</w:t>
      </w:r>
    </w:p>
    <w:p w:rsidR="004D3B7E" w:rsidRDefault="004D3B7E" w:rsidP="00004DF4">
      <w:pPr>
        <w:pStyle w:val="BodyText"/>
        <w:tabs>
          <w:tab w:val="left" w:pos="-567"/>
        </w:tabs>
        <w:rPr>
          <w:rFonts w:ascii="Arial" w:hAnsi="Arial" w:cs="Arial"/>
          <w:sz w:val="22"/>
          <w:szCs w:val="22"/>
        </w:rPr>
      </w:pPr>
      <w:r w:rsidRPr="004D3B7E">
        <w:rPr>
          <w:rFonts w:ascii="Arial" w:hAnsi="Arial" w:cs="Arial"/>
          <w:sz w:val="22"/>
          <w:szCs w:val="22"/>
        </w:rPr>
        <w:t xml:space="preserve">In a radial final circuit </w:t>
      </w:r>
      <w:r w:rsidR="00180B0D">
        <w:rPr>
          <w:rFonts w:ascii="Arial" w:hAnsi="Arial" w:cs="Arial"/>
          <w:sz w:val="22"/>
          <w:szCs w:val="22"/>
        </w:rPr>
        <w:t xml:space="preserve">the cable comprising of a line, neutral and cpc ‘radiates’ from the consumer </w:t>
      </w:r>
      <w:r w:rsidR="00EB33E8">
        <w:rPr>
          <w:rFonts w:ascii="Arial" w:hAnsi="Arial" w:cs="Arial"/>
          <w:sz w:val="22"/>
          <w:szCs w:val="22"/>
        </w:rPr>
        <w:t xml:space="preserve">control unit (CCU) </w:t>
      </w:r>
      <w:r w:rsidR="00180B0D">
        <w:rPr>
          <w:rFonts w:ascii="Arial" w:hAnsi="Arial" w:cs="Arial"/>
          <w:sz w:val="22"/>
          <w:szCs w:val="22"/>
        </w:rPr>
        <w:t xml:space="preserve">looping in and out of each socket outlet until the last outlet is reached and the circuit ends. </w:t>
      </w:r>
      <w:r w:rsidR="00EB33E8">
        <w:rPr>
          <w:rFonts w:ascii="Arial" w:hAnsi="Arial" w:cs="Arial"/>
          <w:sz w:val="22"/>
          <w:szCs w:val="22"/>
        </w:rPr>
        <w:t xml:space="preserve">The protective device and cable sizes can be found in </w:t>
      </w:r>
      <w:r w:rsidR="00EB33E8" w:rsidRPr="004D3B7E">
        <w:rPr>
          <w:rFonts w:ascii="Arial" w:hAnsi="Arial" w:cs="Arial"/>
          <w:sz w:val="22"/>
          <w:szCs w:val="22"/>
        </w:rPr>
        <w:t xml:space="preserve">Table H2.1 in Appendix H of the On-Site Guide but </w:t>
      </w:r>
      <w:r w:rsidR="00EB33E8">
        <w:rPr>
          <w:rFonts w:ascii="Arial" w:hAnsi="Arial" w:cs="Arial"/>
          <w:sz w:val="22"/>
          <w:szCs w:val="22"/>
        </w:rPr>
        <w:t>can be represented by the diagram below:</w:t>
      </w:r>
    </w:p>
    <w:tbl>
      <w:tblPr>
        <w:tblW w:w="9889" w:type="dxa"/>
        <w:tblLook w:val="04A0" w:firstRow="1" w:lastRow="0" w:firstColumn="1" w:lastColumn="0" w:noHBand="0" w:noVBand="1"/>
      </w:tblPr>
      <w:tblGrid>
        <w:gridCol w:w="9889"/>
      </w:tblGrid>
      <w:tr w:rsidR="009538B8" w:rsidTr="00C71533">
        <w:tc>
          <w:tcPr>
            <w:tcW w:w="9889" w:type="dxa"/>
            <w:shd w:val="clear" w:color="auto" w:fill="auto"/>
          </w:tcPr>
          <w:p w:rsidR="009538B8" w:rsidRPr="00E92512" w:rsidRDefault="00C71533" w:rsidP="00FF18E7">
            <w:pPr>
              <w:pStyle w:val="BodyText"/>
              <w:tabs>
                <w:tab w:val="left" w:pos="-567"/>
              </w:tabs>
              <w:spacing w:before="240" w:after="480"/>
              <w:jc w:val="center"/>
              <w:rPr>
                <w:rFonts w:ascii="Arial" w:hAnsi="Arial" w:cs="Arial"/>
                <w:sz w:val="22"/>
                <w:szCs w:val="22"/>
              </w:rPr>
            </w:pPr>
            <w:r>
              <w:rPr>
                <w:rFonts w:ascii="Arial" w:hAnsi="Arial" w:cs="Arial"/>
                <w:noProof/>
                <w:sz w:val="22"/>
                <w:szCs w:val="22"/>
              </w:rPr>
              <w:drawing>
                <wp:inline distT="0" distB="0" distL="0" distR="0">
                  <wp:extent cx="4686300" cy="1085850"/>
                  <wp:effectExtent l="0" t="0" r="0" b="0"/>
                  <wp:docPr id="1" name="Picture 3" descr="01 A2 rad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 A2 radi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1085850"/>
                          </a:xfrm>
                          <a:prstGeom prst="rect">
                            <a:avLst/>
                          </a:prstGeom>
                          <a:noFill/>
                          <a:ln>
                            <a:noFill/>
                          </a:ln>
                        </pic:spPr>
                      </pic:pic>
                    </a:graphicData>
                  </a:graphic>
                </wp:inline>
              </w:drawing>
            </w:r>
          </w:p>
        </w:tc>
      </w:tr>
      <w:tr w:rsidR="00783AD0" w:rsidTr="00C71533">
        <w:tc>
          <w:tcPr>
            <w:tcW w:w="9889" w:type="dxa"/>
            <w:shd w:val="clear" w:color="auto" w:fill="auto"/>
          </w:tcPr>
          <w:p w:rsidR="00783AD0" w:rsidRPr="00E92512" w:rsidRDefault="00C71533" w:rsidP="00FF18E7">
            <w:pPr>
              <w:pStyle w:val="BodyText"/>
              <w:tabs>
                <w:tab w:val="left" w:pos="-567"/>
              </w:tabs>
              <w:spacing w:before="240" w:after="480"/>
              <w:jc w:val="center"/>
              <w:rPr>
                <w:rFonts w:ascii="Arial" w:hAnsi="Arial" w:cs="Arial"/>
                <w:sz w:val="22"/>
                <w:szCs w:val="22"/>
              </w:rPr>
            </w:pPr>
            <w:r>
              <w:rPr>
                <w:rFonts w:ascii="Arial" w:hAnsi="Arial" w:cs="Arial"/>
                <w:noProof/>
                <w:sz w:val="22"/>
                <w:szCs w:val="22"/>
              </w:rPr>
              <w:drawing>
                <wp:inline distT="0" distB="0" distL="0" distR="0">
                  <wp:extent cx="4686300" cy="904875"/>
                  <wp:effectExtent l="0" t="0" r="0" b="9525"/>
                  <wp:docPr id="2" name="Picture 5" descr="02 A3 rad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2 A3 radi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904875"/>
                          </a:xfrm>
                          <a:prstGeom prst="rect">
                            <a:avLst/>
                          </a:prstGeom>
                          <a:noFill/>
                          <a:ln>
                            <a:noFill/>
                          </a:ln>
                        </pic:spPr>
                      </pic:pic>
                    </a:graphicData>
                  </a:graphic>
                </wp:inline>
              </w:drawing>
            </w:r>
          </w:p>
        </w:tc>
      </w:tr>
    </w:tbl>
    <w:p w:rsidR="00CE5012" w:rsidRPr="004D3B7E" w:rsidRDefault="00CE5012" w:rsidP="00004DF4">
      <w:pPr>
        <w:tabs>
          <w:tab w:val="left" w:pos="-567"/>
        </w:tabs>
        <w:spacing w:after="120"/>
        <w:rPr>
          <w:rFonts w:ascii="Arial" w:hAnsi="Arial" w:cs="Arial"/>
          <w:b/>
          <w:sz w:val="22"/>
          <w:szCs w:val="22"/>
        </w:rPr>
      </w:pPr>
      <w:r w:rsidRPr="004D3B7E">
        <w:rPr>
          <w:rFonts w:ascii="Arial" w:hAnsi="Arial" w:cs="Arial"/>
          <w:b/>
          <w:sz w:val="22"/>
          <w:szCs w:val="22"/>
        </w:rPr>
        <w:t xml:space="preserve">Ring </w:t>
      </w:r>
      <w:r w:rsidR="005B58F0">
        <w:rPr>
          <w:rFonts w:ascii="Arial" w:hAnsi="Arial" w:cs="Arial"/>
          <w:b/>
          <w:sz w:val="22"/>
          <w:szCs w:val="22"/>
        </w:rPr>
        <w:t>f</w:t>
      </w:r>
      <w:r w:rsidRPr="004D3B7E">
        <w:rPr>
          <w:rFonts w:ascii="Arial" w:hAnsi="Arial" w:cs="Arial"/>
          <w:b/>
          <w:sz w:val="22"/>
          <w:szCs w:val="22"/>
        </w:rPr>
        <w:t xml:space="preserve">inal </w:t>
      </w:r>
      <w:r w:rsidR="005B58F0">
        <w:rPr>
          <w:rFonts w:ascii="Arial" w:hAnsi="Arial" w:cs="Arial"/>
          <w:b/>
          <w:sz w:val="22"/>
          <w:szCs w:val="22"/>
        </w:rPr>
        <w:t>c</w:t>
      </w:r>
      <w:r w:rsidRPr="004D3B7E">
        <w:rPr>
          <w:rFonts w:ascii="Arial" w:hAnsi="Arial" w:cs="Arial"/>
          <w:b/>
          <w:sz w:val="22"/>
          <w:szCs w:val="22"/>
        </w:rPr>
        <w:t>ircuits</w:t>
      </w:r>
    </w:p>
    <w:p w:rsidR="00EB33E8" w:rsidRDefault="00EB33E8" w:rsidP="00004DF4">
      <w:pPr>
        <w:pStyle w:val="BodyText"/>
        <w:tabs>
          <w:tab w:val="left" w:pos="-567"/>
        </w:tabs>
        <w:rPr>
          <w:rFonts w:ascii="Arial" w:hAnsi="Arial" w:cs="Arial"/>
          <w:sz w:val="22"/>
          <w:szCs w:val="22"/>
        </w:rPr>
      </w:pPr>
      <w:r w:rsidRPr="004D3B7E">
        <w:rPr>
          <w:rFonts w:ascii="Arial" w:hAnsi="Arial" w:cs="Arial"/>
          <w:sz w:val="22"/>
          <w:szCs w:val="22"/>
        </w:rPr>
        <w:t>In a r</w:t>
      </w:r>
      <w:r>
        <w:rPr>
          <w:rFonts w:ascii="Arial" w:hAnsi="Arial" w:cs="Arial"/>
          <w:sz w:val="22"/>
          <w:szCs w:val="22"/>
        </w:rPr>
        <w:t>ing</w:t>
      </w:r>
      <w:r w:rsidRPr="004D3B7E">
        <w:rPr>
          <w:rFonts w:ascii="Arial" w:hAnsi="Arial" w:cs="Arial"/>
          <w:sz w:val="22"/>
          <w:szCs w:val="22"/>
        </w:rPr>
        <w:t xml:space="preserve"> final circuit </w:t>
      </w:r>
      <w:r>
        <w:rPr>
          <w:rFonts w:ascii="Arial" w:hAnsi="Arial" w:cs="Arial"/>
          <w:sz w:val="22"/>
          <w:szCs w:val="22"/>
        </w:rPr>
        <w:t>the cable comprising of a line, neutral and cpc starts at the consumer control unit (CCU) looping in and out of each socket outlet until the last outlet is reached and then a cable is brought back to the CCU where it is connected int</w:t>
      </w:r>
      <w:r w:rsidR="00F85193">
        <w:rPr>
          <w:rFonts w:ascii="Arial" w:hAnsi="Arial" w:cs="Arial"/>
          <w:sz w:val="22"/>
          <w:szCs w:val="22"/>
        </w:rPr>
        <w:t>o the same terminals as the out</w:t>
      </w:r>
      <w:r>
        <w:rPr>
          <w:rFonts w:ascii="Arial" w:hAnsi="Arial" w:cs="Arial"/>
          <w:sz w:val="22"/>
          <w:szCs w:val="22"/>
        </w:rPr>
        <w:t xml:space="preserve">going cable. The protective device and cable sizes can be found in </w:t>
      </w:r>
      <w:r w:rsidRPr="004D3B7E">
        <w:rPr>
          <w:rFonts w:ascii="Arial" w:hAnsi="Arial" w:cs="Arial"/>
          <w:sz w:val="22"/>
          <w:szCs w:val="22"/>
        </w:rPr>
        <w:t xml:space="preserve">Table H2.1 in Appendix H of the </w:t>
      </w:r>
      <w:r w:rsidR="00F85193">
        <w:rPr>
          <w:rFonts w:ascii="Arial" w:hAnsi="Arial" w:cs="Arial"/>
          <w:sz w:val="22"/>
          <w:szCs w:val="22"/>
        </w:rPr>
        <w:t>On-Site Guide</w:t>
      </w:r>
      <w:bookmarkStart w:id="0" w:name="_GoBack"/>
      <w:bookmarkEnd w:id="0"/>
      <w:r w:rsidRPr="004D3B7E">
        <w:rPr>
          <w:rFonts w:ascii="Arial" w:hAnsi="Arial" w:cs="Arial"/>
          <w:sz w:val="22"/>
          <w:szCs w:val="22"/>
        </w:rPr>
        <w:t xml:space="preserve"> but </w:t>
      </w:r>
      <w:r>
        <w:rPr>
          <w:rFonts w:ascii="Arial" w:hAnsi="Arial" w:cs="Arial"/>
          <w:sz w:val="22"/>
          <w:szCs w:val="22"/>
        </w:rPr>
        <w:t>can be represented by the diagram below:</w:t>
      </w:r>
    </w:p>
    <w:tbl>
      <w:tblPr>
        <w:tblW w:w="9889" w:type="dxa"/>
        <w:tblLook w:val="04A0" w:firstRow="1" w:lastRow="0" w:firstColumn="1" w:lastColumn="0" w:noHBand="0" w:noVBand="1"/>
      </w:tblPr>
      <w:tblGrid>
        <w:gridCol w:w="9889"/>
      </w:tblGrid>
      <w:tr w:rsidR="00CE5012" w:rsidTr="00C71533">
        <w:tc>
          <w:tcPr>
            <w:tcW w:w="9889" w:type="dxa"/>
            <w:shd w:val="clear" w:color="auto" w:fill="auto"/>
          </w:tcPr>
          <w:p w:rsidR="00CE5012" w:rsidRPr="00E92512" w:rsidRDefault="00C71533" w:rsidP="00FF18E7">
            <w:pPr>
              <w:pStyle w:val="BodyText"/>
              <w:tabs>
                <w:tab w:val="left" w:pos="-567"/>
              </w:tabs>
              <w:spacing w:before="240" w:after="480"/>
              <w:jc w:val="center"/>
              <w:rPr>
                <w:rFonts w:ascii="Arial" w:hAnsi="Arial" w:cs="Arial"/>
                <w:sz w:val="22"/>
                <w:szCs w:val="22"/>
              </w:rPr>
            </w:pPr>
            <w:r>
              <w:rPr>
                <w:rFonts w:ascii="Arial" w:hAnsi="Arial" w:cs="Arial"/>
                <w:noProof/>
                <w:sz w:val="22"/>
                <w:szCs w:val="22"/>
              </w:rPr>
              <w:drawing>
                <wp:inline distT="0" distB="0" distL="0" distR="0">
                  <wp:extent cx="4581525" cy="2209800"/>
                  <wp:effectExtent l="0" t="0" r="9525" b="0"/>
                  <wp:docPr id="3" name="Picture 7" descr="03 A1 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3 A1 r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2209800"/>
                          </a:xfrm>
                          <a:prstGeom prst="rect">
                            <a:avLst/>
                          </a:prstGeom>
                          <a:noFill/>
                          <a:ln>
                            <a:noFill/>
                          </a:ln>
                        </pic:spPr>
                      </pic:pic>
                    </a:graphicData>
                  </a:graphic>
                </wp:inline>
              </w:drawing>
            </w:r>
          </w:p>
        </w:tc>
      </w:tr>
    </w:tbl>
    <w:p w:rsidR="004D3B7E" w:rsidRDefault="00EB33E8" w:rsidP="00FF18E7">
      <w:pPr>
        <w:tabs>
          <w:tab w:val="left" w:pos="-567"/>
        </w:tabs>
        <w:rPr>
          <w:rFonts w:ascii="Arial" w:hAnsi="Arial" w:cs="Arial"/>
          <w:sz w:val="22"/>
          <w:szCs w:val="22"/>
        </w:rPr>
      </w:pPr>
      <w:r>
        <w:rPr>
          <w:rFonts w:ascii="Arial" w:hAnsi="Arial" w:cs="Arial"/>
          <w:sz w:val="22"/>
          <w:szCs w:val="22"/>
        </w:rPr>
        <w:t>The standard ring final circuit utilises smaller conductors than the equivalent radial final circuit because the current going to each socket outlet comes from two directions</w:t>
      </w:r>
      <w:r w:rsidR="00693A15">
        <w:rPr>
          <w:rFonts w:ascii="Arial" w:hAnsi="Arial" w:cs="Arial"/>
          <w:sz w:val="22"/>
          <w:szCs w:val="22"/>
        </w:rPr>
        <w:t>,</w:t>
      </w:r>
      <w:r>
        <w:rPr>
          <w:rFonts w:ascii="Arial" w:hAnsi="Arial" w:cs="Arial"/>
          <w:sz w:val="22"/>
          <w:szCs w:val="22"/>
        </w:rPr>
        <w:t xml:space="preserve"> thus spreading the load. It </w:t>
      </w:r>
      <w:r w:rsidR="00693A15">
        <w:rPr>
          <w:rFonts w:ascii="Arial" w:hAnsi="Arial" w:cs="Arial"/>
          <w:sz w:val="22"/>
          <w:szCs w:val="22"/>
        </w:rPr>
        <w:t xml:space="preserve">is </w:t>
      </w:r>
      <w:r>
        <w:rPr>
          <w:rFonts w:ascii="Arial" w:hAnsi="Arial" w:cs="Arial"/>
          <w:sz w:val="22"/>
          <w:szCs w:val="22"/>
        </w:rPr>
        <w:t xml:space="preserve">vitally important that the ring remains </w:t>
      </w:r>
      <w:r w:rsidR="00FF18E7">
        <w:rPr>
          <w:rFonts w:ascii="Arial" w:hAnsi="Arial" w:cs="Arial"/>
          <w:sz w:val="22"/>
          <w:szCs w:val="22"/>
        </w:rPr>
        <w:t>continuous;</w:t>
      </w:r>
      <w:r>
        <w:rPr>
          <w:rFonts w:ascii="Arial" w:hAnsi="Arial" w:cs="Arial"/>
          <w:sz w:val="22"/>
          <w:szCs w:val="22"/>
        </w:rPr>
        <w:t xml:space="preserve"> otherwise there is a risk of overloading on</w:t>
      </w:r>
      <w:r w:rsidR="00693A15">
        <w:rPr>
          <w:rFonts w:ascii="Arial" w:hAnsi="Arial" w:cs="Arial"/>
          <w:sz w:val="22"/>
          <w:szCs w:val="22"/>
        </w:rPr>
        <w:t>e</w:t>
      </w:r>
      <w:r>
        <w:rPr>
          <w:rFonts w:ascii="Arial" w:hAnsi="Arial" w:cs="Arial"/>
          <w:sz w:val="22"/>
          <w:szCs w:val="22"/>
        </w:rPr>
        <w:t xml:space="preserve"> or more of the cables if the ring is broken. It is for this reason that a special test</w:t>
      </w:r>
      <w:r w:rsidR="00693A15">
        <w:rPr>
          <w:rFonts w:ascii="Arial" w:hAnsi="Arial" w:cs="Arial"/>
          <w:sz w:val="22"/>
          <w:szCs w:val="22"/>
        </w:rPr>
        <w:t xml:space="preserve"> –</w:t>
      </w:r>
      <w:r>
        <w:rPr>
          <w:rFonts w:ascii="Arial" w:hAnsi="Arial" w:cs="Arial"/>
          <w:sz w:val="22"/>
          <w:szCs w:val="22"/>
        </w:rPr>
        <w:t xml:space="preserve"> the </w:t>
      </w:r>
      <w:r w:rsidRPr="00693A15">
        <w:rPr>
          <w:rFonts w:ascii="Arial" w:hAnsi="Arial" w:cs="Arial"/>
          <w:b/>
          <w:sz w:val="22"/>
          <w:szCs w:val="22"/>
        </w:rPr>
        <w:t>continuity of ring final circuit conductors</w:t>
      </w:r>
      <w:r>
        <w:rPr>
          <w:rFonts w:ascii="Arial" w:hAnsi="Arial" w:cs="Arial"/>
          <w:sz w:val="22"/>
          <w:szCs w:val="22"/>
        </w:rPr>
        <w:t xml:space="preserve"> test</w:t>
      </w:r>
      <w:r w:rsidR="00693A15">
        <w:rPr>
          <w:rFonts w:ascii="Arial" w:hAnsi="Arial" w:cs="Arial"/>
          <w:sz w:val="22"/>
          <w:szCs w:val="22"/>
        </w:rPr>
        <w:t xml:space="preserve"> –</w:t>
      </w:r>
      <w:r>
        <w:rPr>
          <w:rFonts w:ascii="Arial" w:hAnsi="Arial" w:cs="Arial"/>
          <w:sz w:val="22"/>
          <w:szCs w:val="22"/>
        </w:rPr>
        <w:t xml:space="preserve"> must be </w:t>
      </w:r>
      <w:r w:rsidR="00F41701">
        <w:rPr>
          <w:rFonts w:ascii="Arial" w:hAnsi="Arial" w:cs="Arial"/>
          <w:sz w:val="22"/>
          <w:szCs w:val="22"/>
        </w:rPr>
        <w:t>carried out</w:t>
      </w:r>
      <w:r>
        <w:rPr>
          <w:rFonts w:ascii="Arial" w:hAnsi="Arial" w:cs="Arial"/>
          <w:sz w:val="22"/>
          <w:szCs w:val="22"/>
        </w:rPr>
        <w:t xml:space="preserve"> </w:t>
      </w:r>
      <w:r w:rsidR="00F41701">
        <w:rPr>
          <w:rFonts w:ascii="Arial" w:hAnsi="Arial" w:cs="Arial"/>
          <w:sz w:val="22"/>
          <w:szCs w:val="22"/>
        </w:rPr>
        <w:t>during the testing process to check that there are no breaks or interconnections to the ring.</w:t>
      </w:r>
    </w:p>
    <w:p w:rsidR="00E030FC" w:rsidRPr="004D3B7E" w:rsidRDefault="00FF18E7" w:rsidP="00004DF4">
      <w:pPr>
        <w:tabs>
          <w:tab w:val="left" w:pos="-567"/>
        </w:tabs>
        <w:spacing w:after="120"/>
        <w:rPr>
          <w:rFonts w:ascii="Arial" w:hAnsi="Arial" w:cs="Arial"/>
          <w:sz w:val="22"/>
          <w:szCs w:val="22"/>
        </w:rPr>
      </w:pPr>
      <w:r>
        <w:rPr>
          <w:rFonts w:ascii="Arial" w:hAnsi="Arial" w:cs="Arial"/>
          <w:sz w:val="22"/>
          <w:szCs w:val="22"/>
        </w:rPr>
        <w:br w:type="page"/>
      </w:r>
      <w:r w:rsidR="00E030FC" w:rsidRPr="004D3B7E">
        <w:rPr>
          <w:rFonts w:ascii="Arial" w:hAnsi="Arial" w:cs="Arial"/>
          <w:b/>
          <w:sz w:val="22"/>
          <w:szCs w:val="22"/>
        </w:rPr>
        <w:lastRenderedPageBreak/>
        <w:t xml:space="preserve">Spurs </w:t>
      </w:r>
      <w:r w:rsidR="00E030FC">
        <w:rPr>
          <w:rFonts w:ascii="Arial" w:hAnsi="Arial" w:cs="Arial"/>
          <w:b/>
          <w:sz w:val="22"/>
          <w:szCs w:val="22"/>
        </w:rPr>
        <w:t>f</w:t>
      </w:r>
      <w:r w:rsidR="00E030FC" w:rsidRPr="004D3B7E">
        <w:rPr>
          <w:rFonts w:ascii="Arial" w:hAnsi="Arial" w:cs="Arial"/>
          <w:b/>
          <w:sz w:val="22"/>
          <w:szCs w:val="22"/>
        </w:rPr>
        <w:t xml:space="preserve">rom </w:t>
      </w:r>
      <w:r w:rsidR="00E030FC">
        <w:rPr>
          <w:rFonts w:ascii="Arial" w:hAnsi="Arial" w:cs="Arial"/>
          <w:b/>
          <w:sz w:val="22"/>
          <w:szCs w:val="22"/>
        </w:rPr>
        <w:t>s</w:t>
      </w:r>
      <w:r w:rsidR="00E030FC" w:rsidRPr="004D3B7E">
        <w:rPr>
          <w:rFonts w:ascii="Arial" w:hAnsi="Arial" w:cs="Arial"/>
          <w:b/>
          <w:sz w:val="22"/>
          <w:szCs w:val="22"/>
        </w:rPr>
        <w:t xml:space="preserve">ocket </w:t>
      </w:r>
      <w:r w:rsidR="00E030FC">
        <w:rPr>
          <w:rFonts w:ascii="Arial" w:hAnsi="Arial" w:cs="Arial"/>
          <w:b/>
          <w:sz w:val="22"/>
          <w:szCs w:val="22"/>
        </w:rPr>
        <w:t>c</w:t>
      </w:r>
      <w:r w:rsidR="00E030FC" w:rsidRPr="004D3B7E">
        <w:rPr>
          <w:rFonts w:ascii="Arial" w:hAnsi="Arial" w:cs="Arial"/>
          <w:b/>
          <w:sz w:val="22"/>
          <w:szCs w:val="22"/>
        </w:rPr>
        <w:t>ircuits</w:t>
      </w:r>
    </w:p>
    <w:p w:rsidR="00E030FC" w:rsidRPr="004D3B7E" w:rsidRDefault="00E030FC" w:rsidP="00004DF4">
      <w:pPr>
        <w:tabs>
          <w:tab w:val="left" w:pos="-567"/>
        </w:tabs>
        <w:spacing w:after="120"/>
        <w:rPr>
          <w:rFonts w:ascii="Arial" w:hAnsi="Arial" w:cs="Arial"/>
          <w:sz w:val="22"/>
          <w:szCs w:val="22"/>
        </w:rPr>
      </w:pPr>
      <w:r w:rsidRPr="004D3B7E">
        <w:rPr>
          <w:rFonts w:ascii="Arial" w:hAnsi="Arial" w:cs="Arial"/>
          <w:sz w:val="22"/>
          <w:szCs w:val="22"/>
        </w:rPr>
        <w:t>A spur is defined in Part 2 of BS</w:t>
      </w:r>
      <w:r>
        <w:rPr>
          <w:rFonts w:ascii="Arial" w:hAnsi="Arial" w:cs="Arial"/>
          <w:sz w:val="22"/>
          <w:szCs w:val="22"/>
        </w:rPr>
        <w:t> </w:t>
      </w:r>
      <w:r w:rsidRPr="004D3B7E">
        <w:rPr>
          <w:rFonts w:ascii="Arial" w:hAnsi="Arial" w:cs="Arial"/>
          <w:sz w:val="22"/>
          <w:szCs w:val="22"/>
        </w:rPr>
        <w:t xml:space="preserve">7671 as </w:t>
      </w:r>
      <w:r w:rsidRPr="00693A15">
        <w:rPr>
          <w:rFonts w:ascii="Arial" w:hAnsi="Arial" w:cs="Arial"/>
          <w:b/>
          <w:sz w:val="22"/>
          <w:szCs w:val="22"/>
        </w:rPr>
        <w:t>‘</w:t>
      </w:r>
      <w:r w:rsidRPr="00693A15">
        <w:rPr>
          <w:rFonts w:ascii="Arial" w:hAnsi="Arial" w:cs="Arial"/>
          <w:b/>
          <w:iCs/>
          <w:sz w:val="22"/>
          <w:szCs w:val="22"/>
        </w:rPr>
        <w:t>a branch from a ring or radial final circuit</w:t>
      </w:r>
      <w:r w:rsidRPr="00693A15">
        <w:rPr>
          <w:rFonts w:ascii="Arial" w:hAnsi="Arial" w:cs="Arial"/>
          <w:b/>
          <w:sz w:val="22"/>
          <w:szCs w:val="22"/>
        </w:rPr>
        <w:t>’</w:t>
      </w:r>
      <w:r w:rsidRPr="00693A15">
        <w:rPr>
          <w:rFonts w:ascii="Arial" w:hAnsi="Arial" w:cs="Arial"/>
          <w:sz w:val="22"/>
          <w:szCs w:val="22"/>
        </w:rPr>
        <w:t>.</w:t>
      </w:r>
    </w:p>
    <w:p w:rsidR="00F41701" w:rsidRDefault="00E030FC" w:rsidP="00004DF4">
      <w:pPr>
        <w:tabs>
          <w:tab w:val="left" w:pos="-567"/>
        </w:tabs>
        <w:spacing w:after="120"/>
        <w:rPr>
          <w:rFonts w:ascii="Arial" w:hAnsi="Arial" w:cs="Arial"/>
          <w:sz w:val="22"/>
          <w:szCs w:val="22"/>
        </w:rPr>
      </w:pPr>
      <w:r>
        <w:rPr>
          <w:rFonts w:ascii="Arial" w:hAnsi="Arial" w:cs="Arial"/>
          <w:sz w:val="22"/>
          <w:szCs w:val="22"/>
        </w:rPr>
        <w:t>Further clarification on the arrange</w:t>
      </w:r>
      <w:r w:rsidR="006F52CF">
        <w:rPr>
          <w:rFonts w:ascii="Arial" w:hAnsi="Arial" w:cs="Arial"/>
          <w:sz w:val="22"/>
          <w:szCs w:val="22"/>
        </w:rPr>
        <w:t>ment</w:t>
      </w:r>
      <w:r>
        <w:rPr>
          <w:rFonts w:ascii="Arial" w:hAnsi="Arial" w:cs="Arial"/>
          <w:sz w:val="22"/>
          <w:szCs w:val="22"/>
        </w:rPr>
        <w:t xml:space="preserve"> of spurs for ring and radial final circuits can be found in Appendix 15 of BS 7671.</w:t>
      </w:r>
    </w:p>
    <w:tbl>
      <w:tblPr>
        <w:tblW w:w="9889" w:type="dxa"/>
        <w:tblLook w:val="04A0" w:firstRow="1" w:lastRow="0" w:firstColumn="1" w:lastColumn="0" w:noHBand="0" w:noVBand="1"/>
      </w:tblPr>
      <w:tblGrid>
        <w:gridCol w:w="5863"/>
        <w:gridCol w:w="4026"/>
      </w:tblGrid>
      <w:tr w:rsidR="00DB0AE9" w:rsidTr="00C71533">
        <w:tc>
          <w:tcPr>
            <w:tcW w:w="5878" w:type="dxa"/>
            <w:shd w:val="clear" w:color="auto" w:fill="auto"/>
          </w:tcPr>
          <w:p w:rsidR="00DB0AE9" w:rsidRPr="00E92512" w:rsidRDefault="00DB0AE9" w:rsidP="00004DF4">
            <w:pPr>
              <w:tabs>
                <w:tab w:val="left" w:pos="-567"/>
              </w:tabs>
              <w:spacing w:after="120"/>
              <w:rPr>
                <w:rFonts w:ascii="Arial" w:hAnsi="Arial" w:cs="Arial"/>
                <w:sz w:val="22"/>
                <w:szCs w:val="22"/>
              </w:rPr>
            </w:pPr>
            <w:r w:rsidRPr="00E92512">
              <w:rPr>
                <w:rFonts w:ascii="Arial" w:hAnsi="Arial" w:cs="Arial"/>
                <w:sz w:val="22"/>
                <w:szCs w:val="22"/>
              </w:rPr>
              <w:t>A spur can branch from the circuit by:</w:t>
            </w:r>
          </w:p>
          <w:p w:rsidR="00DB0AE9" w:rsidRPr="00E92512" w:rsidRDefault="00944264" w:rsidP="00004DF4">
            <w:pPr>
              <w:pStyle w:val="ListParagraph"/>
              <w:numPr>
                <w:ilvl w:val="0"/>
                <w:numId w:val="2"/>
              </w:numPr>
              <w:tabs>
                <w:tab w:val="left" w:pos="-567"/>
              </w:tabs>
              <w:spacing w:after="120"/>
              <w:rPr>
                <w:rFonts w:ascii="Arial" w:hAnsi="Arial" w:cs="Arial"/>
              </w:rPr>
            </w:pPr>
            <w:r w:rsidRPr="00E92512">
              <w:rPr>
                <w:rFonts w:ascii="Arial" w:hAnsi="Arial" w:cs="Arial"/>
              </w:rPr>
              <w:t>u</w:t>
            </w:r>
            <w:r w:rsidR="00DB0AE9" w:rsidRPr="00E92512">
              <w:rPr>
                <w:rFonts w:ascii="Arial" w:hAnsi="Arial" w:cs="Arial"/>
              </w:rPr>
              <w:t>sing a joint box of the appropriate rating (must be accessible for inspection, testing and maintenance unless fitted with maintenance</w:t>
            </w:r>
            <w:r w:rsidR="00DB0AE9" w:rsidRPr="00E92512">
              <w:rPr>
                <w:rFonts w:ascii="Arial" w:hAnsi="Arial" w:cs="Arial"/>
              </w:rPr>
              <w:noBreakHyphen/>
              <w:t>free terminals)</w:t>
            </w:r>
          </w:p>
          <w:p w:rsidR="00DB0AE9" w:rsidRPr="00E92512" w:rsidRDefault="00944264" w:rsidP="00004DF4">
            <w:pPr>
              <w:pStyle w:val="ListParagraph"/>
              <w:numPr>
                <w:ilvl w:val="0"/>
                <w:numId w:val="2"/>
              </w:numPr>
              <w:tabs>
                <w:tab w:val="left" w:pos="-567"/>
              </w:tabs>
              <w:spacing w:after="120"/>
              <w:rPr>
                <w:rFonts w:ascii="Arial" w:hAnsi="Arial" w:cs="Arial"/>
              </w:rPr>
            </w:pPr>
            <w:r w:rsidRPr="00E92512">
              <w:rPr>
                <w:rFonts w:ascii="Arial" w:hAnsi="Arial" w:cs="Arial"/>
              </w:rPr>
              <w:t>b</w:t>
            </w:r>
            <w:r w:rsidR="00DB0AE9" w:rsidRPr="00E92512">
              <w:rPr>
                <w:rFonts w:ascii="Arial" w:hAnsi="Arial" w:cs="Arial"/>
              </w:rPr>
              <w:t>ranching from an outlet connected directly into the final circuit.</w:t>
            </w:r>
          </w:p>
          <w:p w:rsidR="00DB0AE9" w:rsidRPr="00E92512" w:rsidRDefault="00DB0AE9" w:rsidP="00004DF4">
            <w:pPr>
              <w:tabs>
                <w:tab w:val="left" w:pos="-567"/>
              </w:tabs>
              <w:spacing w:after="120"/>
              <w:rPr>
                <w:rFonts w:ascii="Arial" w:hAnsi="Arial" w:cs="Arial"/>
                <w:sz w:val="22"/>
                <w:szCs w:val="22"/>
              </w:rPr>
            </w:pPr>
            <w:r w:rsidRPr="00E92512">
              <w:rPr>
                <w:rFonts w:ascii="Arial" w:hAnsi="Arial" w:cs="Arial"/>
                <w:sz w:val="22"/>
                <w:szCs w:val="22"/>
              </w:rPr>
              <w:t>The following points must be remembered when dealing with unfused</w:t>
            </w:r>
            <w:r w:rsidR="00944264" w:rsidRPr="00E92512">
              <w:rPr>
                <w:rFonts w:ascii="Arial" w:hAnsi="Arial" w:cs="Arial"/>
                <w:sz w:val="22"/>
                <w:szCs w:val="22"/>
              </w:rPr>
              <w:t xml:space="preserve"> spurs from ring final circuits.</w:t>
            </w:r>
          </w:p>
          <w:p w:rsidR="00DB0AE9" w:rsidRPr="00E92512" w:rsidRDefault="00DB0AE9" w:rsidP="00004DF4">
            <w:pPr>
              <w:pStyle w:val="ListParagraph"/>
              <w:numPr>
                <w:ilvl w:val="0"/>
                <w:numId w:val="3"/>
              </w:numPr>
              <w:tabs>
                <w:tab w:val="left" w:pos="-567"/>
              </w:tabs>
              <w:spacing w:after="120"/>
              <w:rPr>
                <w:rFonts w:ascii="Arial" w:hAnsi="Arial" w:cs="Arial"/>
              </w:rPr>
            </w:pPr>
            <w:r w:rsidRPr="00E92512">
              <w:rPr>
                <w:rFonts w:ascii="Arial" w:hAnsi="Arial" w:cs="Arial"/>
              </w:rPr>
              <w:t>The number of unfused spurs must not exceed the number of outlets connected directly to the ring.</w:t>
            </w:r>
          </w:p>
          <w:p w:rsidR="00DB0AE9" w:rsidRPr="00E92512" w:rsidRDefault="00DB0AE9" w:rsidP="00004DF4">
            <w:pPr>
              <w:pStyle w:val="ListParagraph"/>
              <w:numPr>
                <w:ilvl w:val="0"/>
                <w:numId w:val="3"/>
              </w:numPr>
              <w:tabs>
                <w:tab w:val="left" w:pos="-567"/>
              </w:tabs>
              <w:spacing w:after="120"/>
              <w:rPr>
                <w:rFonts w:ascii="Arial" w:hAnsi="Arial" w:cs="Arial"/>
              </w:rPr>
            </w:pPr>
            <w:r w:rsidRPr="00E92512">
              <w:rPr>
                <w:rFonts w:ascii="Arial" w:hAnsi="Arial" w:cs="Arial"/>
              </w:rPr>
              <w:t xml:space="preserve">Only one outlet </w:t>
            </w:r>
            <w:r w:rsidR="00944264" w:rsidRPr="00E92512">
              <w:rPr>
                <w:rFonts w:ascii="Arial" w:hAnsi="Arial" w:cs="Arial"/>
              </w:rPr>
              <w:t xml:space="preserve">is </w:t>
            </w:r>
            <w:r w:rsidRPr="00E92512">
              <w:rPr>
                <w:rFonts w:ascii="Arial" w:hAnsi="Arial" w:cs="Arial"/>
              </w:rPr>
              <w:t>permitted on each unfused spur.</w:t>
            </w:r>
          </w:p>
          <w:p w:rsidR="00DB0AE9" w:rsidRPr="00E92512" w:rsidRDefault="00DB0AE9" w:rsidP="00004DF4">
            <w:pPr>
              <w:pStyle w:val="ListParagraph"/>
              <w:numPr>
                <w:ilvl w:val="0"/>
                <w:numId w:val="3"/>
              </w:numPr>
              <w:tabs>
                <w:tab w:val="left" w:pos="-567"/>
              </w:tabs>
              <w:spacing w:after="120"/>
              <w:rPr>
                <w:rFonts w:ascii="Arial" w:hAnsi="Arial" w:cs="Arial"/>
              </w:rPr>
            </w:pPr>
            <w:r w:rsidRPr="00E92512">
              <w:rPr>
                <w:rFonts w:ascii="Arial" w:hAnsi="Arial" w:cs="Arial"/>
              </w:rPr>
              <w:t>An outlet is one single or one twin socket outlet or one piece of permanently connected equipment.</w:t>
            </w:r>
          </w:p>
        </w:tc>
        <w:tc>
          <w:tcPr>
            <w:tcW w:w="4011" w:type="dxa"/>
            <w:shd w:val="clear" w:color="auto" w:fill="auto"/>
            <w:vAlign w:val="center"/>
          </w:tcPr>
          <w:p w:rsidR="00DB0AE9" w:rsidRPr="00E92512" w:rsidRDefault="00C71533" w:rsidP="00FF18E7">
            <w:pPr>
              <w:tabs>
                <w:tab w:val="left" w:pos="-567"/>
              </w:tabs>
              <w:spacing w:before="360" w:after="360"/>
              <w:jc w:val="right"/>
              <w:rPr>
                <w:rFonts w:ascii="Arial" w:hAnsi="Arial" w:cs="Arial"/>
                <w:sz w:val="22"/>
                <w:szCs w:val="22"/>
              </w:rPr>
            </w:pPr>
            <w:r>
              <w:rPr>
                <w:rFonts w:ascii="Arial" w:hAnsi="Arial" w:cs="Arial"/>
                <w:noProof/>
                <w:sz w:val="22"/>
                <w:szCs w:val="22"/>
              </w:rPr>
              <w:drawing>
                <wp:inline distT="0" distB="0" distL="0" distR="0">
                  <wp:extent cx="2409825" cy="2933700"/>
                  <wp:effectExtent l="0" t="0" r="9525" b="0"/>
                  <wp:docPr id="4" name="Picture 4" descr="04 Sp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4 Spu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825" cy="2933700"/>
                          </a:xfrm>
                          <a:prstGeom prst="rect">
                            <a:avLst/>
                          </a:prstGeom>
                          <a:noFill/>
                          <a:ln>
                            <a:noFill/>
                          </a:ln>
                        </pic:spPr>
                      </pic:pic>
                    </a:graphicData>
                  </a:graphic>
                </wp:inline>
              </w:drawing>
            </w:r>
          </w:p>
        </w:tc>
      </w:tr>
    </w:tbl>
    <w:p w:rsidR="00F41701" w:rsidRPr="004D3B7E" w:rsidRDefault="00DB0AE9" w:rsidP="00004DF4">
      <w:pPr>
        <w:tabs>
          <w:tab w:val="left" w:pos="-567"/>
        </w:tabs>
        <w:spacing w:after="120"/>
        <w:rPr>
          <w:rFonts w:ascii="Arial" w:hAnsi="Arial" w:cs="Arial"/>
          <w:sz w:val="22"/>
          <w:szCs w:val="22"/>
        </w:rPr>
      </w:pPr>
      <w:r>
        <w:rPr>
          <w:rFonts w:ascii="Arial" w:hAnsi="Arial" w:cs="Arial"/>
          <w:sz w:val="22"/>
          <w:szCs w:val="22"/>
        </w:rPr>
        <w:t>With fused spurs, that is, one fed from a fused connection unit, the number of outlets connected to the fused spur is not restricted.</w:t>
      </w:r>
    </w:p>
    <w:p w:rsidR="00DB0AE9" w:rsidRPr="00DB0AE9" w:rsidRDefault="00DB0AE9" w:rsidP="00004DF4">
      <w:pPr>
        <w:tabs>
          <w:tab w:val="left" w:pos="-567"/>
        </w:tabs>
        <w:spacing w:after="120"/>
        <w:rPr>
          <w:rFonts w:ascii="Arial" w:hAnsi="Arial" w:cs="Arial"/>
          <w:b/>
          <w:sz w:val="22"/>
          <w:szCs w:val="22"/>
        </w:rPr>
      </w:pPr>
      <w:r w:rsidRPr="00DB0AE9">
        <w:rPr>
          <w:rFonts w:ascii="Arial" w:hAnsi="Arial" w:cs="Arial"/>
          <w:b/>
          <w:sz w:val="22"/>
          <w:szCs w:val="22"/>
        </w:rPr>
        <w:t>General socket circuit considerations</w:t>
      </w:r>
    </w:p>
    <w:p w:rsidR="00DB0AE9" w:rsidRPr="00E608A5" w:rsidRDefault="00DB0AE9" w:rsidP="00004DF4">
      <w:pPr>
        <w:pStyle w:val="ListParagraph"/>
        <w:numPr>
          <w:ilvl w:val="0"/>
          <w:numId w:val="4"/>
        </w:numPr>
        <w:tabs>
          <w:tab w:val="left" w:pos="-567"/>
        </w:tabs>
        <w:spacing w:after="120"/>
        <w:rPr>
          <w:rFonts w:ascii="Arial" w:hAnsi="Arial" w:cs="Arial"/>
        </w:rPr>
      </w:pPr>
      <w:r w:rsidRPr="00E608A5">
        <w:rPr>
          <w:rFonts w:ascii="Arial" w:hAnsi="Arial" w:cs="Arial"/>
        </w:rPr>
        <w:t>It is generally desirable to install at least two socket circuits in an installation so that if a fault occurs, there will still be some live outlets available in the premises.</w:t>
      </w:r>
      <w:r w:rsidR="00E608A5" w:rsidRPr="00E608A5">
        <w:rPr>
          <w:rFonts w:ascii="Arial" w:hAnsi="Arial" w:cs="Arial"/>
        </w:rPr>
        <w:t xml:space="preserve"> In a domestic house this usually means one circuit downstairs and one upstairs.</w:t>
      </w:r>
    </w:p>
    <w:p w:rsidR="00E608A5" w:rsidRPr="00E608A5" w:rsidRDefault="00DB0AE9" w:rsidP="00004DF4">
      <w:pPr>
        <w:pStyle w:val="ListParagraph"/>
        <w:numPr>
          <w:ilvl w:val="0"/>
          <w:numId w:val="4"/>
        </w:numPr>
        <w:tabs>
          <w:tab w:val="left" w:pos="-567"/>
        </w:tabs>
        <w:spacing w:after="120"/>
        <w:rPr>
          <w:rFonts w:ascii="Arial" w:hAnsi="Arial" w:cs="Arial"/>
        </w:rPr>
      </w:pPr>
      <w:r w:rsidRPr="00E608A5">
        <w:rPr>
          <w:rFonts w:ascii="Arial" w:hAnsi="Arial" w:cs="Arial"/>
        </w:rPr>
        <w:t>Where multiple circuits are installed</w:t>
      </w:r>
      <w:r w:rsidR="00E608A5" w:rsidRPr="00E608A5">
        <w:rPr>
          <w:rFonts w:ascii="Arial" w:hAnsi="Arial" w:cs="Arial"/>
        </w:rPr>
        <w:t>, the number of outlets connected to each circuit should be roughly the same so that no circuit is greatly loaded compared to others.</w:t>
      </w:r>
    </w:p>
    <w:p w:rsidR="00E608A5" w:rsidRPr="00E608A5" w:rsidRDefault="00E608A5" w:rsidP="00004DF4">
      <w:pPr>
        <w:pStyle w:val="ListParagraph"/>
        <w:numPr>
          <w:ilvl w:val="0"/>
          <w:numId w:val="4"/>
        </w:numPr>
        <w:tabs>
          <w:tab w:val="left" w:pos="-567"/>
        </w:tabs>
        <w:spacing w:after="120"/>
        <w:rPr>
          <w:rFonts w:ascii="Arial" w:hAnsi="Arial" w:cs="Arial"/>
        </w:rPr>
      </w:pPr>
      <w:r w:rsidRPr="00E608A5">
        <w:rPr>
          <w:rFonts w:ascii="Arial" w:hAnsi="Arial" w:cs="Arial"/>
        </w:rPr>
        <w:t>Although socket outlet circuits allow an unlimited number of outlets to be installed, the total estimated current demand connected to the circuit should not exceed the rating of the protective device protecting that circuit.</w:t>
      </w:r>
    </w:p>
    <w:p w:rsidR="00E608A5" w:rsidRPr="00E608A5" w:rsidRDefault="00542E11" w:rsidP="00004DF4">
      <w:pPr>
        <w:pStyle w:val="ListParagraph"/>
        <w:numPr>
          <w:ilvl w:val="0"/>
          <w:numId w:val="4"/>
        </w:numPr>
        <w:tabs>
          <w:tab w:val="left" w:pos="-567"/>
        </w:tabs>
        <w:spacing w:after="120"/>
        <w:rPr>
          <w:rFonts w:ascii="Arial" w:hAnsi="Arial" w:cs="Arial"/>
        </w:rPr>
      </w:pPr>
      <w:r>
        <w:rPr>
          <w:rFonts w:ascii="Arial" w:hAnsi="Arial" w:cs="Arial"/>
        </w:rPr>
        <w:t>A</w:t>
      </w:r>
      <w:r w:rsidRPr="00E608A5">
        <w:rPr>
          <w:rFonts w:ascii="Arial" w:hAnsi="Arial" w:cs="Arial"/>
        </w:rPr>
        <w:t xml:space="preserve"> s</w:t>
      </w:r>
      <w:r>
        <w:rPr>
          <w:rFonts w:ascii="Arial" w:hAnsi="Arial" w:cs="Arial"/>
        </w:rPr>
        <w:t xml:space="preserve">eparate circuit for the kitchen, </w:t>
      </w:r>
      <w:r w:rsidR="00E608A5" w:rsidRPr="00E608A5">
        <w:rPr>
          <w:rFonts w:ascii="Arial" w:hAnsi="Arial" w:cs="Arial"/>
        </w:rPr>
        <w:t>where there is likely to be a large number of appliances used simultaneously, should be considered.</w:t>
      </w:r>
    </w:p>
    <w:p w:rsidR="00FF18E7" w:rsidRDefault="00543582" w:rsidP="00004DF4">
      <w:pPr>
        <w:spacing w:after="120"/>
        <w:rPr>
          <w:sz w:val="22"/>
          <w:szCs w:val="22"/>
        </w:rPr>
      </w:pPr>
      <w:r>
        <w:rPr>
          <w:sz w:val="22"/>
          <w:szCs w:val="22"/>
        </w:rPr>
        <w:pict>
          <v:rect id="_x0000_i1026" style="width:0;height:1.5pt" o:hralign="center" o:hrstd="t" o:hr="t" fillcolor="#a0a0a0" stroked="f"/>
        </w:pict>
      </w:r>
    </w:p>
    <w:sectPr w:rsidR="00FF18E7" w:rsidSect="00C71533">
      <w:headerReference w:type="default" r:id="rId12"/>
      <w:footerReference w:type="default" r:id="rId13"/>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582" w:rsidRDefault="00543582">
      <w:r>
        <w:separator/>
      </w:r>
    </w:p>
  </w:endnote>
  <w:endnote w:type="continuationSeparator" w:id="0">
    <w:p w:rsidR="00543582" w:rsidRDefault="00543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6265"/>
      <w:gridCol w:w="3373"/>
    </w:tblGrid>
    <w:tr w:rsidR="00EC6823" w:rsidRPr="005A76CF" w:rsidTr="0006256B">
      <w:tc>
        <w:tcPr>
          <w:tcW w:w="3250" w:type="pct"/>
          <w:shd w:val="clear" w:color="auto" w:fill="auto"/>
        </w:tcPr>
        <w:p w:rsidR="00EC6823" w:rsidRPr="005A76CF" w:rsidRDefault="00EC6823" w:rsidP="0006256B">
          <w:pPr>
            <w:pStyle w:val="Footer"/>
            <w:spacing w:before="20"/>
            <w:rPr>
              <w:rFonts w:ascii="Arial" w:hAnsi="Arial" w:cs="Arial"/>
              <w:sz w:val="18"/>
            </w:rPr>
          </w:pPr>
          <w:r w:rsidRPr="005A76CF">
            <w:rPr>
              <w:rFonts w:ascii="Arial" w:hAnsi="Arial" w:cs="Arial"/>
              <w:sz w:val="18"/>
            </w:rPr>
            <w:t xml:space="preserve">© </w:t>
          </w:r>
          <w:r w:rsidRPr="005A76CF">
            <w:rPr>
              <w:rFonts w:ascii="Arial" w:hAnsi="Arial" w:cs="Arial"/>
              <w:sz w:val="18"/>
            </w:rPr>
            <w:fldChar w:fldCharType="begin"/>
          </w:r>
          <w:r w:rsidRPr="005A76CF">
            <w:rPr>
              <w:rFonts w:ascii="Arial" w:hAnsi="Arial" w:cs="Arial"/>
              <w:sz w:val="18"/>
            </w:rPr>
            <w:instrText xml:space="preserve"> DATE \@ "yyyy" \* MERGEFORMAT </w:instrText>
          </w:r>
          <w:r w:rsidRPr="005A76CF">
            <w:rPr>
              <w:rFonts w:ascii="Arial" w:hAnsi="Arial" w:cs="Arial"/>
              <w:sz w:val="18"/>
            </w:rPr>
            <w:fldChar w:fldCharType="separate"/>
          </w:r>
          <w:r w:rsidR="00C33DF8">
            <w:rPr>
              <w:rFonts w:ascii="Arial" w:hAnsi="Arial" w:cs="Arial"/>
              <w:noProof/>
              <w:sz w:val="18"/>
            </w:rPr>
            <w:t>2015</w:t>
          </w:r>
          <w:r w:rsidRPr="005A76CF">
            <w:rPr>
              <w:rFonts w:ascii="Arial" w:hAnsi="Arial" w:cs="Arial"/>
              <w:sz w:val="18"/>
            </w:rPr>
            <w:fldChar w:fldCharType="end"/>
          </w:r>
          <w:r w:rsidRPr="005A76CF">
            <w:rPr>
              <w:rFonts w:ascii="Arial" w:hAnsi="Arial" w:cs="Arial"/>
              <w:sz w:val="18"/>
            </w:rPr>
            <w:t xml:space="preserve"> City and Guilds of London Institute. All rights reserved.</w:t>
          </w:r>
        </w:p>
        <w:p w:rsidR="00EC6823" w:rsidRPr="005A76CF" w:rsidRDefault="00EC6823" w:rsidP="0006256B">
          <w:pPr>
            <w:pStyle w:val="Footer"/>
            <w:spacing w:before="20"/>
            <w:rPr>
              <w:rFonts w:ascii="Arial" w:hAnsi="Arial" w:cs="Arial"/>
              <w:sz w:val="18"/>
            </w:rPr>
          </w:pPr>
          <w:r w:rsidRPr="005A76CF">
            <w:rPr>
              <w:rFonts w:ascii="Arial" w:hAnsi="Arial" w:cs="Arial"/>
              <w:sz w:val="18"/>
            </w:rPr>
            <w:t>www.SmartScreen.co.uk</w:t>
          </w:r>
        </w:p>
      </w:tc>
      <w:tc>
        <w:tcPr>
          <w:tcW w:w="2500" w:type="pct"/>
          <w:shd w:val="clear" w:color="auto" w:fill="auto"/>
        </w:tcPr>
        <w:p w:rsidR="00EC6823" w:rsidRPr="005A76CF" w:rsidRDefault="00EC6823" w:rsidP="0006256B">
          <w:pPr>
            <w:pStyle w:val="Footer"/>
            <w:spacing w:before="20"/>
            <w:jc w:val="right"/>
            <w:rPr>
              <w:rFonts w:ascii="Arial" w:hAnsi="Arial" w:cs="Arial"/>
              <w:sz w:val="18"/>
            </w:rPr>
          </w:pPr>
          <w:r w:rsidRPr="005A76CF">
            <w:rPr>
              <w:rFonts w:ascii="Arial" w:hAnsi="Arial" w:cs="Arial"/>
              <w:sz w:val="18"/>
            </w:rPr>
            <w:t xml:space="preserve">Page </w:t>
          </w:r>
          <w:r w:rsidRPr="005A76CF">
            <w:rPr>
              <w:rFonts w:ascii="Arial" w:hAnsi="Arial" w:cs="Arial"/>
              <w:sz w:val="18"/>
            </w:rPr>
            <w:fldChar w:fldCharType="begin"/>
          </w:r>
          <w:r w:rsidRPr="005A76CF">
            <w:rPr>
              <w:rFonts w:ascii="Arial" w:hAnsi="Arial" w:cs="Arial"/>
              <w:sz w:val="18"/>
            </w:rPr>
            <w:instrText xml:space="preserve"> PAGE   \* MERGEFORMAT </w:instrText>
          </w:r>
          <w:r w:rsidRPr="005A76CF">
            <w:rPr>
              <w:rFonts w:ascii="Arial" w:hAnsi="Arial" w:cs="Arial"/>
              <w:sz w:val="18"/>
            </w:rPr>
            <w:fldChar w:fldCharType="separate"/>
          </w:r>
          <w:r w:rsidR="00C33DF8">
            <w:rPr>
              <w:rFonts w:ascii="Arial" w:hAnsi="Arial" w:cs="Arial"/>
              <w:noProof/>
              <w:sz w:val="18"/>
            </w:rPr>
            <w:t>3</w:t>
          </w:r>
          <w:r w:rsidRPr="005A76CF">
            <w:rPr>
              <w:rFonts w:ascii="Arial" w:hAnsi="Arial" w:cs="Arial"/>
              <w:sz w:val="18"/>
            </w:rPr>
            <w:fldChar w:fldCharType="end"/>
          </w:r>
          <w:r w:rsidRPr="005A76CF">
            <w:rPr>
              <w:rFonts w:ascii="Arial" w:hAnsi="Arial" w:cs="Arial"/>
              <w:sz w:val="18"/>
            </w:rPr>
            <w:t xml:space="preserve"> of </w:t>
          </w:r>
          <w:r w:rsidRPr="005A76CF">
            <w:rPr>
              <w:rFonts w:ascii="Arial" w:hAnsi="Arial" w:cs="Arial"/>
              <w:sz w:val="18"/>
            </w:rPr>
            <w:fldChar w:fldCharType="begin"/>
          </w:r>
          <w:r w:rsidRPr="005A76CF">
            <w:rPr>
              <w:rFonts w:ascii="Arial" w:hAnsi="Arial" w:cs="Arial"/>
              <w:sz w:val="18"/>
            </w:rPr>
            <w:instrText xml:space="preserve"> NUMPAGES   \* MERGEFORMAT </w:instrText>
          </w:r>
          <w:r w:rsidRPr="005A76CF">
            <w:rPr>
              <w:rFonts w:ascii="Arial" w:hAnsi="Arial" w:cs="Arial"/>
              <w:sz w:val="18"/>
            </w:rPr>
            <w:fldChar w:fldCharType="separate"/>
          </w:r>
          <w:r w:rsidR="00C33DF8">
            <w:rPr>
              <w:rFonts w:ascii="Arial" w:hAnsi="Arial" w:cs="Arial"/>
              <w:noProof/>
              <w:sz w:val="18"/>
            </w:rPr>
            <w:t>3</w:t>
          </w:r>
          <w:r w:rsidRPr="005A76CF">
            <w:rPr>
              <w:rFonts w:ascii="Arial" w:hAnsi="Arial" w:cs="Arial"/>
              <w:sz w:val="18"/>
            </w:rPr>
            <w:fldChar w:fldCharType="end"/>
          </w:r>
        </w:p>
      </w:tc>
    </w:tr>
  </w:tbl>
  <w:p w:rsidR="00EC6823" w:rsidRPr="00004DF4" w:rsidRDefault="00EC6823">
    <w:pPr>
      <w:pStyle w:val="Foo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582" w:rsidRDefault="00543582">
      <w:r>
        <w:separator/>
      </w:r>
    </w:p>
  </w:footnote>
  <w:footnote w:type="continuationSeparator" w:id="0">
    <w:p w:rsidR="00543582" w:rsidRDefault="005435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1E0" w:firstRow="1" w:lastRow="1" w:firstColumn="1" w:lastColumn="1" w:noHBand="0" w:noVBand="0"/>
    </w:tblPr>
    <w:tblGrid>
      <w:gridCol w:w="6251"/>
      <w:gridCol w:w="3387"/>
    </w:tblGrid>
    <w:tr w:rsidR="008C1497" w:rsidRPr="00BE2849" w:rsidTr="007E0408">
      <w:tc>
        <w:tcPr>
          <w:tcW w:w="3243" w:type="pct"/>
          <w:shd w:val="clear" w:color="auto" w:fill="auto"/>
        </w:tcPr>
        <w:p w:rsidR="008C1497" w:rsidRPr="00BE2849" w:rsidRDefault="008C1497" w:rsidP="00BE2849">
          <w:pPr>
            <w:pStyle w:val="Header"/>
            <w:rPr>
              <w:rFonts w:ascii="Arial" w:hAnsi="Arial" w:cs="Arial"/>
              <w:sz w:val="18"/>
            </w:rPr>
          </w:pPr>
          <w:r w:rsidRPr="00BE2849">
            <w:rPr>
              <w:rFonts w:ascii="Arial" w:hAnsi="Arial" w:cs="Arial"/>
              <w:sz w:val="18"/>
            </w:rPr>
            <w:t>SmartScreen</w:t>
          </w:r>
        </w:p>
        <w:p w:rsidR="008C1497" w:rsidRPr="00BE2849" w:rsidRDefault="008C1497" w:rsidP="00BE2849">
          <w:pPr>
            <w:pStyle w:val="Header"/>
            <w:rPr>
              <w:rFonts w:ascii="Arial" w:hAnsi="Arial" w:cs="Arial"/>
              <w:sz w:val="18"/>
            </w:rPr>
          </w:pPr>
          <w:r w:rsidRPr="007E0408">
            <w:rPr>
              <w:rFonts w:ascii="Arial" w:hAnsi="Arial" w:cs="Arial"/>
              <w:sz w:val="18"/>
            </w:rPr>
            <w:t>Level 2 Diploma in Electrical Installations (Buildings and Structures)</w:t>
          </w:r>
        </w:p>
      </w:tc>
      <w:tc>
        <w:tcPr>
          <w:tcW w:w="1757" w:type="pct"/>
          <w:shd w:val="clear" w:color="auto" w:fill="auto"/>
          <w:vAlign w:val="bottom"/>
        </w:tcPr>
        <w:p w:rsidR="008C1497" w:rsidRPr="00BE2849" w:rsidRDefault="008C1497" w:rsidP="00F7376D">
          <w:pPr>
            <w:pStyle w:val="Header"/>
            <w:jc w:val="right"/>
            <w:rPr>
              <w:rFonts w:ascii="Arial" w:hAnsi="Arial" w:cs="Arial"/>
              <w:sz w:val="18"/>
            </w:rPr>
          </w:pPr>
          <w:r w:rsidRPr="00BE2849">
            <w:rPr>
              <w:rFonts w:ascii="Arial" w:hAnsi="Arial" w:cs="Arial"/>
              <w:sz w:val="18"/>
            </w:rPr>
            <w:t>Unit 20</w:t>
          </w:r>
          <w:r w:rsidR="007A6CA5">
            <w:rPr>
              <w:rFonts w:ascii="Arial" w:hAnsi="Arial" w:cs="Arial"/>
              <w:sz w:val="18"/>
            </w:rPr>
            <w:t>3</w:t>
          </w:r>
          <w:r w:rsidRPr="00BE2849">
            <w:rPr>
              <w:rFonts w:ascii="Arial" w:hAnsi="Arial" w:cs="Arial"/>
              <w:sz w:val="18"/>
            </w:rPr>
            <w:t xml:space="preserve"> Handout </w:t>
          </w:r>
          <w:r w:rsidR="00F7376D">
            <w:rPr>
              <w:rFonts w:ascii="Arial" w:hAnsi="Arial" w:cs="Arial"/>
              <w:sz w:val="18"/>
            </w:rPr>
            <w:t>6</w:t>
          </w:r>
        </w:p>
      </w:tc>
    </w:tr>
  </w:tbl>
  <w:p w:rsidR="008C1497" w:rsidRPr="00C71533" w:rsidRDefault="008C1497" w:rsidP="00BE2849">
    <w:pPr>
      <w:pStyle w:val="Header"/>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671C4"/>
    <w:multiLevelType w:val="hybridMultilevel"/>
    <w:tmpl w:val="5314B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81512B"/>
    <w:multiLevelType w:val="multilevel"/>
    <w:tmpl w:val="32AE9FFA"/>
    <w:lvl w:ilvl="0">
      <w:start w:val="3"/>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DF70598"/>
    <w:multiLevelType w:val="hybridMultilevel"/>
    <w:tmpl w:val="8676E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FFA27F8"/>
    <w:multiLevelType w:val="hybridMultilevel"/>
    <w:tmpl w:val="1C02E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3CC2311"/>
    <w:multiLevelType w:val="hybridMultilevel"/>
    <w:tmpl w:val="D73A6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4D2"/>
    <w:rsid w:val="00004DF4"/>
    <w:rsid w:val="00005A0C"/>
    <w:rsid w:val="000103F6"/>
    <w:rsid w:val="00010CD8"/>
    <w:rsid w:val="00021494"/>
    <w:rsid w:val="00023302"/>
    <w:rsid w:val="00027ED9"/>
    <w:rsid w:val="000503F3"/>
    <w:rsid w:val="00052405"/>
    <w:rsid w:val="000617DC"/>
    <w:rsid w:val="0006256B"/>
    <w:rsid w:val="00062598"/>
    <w:rsid w:val="000753B4"/>
    <w:rsid w:val="000914F1"/>
    <w:rsid w:val="00095B50"/>
    <w:rsid w:val="000A6940"/>
    <w:rsid w:val="000B2B3A"/>
    <w:rsid w:val="000E5848"/>
    <w:rsid w:val="000F6735"/>
    <w:rsid w:val="000F68F6"/>
    <w:rsid w:val="001110F5"/>
    <w:rsid w:val="0011352A"/>
    <w:rsid w:val="00131E2F"/>
    <w:rsid w:val="001531DF"/>
    <w:rsid w:val="00154223"/>
    <w:rsid w:val="0016305B"/>
    <w:rsid w:val="0017291B"/>
    <w:rsid w:val="00180B0D"/>
    <w:rsid w:val="00186E84"/>
    <w:rsid w:val="001924D2"/>
    <w:rsid w:val="00195645"/>
    <w:rsid w:val="001A46A9"/>
    <w:rsid w:val="001A4DFA"/>
    <w:rsid w:val="001A50EE"/>
    <w:rsid w:val="001B130F"/>
    <w:rsid w:val="001B4B30"/>
    <w:rsid w:val="001E3165"/>
    <w:rsid w:val="00210B99"/>
    <w:rsid w:val="00217A93"/>
    <w:rsid w:val="00220518"/>
    <w:rsid w:val="0022051A"/>
    <w:rsid w:val="00225086"/>
    <w:rsid w:val="00237BB0"/>
    <w:rsid w:val="00241896"/>
    <w:rsid w:val="0025798D"/>
    <w:rsid w:val="00262688"/>
    <w:rsid w:val="00272D65"/>
    <w:rsid w:val="00285D01"/>
    <w:rsid w:val="00286008"/>
    <w:rsid w:val="002964CD"/>
    <w:rsid w:val="00296FC3"/>
    <w:rsid w:val="002C3CAB"/>
    <w:rsid w:val="002E0CEC"/>
    <w:rsid w:val="002E26CC"/>
    <w:rsid w:val="00306AF6"/>
    <w:rsid w:val="0031203E"/>
    <w:rsid w:val="00321F78"/>
    <w:rsid w:val="003224C2"/>
    <w:rsid w:val="00323400"/>
    <w:rsid w:val="003236F5"/>
    <w:rsid w:val="00336392"/>
    <w:rsid w:val="00336E82"/>
    <w:rsid w:val="0034333B"/>
    <w:rsid w:val="00345571"/>
    <w:rsid w:val="003752A8"/>
    <w:rsid w:val="003A5BF2"/>
    <w:rsid w:val="003D1AB0"/>
    <w:rsid w:val="003E1063"/>
    <w:rsid w:val="00404203"/>
    <w:rsid w:val="0042286F"/>
    <w:rsid w:val="00426F02"/>
    <w:rsid w:val="00444B8A"/>
    <w:rsid w:val="00450F32"/>
    <w:rsid w:val="004578CB"/>
    <w:rsid w:val="00483515"/>
    <w:rsid w:val="00485A4E"/>
    <w:rsid w:val="0048648E"/>
    <w:rsid w:val="004A2728"/>
    <w:rsid w:val="004C6FC6"/>
    <w:rsid w:val="004D3B7E"/>
    <w:rsid w:val="004D6954"/>
    <w:rsid w:val="00505C63"/>
    <w:rsid w:val="005104DE"/>
    <w:rsid w:val="00537328"/>
    <w:rsid w:val="00542E11"/>
    <w:rsid w:val="00543582"/>
    <w:rsid w:val="005446E0"/>
    <w:rsid w:val="0054644A"/>
    <w:rsid w:val="005502AB"/>
    <w:rsid w:val="005546A4"/>
    <w:rsid w:val="00593EF1"/>
    <w:rsid w:val="005A3095"/>
    <w:rsid w:val="005B58F0"/>
    <w:rsid w:val="005C3679"/>
    <w:rsid w:val="005C65B7"/>
    <w:rsid w:val="005D215F"/>
    <w:rsid w:val="005E7EA9"/>
    <w:rsid w:val="005F3C51"/>
    <w:rsid w:val="00604E57"/>
    <w:rsid w:val="00605C9E"/>
    <w:rsid w:val="00611102"/>
    <w:rsid w:val="00621A89"/>
    <w:rsid w:val="006220D3"/>
    <w:rsid w:val="006369E7"/>
    <w:rsid w:val="006503A8"/>
    <w:rsid w:val="0065092E"/>
    <w:rsid w:val="0065498F"/>
    <w:rsid w:val="0066001E"/>
    <w:rsid w:val="006651B2"/>
    <w:rsid w:val="0068636D"/>
    <w:rsid w:val="00693925"/>
    <w:rsid w:val="00693A15"/>
    <w:rsid w:val="006A5D9D"/>
    <w:rsid w:val="006D646C"/>
    <w:rsid w:val="006E0A82"/>
    <w:rsid w:val="006F52CF"/>
    <w:rsid w:val="00703D6B"/>
    <w:rsid w:val="0072308F"/>
    <w:rsid w:val="00730534"/>
    <w:rsid w:val="00731618"/>
    <w:rsid w:val="00752165"/>
    <w:rsid w:val="00783AD0"/>
    <w:rsid w:val="00796960"/>
    <w:rsid w:val="007A245D"/>
    <w:rsid w:val="007A39B1"/>
    <w:rsid w:val="007A6CA5"/>
    <w:rsid w:val="007B4FCF"/>
    <w:rsid w:val="007D02C7"/>
    <w:rsid w:val="007D0441"/>
    <w:rsid w:val="007E0408"/>
    <w:rsid w:val="00801C5B"/>
    <w:rsid w:val="0080459B"/>
    <w:rsid w:val="00811685"/>
    <w:rsid w:val="008335B7"/>
    <w:rsid w:val="00844F0C"/>
    <w:rsid w:val="0085046A"/>
    <w:rsid w:val="00862420"/>
    <w:rsid w:val="00875881"/>
    <w:rsid w:val="00876E14"/>
    <w:rsid w:val="00894B5F"/>
    <w:rsid w:val="00897C94"/>
    <w:rsid w:val="008A7C91"/>
    <w:rsid w:val="008B19C0"/>
    <w:rsid w:val="008C1497"/>
    <w:rsid w:val="008C23BA"/>
    <w:rsid w:val="008C30B6"/>
    <w:rsid w:val="008D75FB"/>
    <w:rsid w:val="008E6899"/>
    <w:rsid w:val="008E7624"/>
    <w:rsid w:val="008F0F2C"/>
    <w:rsid w:val="008F7AC3"/>
    <w:rsid w:val="00935335"/>
    <w:rsid w:val="009375D9"/>
    <w:rsid w:val="00944264"/>
    <w:rsid w:val="009538B8"/>
    <w:rsid w:val="0096594F"/>
    <w:rsid w:val="00971328"/>
    <w:rsid w:val="0097155F"/>
    <w:rsid w:val="00972428"/>
    <w:rsid w:val="00993CDB"/>
    <w:rsid w:val="009C0C93"/>
    <w:rsid w:val="009D24C5"/>
    <w:rsid w:val="009D2A44"/>
    <w:rsid w:val="009E28A1"/>
    <w:rsid w:val="009F081F"/>
    <w:rsid w:val="009F318A"/>
    <w:rsid w:val="009F365C"/>
    <w:rsid w:val="00A104DF"/>
    <w:rsid w:val="00A16B1F"/>
    <w:rsid w:val="00A56779"/>
    <w:rsid w:val="00A83A16"/>
    <w:rsid w:val="00AE1BAB"/>
    <w:rsid w:val="00B128C6"/>
    <w:rsid w:val="00B24160"/>
    <w:rsid w:val="00B324E7"/>
    <w:rsid w:val="00B33A6C"/>
    <w:rsid w:val="00B478B7"/>
    <w:rsid w:val="00B6304E"/>
    <w:rsid w:val="00B73A34"/>
    <w:rsid w:val="00B82BEF"/>
    <w:rsid w:val="00BA257A"/>
    <w:rsid w:val="00BB350E"/>
    <w:rsid w:val="00BB4685"/>
    <w:rsid w:val="00BC69FD"/>
    <w:rsid w:val="00BD748B"/>
    <w:rsid w:val="00BE2849"/>
    <w:rsid w:val="00C16DD0"/>
    <w:rsid w:val="00C33422"/>
    <w:rsid w:val="00C33DF8"/>
    <w:rsid w:val="00C44F9C"/>
    <w:rsid w:val="00C519BC"/>
    <w:rsid w:val="00C71533"/>
    <w:rsid w:val="00C72C1D"/>
    <w:rsid w:val="00C74991"/>
    <w:rsid w:val="00C7687B"/>
    <w:rsid w:val="00C8563B"/>
    <w:rsid w:val="00CA2B0C"/>
    <w:rsid w:val="00CA7070"/>
    <w:rsid w:val="00CA7B52"/>
    <w:rsid w:val="00CE5012"/>
    <w:rsid w:val="00CE78D3"/>
    <w:rsid w:val="00CF5D89"/>
    <w:rsid w:val="00D11D6A"/>
    <w:rsid w:val="00D537E0"/>
    <w:rsid w:val="00D60660"/>
    <w:rsid w:val="00D609DC"/>
    <w:rsid w:val="00D62257"/>
    <w:rsid w:val="00D7381C"/>
    <w:rsid w:val="00D75E20"/>
    <w:rsid w:val="00D77334"/>
    <w:rsid w:val="00D812EA"/>
    <w:rsid w:val="00D86756"/>
    <w:rsid w:val="00D90174"/>
    <w:rsid w:val="00D97C4F"/>
    <w:rsid w:val="00DA6EDF"/>
    <w:rsid w:val="00DB0AE9"/>
    <w:rsid w:val="00DB5ABB"/>
    <w:rsid w:val="00DB6D1A"/>
    <w:rsid w:val="00DC1681"/>
    <w:rsid w:val="00DE1F45"/>
    <w:rsid w:val="00DE60FB"/>
    <w:rsid w:val="00DE6FCF"/>
    <w:rsid w:val="00DF5749"/>
    <w:rsid w:val="00E030FC"/>
    <w:rsid w:val="00E0487C"/>
    <w:rsid w:val="00E06E67"/>
    <w:rsid w:val="00E15912"/>
    <w:rsid w:val="00E233BC"/>
    <w:rsid w:val="00E436C3"/>
    <w:rsid w:val="00E55944"/>
    <w:rsid w:val="00E60213"/>
    <w:rsid w:val="00E608A5"/>
    <w:rsid w:val="00E650AB"/>
    <w:rsid w:val="00E703F6"/>
    <w:rsid w:val="00E708AF"/>
    <w:rsid w:val="00E86CF1"/>
    <w:rsid w:val="00E92512"/>
    <w:rsid w:val="00EB2789"/>
    <w:rsid w:val="00EB33E8"/>
    <w:rsid w:val="00EC17BD"/>
    <w:rsid w:val="00EC6823"/>
    <w:rsid w:val="00ED072C"/>
    <w:rsid w:val="00ED7E0E"/>
    <w:rsid w:val="00EE1B5D"/>
    <w:rsid w:val="00EF5483"/>
    <w:rsid w:val="00F100C3"/>
    <w:rsid w:val="00F12E31"/>
    <w:rsid w:val="00F41701"/>
    <w:rsid w:val="00F44EF8"/>
    <w:rsid w:val="00F56792"/>
    <w:rsid w:val="00F62453"/>
    <w:rsid w:val="00F67E87"/>
    <w:rsid w:val="00F72939"/>
    <w:rsid w:val="00F7376D"/>
    <w:rsid w:val="00F85193"/>
    <w:rsid w:val="00FD5103"/>
    <w:rsid w:val="00FD63F5"/>
    <w:rsid w:val="00FE6844"/>
    <w:rsid w:val="00FF18E7"/>
    <w:rsid w:val="00FF2BD9"/>
    <w:rsid w:val="00FF56E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702001D-4966-4C8C-9CC6-1A43540D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FooterChar">
    <w:name w:val="Footer Char"/>
    <w:link w:val="Footer"/>
    <w:rsid w:val="00EC6823"/>
    <w:rPr>
      <w:sz w:val="24"/>
      <w:szCs w:val="24"/>
      <w:lang w:eastAsia="en-US"/>
    </w:rPr>
  </w:style>
  <w:style w:type="character" w:styleId="CommentReference">
    <w:name w:val="annotation reference"/>
    <w:rsid w:val="00EC6823"/>
    <w:rPr>
      <w:sz w:val="16"/>
      <w:szCs w:val="16"/>
    </w:rPr>
  </w:style>
  <w:style w:type="paragraph" w:styleId="CommentText">
    <w:name w:val="annotation text"/>
    <w:basedOn w:val="Normal"/>
    <w:link w:val="CommentTextChar"/>
    <w:rsid w:val="00EC6823"/>
    <w:rPr>
      <w:sz w:val="20"/>
      <w:szCs w:val="20"/>
    </w:rPr>
  </w:style>
  <w:style w:type="character" w:customStyle="1" w:styleId="CommentTextChar">
    <w:name w:val="Comment Text Char"/>
    <w:basedOn w:val="DefaultParagraphFont"/>
    <w:link w:val="CommentText"/>
    <w:rsid w:val="00EC6823"/>
  </w:style>
  <w:style w:type="paragraph" w:styleId="CommentSubject">
    <w:name w:val="annotation subject"/>
    <w:basedOn w:val="CommentText"/>
    <w:next w:val="CommentText"/>
    <w:link w:val="CommentSubjectChar"/>
    <w:rsid w:val="00EC6823"/>
    <w:rPr>
      <w:b/>
      <w:bCs/>
    </w:rPr>
  </w:style>
  <w:style w:type="character" w:customStyle="1" w:styleId="CommentSubjectChar">
    <w:name w:val="Comment Subject Char"/>
    <w:link w:val="CommentSubject"/>
    <w:rsid w:val="00EC68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257817">
      <w:bodyDiv w:val="1"/>
      <w:marLeft w:val="0"/>
      <w:marRight w:val="0"/>
      <w:marTop w:val="0"/>
      <w:marBottom w:val="0"/>
      <w:divBdr>
        <w:top w:val="none" w:sz="0" w:space="0" w:color="auto"/>
        <w:left w:val="none" w:sz="0" w:space="0" w:color="auto"/>
        <w:bottom w:val="none" w:sz="0" w:space="0" w:color="auto"/>
        <w:right w:val="none" w:sz="0" w:space="0" w:color="auto"/>
      </w:divBdr>
    </w:div>
    <w:div w:id="413935332">
      <w:bodyDiv w:val="1"/>
      <w:marLeft w:val="0"/>
      <w:marRight w:val="0"/>
      <w:marTop w:val="0"/>
      <w:marBottom w:val="0"/>
      <w:divBdr>
        <w:top w:val="none" w:sz="0" w:space="0" w:color="auto"/>
        <w:left w:val="none" w:sz="0" w:space="0" w:color="auto"/>
        <w:bottom w:val="none" w:sz="0" w:space="0" w:color="auto"/>
        <w:right w:val="none" w:sz="0" w:space="0" w:color="auto"/>
      </w:divBdr>
    </w:div>
    <w:div w:id="1352948056">
      <w:bodyDiv w:val="1"/>
      <w:marLeft w:val="0"/>
      <w:marRight w:val="0"/>
      <w:marTop w:val="0"/>
      <w:marBottom w:val="0"/>
      <w:divBdr>
        <w:top w:val="none" w:sz="0" w:space="0" w:color="auto"/>
        <w:left w:val="none" w:sz="0" w:space="0" w:color="auto"/>
        <w:bottom w:val="none" w:sz="0" w:space="0" w:color="auto"/>
        <w:right w:val="none" w:sz="0" w:space="0" w:color="auto"/>
      </w:divBdr>
    </w:div>
    <w:div w:id="1400439151">
      <w:bodyDiv w:val="1"/>
      <w:marLeft w:val="0"/>
      <w:marRight w:val="0"/>
      <w:marTop w:val="0"/>
      <w:marBottom w:val="0"/>
      <w:divBdr>
        <w:top w:val="none" w:sz="0" w:space="0" w:color="auto"/>
        <w:left w:val="none" w:sz="0" w:space="0" w:color="auto"/>
        <w:bottom w:val="none" w:sz="0" w:space="0" w:color="auto"/>
        <w:right w:val="none" w:sz="0" w:space="0" w:color="auto"/>
      </w:divBdr>
    </w:div>
    <w:div w:id="1492064033">
      <w:bodyDiv w:val="1"/>
      <w:marLeft w:val="0"/>
      <w:marRight w:val="0"/>
      <w:marTop w:val="0"/>
      <w:marBottom w:val="0"/>
      <w:divBdr>
        <w:top w:val="none" w:sz="0" w:space="0" w:color="auto"/>
        <w:left w:val="none" w:sz="0" w:space="0" w:color="auto"/>
        <w:bottom w:val="none" w:sz="0" w:space="0" w:color="auto"/>
        <w:right w:val="none" w:sz="0" w:space="0" w:color="auto"/>
      </w:divBdr>
    </w:div>
    <w:div w:id="1525435767">
      <w:bodyDiv w:val="1"/>
      <w:marLeft w:val="0"/>
      <w:marRight w:val="0"/>
      <w:marTop w:val="0"/>
      <w:marBottom w:val="0"/>
      <w:divBdr>
        <w:top w:val="none" w:sz="0" w:space="0" w:color="auto"/>
        <w:left w:val="none" w:sz="0" w:space="0" w:color="auto"/>
        <w:bottom w:val="none" w:sz="0" w:space="0" w:color="auto"/>
        <w:right w:val="none" w:sz="0" w:space="0" w:color="auto"/>
      </w:divBdr>
    </w:div>
    <w:div w:id="183502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5A8DEA-B510-47A8-874A-16C17DACA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Level 2 EFK Manual</vt:lpstr>
    </vt:vector>
  </TitlesOfParts>
  <Company>Sprint Academy</Company>
  <LinksUpToDate>false</LinksUpToDate>
  <CharactersWithSpaces>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Richard Moore</dc:creator>
  <cp:lastModifiedBy>Bob Hibbert</cp:lastModifiedBy>
  <cp:revision>3</cp:revision>
  <cp:lastPrinted>2013-04-18T10:48:00Z</cp:lastPrinted>
  <dcterms:created xsi:type="dcterms:W3CDTF">2015-02-18T21:47:00Z</dcterms:created>
  <dcterms:modified xsi:type="dcterms:W3CDTF">2015-02-24T19:36:00Z</dcterms:modified>
</cp:coreProperties>
</file>