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proofErr w:type="spellStart"/>
      <w:r w:rsidR="00BE2849" w:rsidRPr="00B24160">
        <w:rPr>
          <w:rFonts w:ascii="Arial" w:hAnsi="Arial" w:cs="Arial"/>
          <w:b/>
          <w:color w:val="000000"/>
        </w:rPr>
        <w:t>Handout</w:t>
      </w:r>
      <w:proofErr w:type="spellEnd"/>
      <w:r w:rsidR="00B6304E" w:rsidRPr="00B24160">
        <w:rPr>
          <w:rFonts w:ascii="Arial" w:hAnsi="Arial" w:cs="Arial"/>
          <w:b/>
          <w:color w:val="000000"/>
        </w:rPr>
        <w:t> </w:t>
      </w:r>
      <w:r w:rsidR="00555533">
        <w:rPr>
          <w:rFonts w:ascii="Arial" w:hAnsi="Arial" w:cs="Arial"/>
          <w:b/>
          <w:color w:val="000000"/>
        </w:rPr>
        <w:t>9</w:t>
      </w:r>
      <w:r w:rsidR="00BE2849" w:rsidRPr="00B24160">
        <w:rPr>
          <w:rFonts w:ascii="Arial" w:hAnsi="Arial" w:cs="Arial"/>
          <w:b/>
          <w:color w:val="000000"/>
        </w:rPr>
        <w:t xml:space="preserve">: </w:t>
      </w:r>
      <w:r w:rsidR="00555533">
        <w:rPr>
          <w:rFonts w:ascii="Arial" w:hAnsi="Arial" w:cs="Arial"/>
          <w:b/>
        </w:rPr>
        <w:t>Water</w:t>
      </w:r>
      <w:r w:rsidR="009E4B9D">
        <w:rPr>
          <w:rFonts w:ascii="Arial" w:hAnsi="Arial" w:cs="Arial"/>
          <w:b/>
        </w:rPr>
        <w:t xml:space="preserve"> heating</w:t>
      </w:r>
    </w:p>
    <w:p w:rsidR="007E0408" w:rsidRPr="007E0408" w:rsidRDefault="007E0408" w:rsidP="00614F22">
      <w:pPr>
        <w:pStyle w:val="Default"/>
        <w:spacing w:before="120"/>
        <w:rPr>
          <w:color w:val="auto"/>
          <w:sz w:val="22"/>
          <w:szCs w:val="22"/>
        </w:rPr>
      </w:pPr>
      <w:r w:rsidRPr="007E0408">
        <w:rPr>
          <w:b/>
          <w:bCs/>
          <w:color w:val="auto"/>
          <w:sz w:val="22"/>
          <w:szCs w:val="22"/>
        </w:rPr>
        <w:t>Learning outcome</w:t>
      </w:r>
    </w:p>
    <w:p w:rsidR="007E0408" w:rsidRPr="007E0408" w:rsidRDefault="007E0408" w:rsidP="00614F22">
      <w:pPr>
        <w:pStyle w:val="Default"/>
        <w:rPr>
          <w:color w:val="auto"/>
          <w:sz w:val="22"/>
          <w:szCs w:val="22"/>
        </w:rPr>
      </w:pPr>
      <w:r w:rsidRPr="007E0408">
        <w:rPr>
          <w:color w:val="auto"/>
          <w:sz w:val="22"/>
          <w:szCs w:val="22"/>
        </w:rPr>
        <w:t>The learner will:</w:t>
      </w:r>
    </w:p>
    <w:p w:rsidR="007E0408" w:rsidRDefault="0075798B" w:rsidP="00614F22">
      <w:pPr>
        <w:pStyle w:val="Default"/>
        <w:numPr>
          <w:ilvl w:val="0"/>
          <w:numId w:val="1"/>
        </w:numPr>
        <w:spacing w:after="120"/>
        <w:rPr>
          <w:color w:val="auto"/>
          <w:sz w:val="22"/>
          <w:szCs w:val="22"/>
        </w:rPr>
      </w:pPr>
      <w:proofErr w:type="gramStart"/>
      <w:r>
        <w:rPr>
          <w:color w:val="auto"/>
          <w:sz w:val="22"/>
          <w:szCs w:val="22"/>
        </w:rPr>
        <w:t>k</w:t>
      </w:r>
      <w:r w:rsidR="007E0408" w:rsidRPr="007E0408">
        <w:rPr>
          <w:color w:val="auto"/>
          <w:sz w:val="22"/>
          <w:szCs w:val="22"/>
        </w:rPr>
        <w:t>no</w:t>
      </w:r>
      <w:r w:rsidR="007E0408">
        <w:rPr>
          <w:color w:val="auto"/>
          <w:sz w:val="22"/>
          <w:szCs w:val="22"/>
        </w:rPr>
        <w:t>w</w:t>
      </w:r>
      <w:proofErr w:type="gramEnd"/>
      <w:r w:rsidR="007E0408">
        <w:rPr>
          <w:color w:val="auto"/>
          <w:sz w:val="22"/>
          <w:szCs w:val="22"/>
        </w:rPr>
        <w:t xml:space="preserve"> </w:t>
      </w:r>
      <w:r w:rsidR="00C74991" w:rsidRPr="00684ECA">
        <w:rPr>
          <w:sz w:val="22"/>
          <w:szCs w:val="22"/>
        </w:rPr>
        <w:t>wiring systems of electrical installations</w:t>
      </w:r>
      <w:r>
        <w:rPr>
          <w:sz w:val="22"/>
          <w:szCs w:val="22"/>
        </w:rPr>
        <w:t>.</w:t>
      </w:r>
    </w:p>
    <w:p w:rsidR="007E0408" w:rsidRPr="007E0408" w:rsidRDefault="007E0408" w:rsidP="00614F22">
      <w:pPr>
        <w:pStyle w:val="Default"/>
        <w:rPr>
          <w:color w:val="auto"/>
          <w:sz w:val="22"/>
          <w:szCs w:val="22"/>
        </w:rPr>
      </w:pPr>
      <w:r w:rsidRPr="007E0408">
        <w:rPr>
          <w:b/>
          <w:bCs/>
          <w:color w:val="auto"/>
          <w:sz w:val="22"/>
          <w:szCs w:val="22"/>
        </w:rPr>
        <w:t xml:space="preserve">Assessment </w:t>
      </w:r>
      <w:r w:rsidR="0075798B">
        <w:rPr>
          <w:b/>
          <w:bCs/>
          <w:color w:val="auto"/>
          <w:sz w:val="22"/>
          <w:szCs w:val="22"/>
        </w:rPr>
        <w:t>c</w:t>
      </w:r>
      <w:r w:rsidRPr="007E0408">
        <w:rPr>
          <w:b/>
          <w:bCs/>
          <w:color w:val="auto"/>
          <w:sz w:val="22"/>
          <w:szCs w:val="22"/>
        </w:rPr>
        <w:t>riteria</w:t>
      </w:r>
    </w:p>
    <w:p w:rsidR="007E0408" w:rsidRPr="007E0408" w:rsidRDefault="007E0408" w:rsidP="00614F22">
      <w:pPr>
        <w:pStyle w:val="Default"/>
        <w:rPr>
          <w:color w:val="auto"/>
          <w:sz w:val="22"/>
          <w:szCs w:val="22"/>
        </w:rPr>
      </w:pPr>
      <w:r>
        <w:rPr>
          <w:color w:val="auto"/>
          <w:sz w:val="22"/>
          <w:szCs w:val="22"/>
        </w:rPr>
        <w:t>The learner can:</w:t>
      </w:r>
    </w:p>
    <w:p w:rsidR="00C74991" w:rsidRDefault="00C74991" w:rsidP="00614F22">
      <w:pPr>
        <w:pStyle w:val="Default"/>
        <w:spacing w:after="120"/>
        <w:ind w:left="567" w:hanging="567"/>
        <w:rPr>
          <w:b/>
          <w:bCs/>
          <w:sz w:val="22"/>
          <w:szCs w:val="22"/>
        </w:rPr>
      </w:pPr>
      <w:r>
        <w:rPr>
          <w:sz w:val="22"/>
          <w:szCs w:val="22"/>
        </w:rPr>
        <w:t>3</w:t>
      </w:r>
      <w:r w:rsidR="003236F5">
        <w:rPr>
          <w:sz w:val="22"/>
          <w:szCs w:val="22"/>
        </w:rPr>
        <w:t>.</w:t>
      </w:r>
      <w:r>
        <w:rPr>
          <w:sz w:val="22"/>
          <w:szCs w:val="22"/>
        </w:rPr>
        <w:t>1</w:t>
      </w:r>
      <w:r w:rsidR="003236F5">
        <w:rPr>
          <w:sz w:val="22"/>
          <w:szCs w:val="22"/>
        </w:rPr>
        <w:tab/>
      </w:r>
      <w:r w:rsidR="0075798B">
        <w:rPr>
          <w:sz w:val="22"/>
          <w:szCs w:val="22"/>
        </w:rPr>
        <w:t>d</w:t>
      </w:r>
      <w:r w:rsidRPr="00684ECA">
        <w:rPr>
          <w:sz w:val="22"/>
          <w:szCs w:val="22"/>
        </w:rPr>
        <w:t xml:space="preserve">escribe principles of operation of different </w:t>
      </w:r>
      <w:r w:rsidRPr="00684ECA">
        <w:rPr>
          <w:b/>
          <w:bCs/>
          <w:sz w:val="22"/>
          <w:szCs w:val="22"/>
        </w:rPr>
        <w:t>circuit types</w:t>
      </w:r>
      <w:r w:rsidR="0075798B">
        <w:rPr>
          <w:b/>
          <w:bCs/>
          <w:sz w:val="22"/>
          <w:szCs w:val="22"/>
        </w:rPr>
        <w:t>.</w:t>
      </w:r>
    </w:p>
    <w:p w:rsidR="007E0408" w:rsidRDefault="007E0408" w:rsidP="00786325">
      <w:pPr>
        <w:pStyle w:val="Default"/>
        <w:rPr>
          <w:b/>
          <w:bCs/>
          <w:color w:val="auto"/>
          <w:sz w:val="22"/>
          <w:szCs w:val="22"/>
        </w:rPr>
      </w:pPr>
      <w:r w:rsidRPr="007E0408">
        <w:rPr>
          <w:b/>
          <w:bCs/>
          <w:color w:val="auto"/>
          <w:sz w:val="22"/>
          <w:szCs w:val="22"/>
        </w:rPr>
        <w:t>Range</w:t>
      </w:r>
    </w:p>
    <w:p w:rsidR="00C74991" w:rsidRDefault="00C74991" w:rsidP="00786325">
      <w:pPr>
        <w:pStyle w:val="Default"/>
        <w:rPr>
          <w:sz w:val="22"/>
          <w:szCs w:val="22"/>
        </w:rPr>
      </w:pPr>
      <w:r w:rsidRPr="00FB6A20">
        <w:rPr>
          <w:b/>
          <w:bCs/>
          <w:sz w:val="22"/>
          <w:szCs w:val="22"/>
        </w:rPr>
        <w:t>Circuit types</w:t>
      </w:r>
      <w:r>
        <w:rPr>
          <w:sz w:val="22"/>
          <w:szCs w:val="22"/>
        </w:rPr>
        <w:t xml:space="preserve">: </w:t>
      </w:r>
      <w:r w:rsidRPr="00FB6A20">
        <w:rPr>
          <w:sz w:val="22"/>
          <w:szCs w:val="22"/>
        </w:rPr>
        <w:t>Lighting, power and heating, alarm and emergency systems, data communications, control circuits, ring final, radial.</w:t>
      </w:r>
    </w:p>
    <w:p w:rsidR="00786325" w:rsidRDefault="00786325" w:rsidP="00786325">
      <w:pPr>
        <w:pStyle w:val="Default"/>
        <w:spacing w:after="120"/>
        <w:jc w:val="center"/>
        <w:rPr>
          <w:sz w:val="22"/>
          <w:szCs w:val="22"/>
        </w:rPr>
      </w:pPr>
      <w:r>
        <w:rPr>
          <w:sz w:val="22"/>
          <w:szCs w:val="22"/>
        </w:rPr>
        <w:pict>
          <v:rect id="_x0000_i1026" style="width:0;height:1.5pt" o:hralign="center" o:hrstd="t" o:hr="t" fillcolor="#a0a0a0" stroked="f"/>
        </w:pict>
      </w:r>
    </w:p>
    <w:p w:rsidR="00B24160" w:rsidRPr="00786325" w:rsidRDefault="00555533" w:rsidP="00786325">
      <w:pPr>
        <w:pStyle w:val="Default"/>
        <w:spacing w:after="120"/>
        <w:jc w:val="center"/>
        <w:rPr>
          <w:b/>
        </w:rPr>
      </w:pPr>
      <w:r w:rsidRPr="00786325">
        <w:rPr>
          <w:b/>
        </w:rPr>
        <w:t>Water</w:t>
      </w:r>
      <w:r w:rsidR="009E4B9D" w:rsidRPr="00786325">
        <w:rPr>
          <w:b/>
        </w:rPr>
        <w:t xml:space="preserve"> heating</w:t>
      </w:r>
    </w:p>
    <w:p w:rsidR="00555533" w:rsidRDefault="00FE2EDE" w:rsidP="00614F22">
      <w:pPr>
        <w:pStyle w:val="Default"/>
        <w:spacing w:after="120"/>
        <w:rPr>
          <w:rStyle w:val="apple-converted-space"/>
          <w:sz w:val="22"/>
          <w:szCs w:val="22"/>
          <w:shd w:val="clear" w:color="auto" w:fill="FFFFFF"/>
        </w:rPr>
      </w:pPr>
      <w:r>
        <w:rPr>
          <w:rStyle w:val="apple-converted-space"/>
          <w:sz w:val="22"/>
          <w:szCs w:val="22"/>
          <w:shd w:val="clear" w:color="auto" w:fill="FFFFFF"/>
        </w:rPr>
        <w:t>There are various types of water</w:t>
      </w:r>
      <w:r w:rsidR="0075798B">
        <w:rPr>
          <w:rStyle w:val="apple-converted-space"/>
          <w:sz w:val="22"/>
          <w:szCs w:val="22"/>
          <w:shd w:val="clear" w:color="auto" w:fill="FFFFFF"/>
        </w:rPr>
        <w:t xml:space="preserve"> heating</w:t>
      </w:r>
      <w:r>
        <w:rPr>
          <w:rStyle w:val="apple-converted-space"/>
          <w:sz w:val="22"/>
          <w:szCs w:val="22"/>
          <w:shd w:val="clear" w:color="auto" w:fill="FFFFFF"/>
        </w:rPr>
        <w:t xml:space="preserve"> but they can be classified into two groups:</w:t>
      </w:r>
    </w:p>
    <w:p w:rsidR="00FE2EDE" w:rsidRDefault="0075798B" w:rsidP="00614F22">
      <w:pPr>
        <w:pStyle w:val="Default"/>
        <w:numPr>
          <w:ilvl w:val="0"/>
          <w:numId w:val="3"/>
        </w:numPr>
        <w:spacing w:after="120"/>
        <w:rPr>
          <w:rStyle w:val="apple-converted-space"/>
          <w:sz w:val="22"/>
          <w:szCs w:val="22"/>
          <w:shd w:val="clear" w:color="auto" w:fill="FFFFFF"/>
        </w:rPr>
      </w:pPr>
      <w:r>
        <w:rPr>
          <w:rStyle w:val="apple-converted-space"/>
          <w:sz w:val="22"/>
          <w:szCs w:val="22"/>
          <w:shd w:val="clear" w:color="auto" w:fill="FFFFFF"/>
        </w:rPr>
        <w:t>st</w:t>
      </w:r>
      <w:r w:rsidR="00FE2EDE">
        <w:rPr>
          <w:rStyle w:val="apple-converted-space"/>
          <w:sz w:val="22"/>
          <w:szCs w:val="22"/>
          <w:shd w:val="clear" w:color="auto" w:fill="FFFFFF"/>
        </w:rPr>
        <w:t>ored hot water</w:t>
      </w:r>
    </w:p>
    <w:p w:rsidR="00FE2EDE" w:rsidRDefault="0075798B" w:rsidP="00614F22">
      <w:pPr>
        <w:pStyle w:val="Default"/>
        <w:numPr>
          <w:ilvl w:val="0"/>
          <w:numId w:val="3"/>
        </w:numPr>
        <w:spacing w:after="120"/>
        <w:rPr>
          <w:rStyle w:val="apple-converted-space"/>
          <w:sz w:val="22"/>
          <w:szCs w:val="22"/>
          <w:shd w:val="clear" w:color="auto" w:fill="FFFFFF"/>
        </w:rPr>
      </w:pPr>
      <w:proofErr w:type="gramStart"/>
      <w:r>
        <w:rPr>
          <w:rStyle w:val="apple-converted-space"/>
          <w:sz w:val="22"/>
          <w:szCs w:val="22"/>
          <w:shd w:val="clear" w:color="auto" w:fill="FFFFFF"/>
        </w:rPr>
        <w:t>i</w:t>
      </w:r>
      <w:r w:rsidR="00FE2EDE">
        <w:rPr>
          <w:rStyle w:val="apple-converted-space"/>
          <w:sz w:val="22"/>
          <w:szCs w:val="22"/>
          <w:shd w:val="clear" w:color="auto" w:fill="FFFFFF"/>
        </w:rPr>
        <w:t>nstantaneous</w:t>
      </w:r>
      <w:proofErr w:type="gramEnd"/>
      <w:r>
        <w:rPr>
          <w:rStyle w:val="apple-converted-space"/>
          <w:sz w:val="22"/>
          <w:szCs w:val="22"/>
          <w:shd w:val="clear" w:color="auto" w:fill="FFFFFF"/>
        </w:rPr>
        <w:t>.</w:t>
      </w:r>
    </w:p>
    <w:tbl>
      <w:tblPr>
        <w:tblW w:w="9889" w:type="dxa"/>
        <w:tblLook w:val="04A0" w:firstRow="1" w:lastRow="0" w:firstColumn="1" w:lastColumn="0" w:noHBand="0" w:noVBand="1"/>
      </w:tblPr>
      <w:tblGrid>
        <w:gridCol w:w="5353"/>
        <w:gridCol w:w="4536"/>
      </w:tblGrid>
      <w:tr w:rsidR="00277C21" w:rsidTr="00786325">
        <w:tc>
          <w:tcPr>
            <w:tcW w:w="5353" w:type="dxa"/>
            <w:shd w:val="clear" w:color="auto" w:fill="auto"/>
            <w:vAlign w:val="center"/>
          </w:tcPr>
          <w:p w:rsidR="00277C21" w:rsidRPr="0030117C" w:rsidRDefault="00277C21" w:rsidP="00614F22">
            <w:pPr>
              <w:pStyle w:val="Default"/>
              <w:spacing w:after="120"/>
              <w:rPr>
                <w:rStyle w:val="apple-converted-space"/>
                <w:b/>
                <w:sz w:val="22"/>
                <w:szCs w:val="22"/>
                <w:shd w:val="clear" w:color="auto" w:fill="FFFFFF"/>
              </w:rPr>
            </w:pPr>
            <w:r w:rsidRPr="0030117C">
              <w:rPr>
                <w:rStyle w:val="apple-converted-space"/>
                <w:b/>
                <w:sz w:val="22"/>
                <w:szCs w:val="22"/>
                <w:shd w:val="clear" w:color="auto" w:fill="FFFFFF"/>
              </w:rPr>
              <w:t>Stored hot water</w:t>
            </w:r>
          </w:p>
          <w:p w:rsidR="00277C21" w:rsidRPr="0030117C" w:rsidRDefault="00277C21" w:rsidP="00614F22">
            <w:pPr>
              <w:pStyle w:val="Default"/>
              <w:spacing w:after="120"/>
              <w:rPr>
                <w:rStyle w:val="apple-converted-space"/>
                <w:sz w:val="22"/>
                <w:szCs w:val="22"/>
                <w:shd w:val="clear" w:color="auto" w:fill="FFFFFF"/>
              </w:rPr>
            </w:pPr>
            <w:r w:rsidRPr="0030117C">
              <w:rPr>
                <w:rStyle w:val="apple-converted-space"/>
                <w:sz w:val="22"/>
                <w:szCs w:val="22"/>
                <w:shd w:val="clear" w:color="auto" w:fill="FFFFFF"/>
              </w:rPr>
              <w:t>The most common form of this group is the immersion heater that is installed into a hot water cylinder (see right).</w:t>
            </w:r>
          </w:p>
          <w:p w:rsidR="00277C21" w:rsidRPr="0030117C" w:rsidRDefault="00277C21" w:rsidP="00614F22">
            <w:pPr>
              <w:pStyle w:val="Default"/>
              <w:spacing w:after="120"/>
              <w:rPr>
                <w:rStyle w:val="apple-converted-space"/>
                <w:sz w:val="22"/>
                <w:szCs w:val="22"/>
                <w:shd w:val="clear" w:color="auto" w:fill="FFFFFF"/>
              </w:rPr>
            </w:pPr>
            <w:r w:rsidRPr="0030117C">
              <w:rPr>
                <w:rStyle w:val="apple-converted-space"/>
                <w:sz w:val="22"/>
                <w:szCs w:val="22"/>
                <w:shd w:val="clear" w:color="auto" w:fill="FFFFFF"/>
              </w:rPr>
              <w:t>The element is constructed with resistance wire that will get hot when current flows through it and this heats the water.</w:t>
            </w:r>
          </w:p>
          <w:p w:rsidR="00277C21" w:rsidRPr="0030117C" w:rsidRDefault="00277C21" w:rsidP="00614F22">
            <w:pPr>
              <w:pStyle w:val="Default"/>
              <w:spacing w:after="120"/>
              <w:rPr>
                <w:rStyle w:val="apple-converted-space"/>
                <w:sz w:val="22"/>
                <w:szCs w:val="22"/>
                <w:shd w:val="clear" w:color="auto" w:fill="FFFFFF"/>
              </w:rPr>
            </w:pPr>
            <w:r w:rsidRPr="0030117C">
              <w:rPr>
                <w:rStyle w:val="apple-converted-space"/>
                <w:sz w:val="22"/>
                <w:szCs w:val="22"/>
                <w:shd w:val="clear" w:color="auto" w:fill="FFFFFF"/>
              </w:rPr>
              <w:t>A thermostat is fitted to disconnect the supply when the water reaches the required temperature;</w:t>
            </w:r>
            <w:r w:rsidR="0075798B" w:rsidRPr="0030117C">
              <w:rPr>
                <w:rStyle w:val="apple-converted-space"/>
                <w:sz w:val="22"/>
                <w:szCs w:val="22"/>
                <w:shd w:val="clear" w:color="auto" w:fill="FFFFFF"/>
              </w:rPr>
              <w:t xml:space="preserve"> this is</w:t>
            </w:r>
            <w:r w:rsidRPr="0030117C">
              <w:rPr>
                <w:rStyle w:val="apple-converted-space"/>
                <w:sz w:val="22"/>
                <w:szCs w:val="22"/>
                <w:shd w:val="clear" w:color="auto" w:fill="FFFFFF"/>
              </w:rPr>
              <w:t xml:space="preserve"> usually set at 55</w:t>
            </w:r>
            <w:r w:rsidR="0075798B" w:rsidRPr="0030117C">
              <w:rPr>
                <w:rStyle w:val="apple-converted-space"/>
                <w:sz w:val="22"/>
                <w:szCs w:val="22"/>
                <w:shd w:val="clear" w:color="auto" w:fill="FFFFFF"/>
              </w:rPr>
              <w:t>–</w:t>
            </w:r>
            <w:r w:rsidRPr="0030117C">
              <w:rPr>
                <w:rStyle w:val="apple-converted-space"/>
                <w:sz w:val="22"/>
                <w:szCs w:val="22"/>
                <w:shd w:val="clear" w:color="auto" w:fill="FFFFFF"/>
              </w:rPr>
              <w:t>60</w:t>
            </w:r>
            <w:r w:rsidRPr="0030117C">
              <w:rPr>
                <w:rStyle w:val="apple-converted-space"/>
                <w:rFonts w:ascii="Calibri" w:hAnsi="Calibri"/>
                <w:sz w:val="22"/>
                <w:szCs w:val="22"/>
                <w:shd w:val="clear" w:color="auto" w:fill="FFFFFF"/>
              </w:rPr>
              <w:t>°</w:t>
            </w:r>
            <w:r w:rsidR="0075798B" w:rsidRPr="0030117C">
              <w:rPr>
                <w:rStyle w:val="apple-converted-space"/>
                <w:rFonts w:ascii="Calibri" w:hAnsi="Calibri"/>
                <w:sz w:val="22"/>
                <w:szCs w:val="22"/>
                <w:shd w:val="clear" w:color="auto" w:fill="FFFFFF"/>
              </w:rPr>
              <w:t>,</w:t>
            </w:r>
            <w:r w:rsidRPr="0030117C">
              <w:rPr>
                <w:rStyle w:val="apple-converted-space"/>
                <w:sz w:val="22"/>
                <w:szCs w:val="22"/>
                <w:shd w:val="clear" w:color="auto" w:fill="FFFFFF"/>
              </w:rPr>
              <w:t xml:space="preserve"> which is a compromise between low enough to reduce the risk of scalding a</w:t>
            </w:r>
            <w:r w:rsidR="0075798B" w:rsidRPr="0030117C">
              <w:rPr>
                <w:rStyle w:val="apple-converted-space"/>
                <w:sz w:val="22"/>
                <w:szCs w:val="22"/>
                <w:shd w:val="clear" w:color="auto" w:fill="FFFFFF"/>
              </w:rPr>
              <w:t>nd</w:t>
            </w:r>
            <w:r w:rsidRPr="0030117C">
              <w:rPr>
                <w:rStyle w:val="apple-converted-space"/>
                <w:sz w:val="22"/>
                <w:szCs w:val="22"/>
                <w:shd w:val="clear" w:color="auto" w:fill="FFFFFF"/>
              </w:rPr>
              <w:t xml:space="preserve"> high enough to prevent the risk from </w:t>
            </w:r>
            <w:r w:rsidRPr="0030117C">
              <w:rPr>
                <w:iCs/>
                <w:sz w:val="22"/>
                <w:szCs w:val="22"/>
                <w:shd w:val="clear" w:color="auto" w:fill="FFFFFF"/>
              </w:rPr>
              <w:t>Legionella</w:t>
            </w:r>
            <w:r w:rsidRPr="0030117C">
              <w:rPr>
                <w:rStyle w:val="apple-converted-space"/>
                <w:sz w:val="22"/>
                <w:szCs w:val="22"/>
                <w:shd w:val="clear" w:color="auto" w:fill="FFFFFF"/>
              </w:rPr>
              <w:t>.</w:t>
            </w:r>
          </w:p>
          <w:p w:rsidR="00277C21" w:rsidRPr="0030117C" w:rsidRDefault="00F653C4" w:rsidP="00614F22">
            <w:pPr>
              <w:pStyle w:val="Default"/>
              <w:spacing w:after="120"/>
              <w:rPr>
                <w:rStyle w:val="apple-converted-space"/>
                <w:sz w:val="22"/>
                <w:szCs w:val="22"/>
                <w:shd w:val="clear" w:color="auto" w:fill="FFFFFF"/>
              </w:rPr>
            </w:pPr>
            <w:r w:rsidRPr="0030117C">
              <w:rPr>
                <w:rStyle w:val="apple-converted-space"/>
                <w:sz w:val="22"/>
                <w:szCs w:val="22"/>
                <w:shd w:val="clear" w:color="auto" w:fill="FFFFFF"/>
              </w:rPr>
              <w:t>Also, Regulation 554.2.1 of BS 7671 requires a means to automatically prevent a dangerous rise in temperature.</w:t>
            </w:r>
          </w:p>
        </w:tc>
        <w:tc>
          <w:tcPr>
            <w:tcW w:w="4536" w:type="dxa"/>
            <w:shd w:val="clear" w:color="auto" w:fill="auto"/>
            <w:vAlign w:val="center"/>
          </w:tcPr>
          <w:p w:rsidR="00277C21" w:rsidRPr="0030117C" w:rsidRDefault="00A33CBF" w:rsidP="00614F22">
            <w:pPr>
              <w:pStyle w:val="Default"/>
              <w:spacing w:before="240" w:after="480"/>
              <w:jc w:val="right"/>
              <w:rPr>
                <w:rStyle w:val="apple-converted-space"/>
                <w:sz w:val="22"/>
                <w:szCs w:val="22"/>
                <w:shd w:val="clear" w:color="auto" w:fill="FFFFFF"/>
              </w:rPr>
            </w:pPr>
            <w:r>
              <w:rPr>
                <w:noProof/>
                <w:sz w:val="22"/>
                <w:szCs w:val="22"/>
                <w:shd w:val="clear" w:color="auto" w:fill="FFFFFF"/>
                <w:lang w:eastAsia="en-GB"/>
              </w:rPr>
              <w:drawing>
                <wp:inline distT="0" distB="0" distL="0" distR="0" wp14:anchorId="0F9DCEBA" wp14:editId="34106602">
                  <wp:extent cx="2705100" cy="2400300"/>
                  <wp:effectExtent l="0" t="0" r="0" b="0"/>
                  <wp:docPr id="2" name="Picture 2" descr="01 immersion heater - 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immersion heater - orig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400300"/>
                          </a:xfrm>
                          <a:prstGeom prst="rect">
                            <a:avLst/>
                          </a:prstGeom>
                          <a:noFill/>
                          <a:ln>
                            <a:noFill/>
                          </a:ln>
                        </pic:spPr>
                      </pic:pic>
                    </a:graphicData>
                  </a:graphic>
                </wp:inline>
              </w:drawing>
            </w:r>
          </w:p>
        </w:tc>
      </w:tr>
    </w:tbl>
    <w:p w:rsidR="00555533" w:rsidRDefault="00614F22" w:rsidP="00614F22">
      <w:pPr>
        <w:pStyle w:val="Default"/>
        <w:spacing w:after="120"/>
        <w:rPr>
          <w:rStyle w:val="apple-converted-space"/>
          <w:sz w:val="22"/>
          <w:szCs w:val="22"/>
          <w:shd w:val="clear" w:color="auto" w:fill="FFFFFF"/>
        </w:rPr>
      </w:pPr>
      <w:r>
        <w:rPr>
          <w:rStyle w:val="apple-converted-space"/>
          <w:sz w:val="22"/>
          <w:szCs w:val="22"/>
          <w:shd w:val="clear" w:color="auto" w:fill="FFFFFF"/>
        </w:rPr>
        <w:t>Regulation 554.3.3 of BS 7671 requires that t</w:t>
      </w:r>
      <w:r w:rsidR="00F653C4">
        <w:rPr>
          <w:rStyle w:val="apple-converted-space"/>
          <w:sz w:val="22"/>
          <w:szCs w:val="22"/>
          <w:shd w:val="clear" w:color="auto" w:fill="FFFFFF"/>
        </w:rPr>
        <w:t xml:space="preserve">he immersion </w:t>
      </w:r>
      <w:r w:rsidR="00845FA8">
        <w:rPr>
          <w:rStyle w:val="apple-converted-space"/>
          <w:sz w:val="22"/>
          <w:szCs w:val="22"/>
          <w:shd w:val="clear" w:color="auto" w:fill="FFFFFF"/>
        </w:rPr>
        <w:t xml:space="preserve">heater </w:t>
      </w:r>
      <w:r w:rsidR="00F653C4">
        <w:rPr>
          <w:rStyle w:val="apple-converted-space"/>
          <w:sz w:val="22"/>
          <w:szCs w:val="22"/>
          <w:shd w:val="clear" w:color="auto" w:fill="FFFFFF"/>
        </w:rPr>
        <w:t>must be fed from its own circuit and connected into a switched/fused connection unit installed adjacent to the cylinder and connected by heat resistant flex as shown below:</w:t>
      </w:r>
    </w:p>
    <w:tbl>
      <w:tblPr>
        <w:tblW w:w="9889" w:type="dxa"/>
        <w:tblLook w:val="04A0" w:firstRow="1" w:lastRow="0" w:firstColumn="1" w:lastColumn="0" w:noHBand="0" w:noVBand="1"/>
      </w:tblPr>
      <w:tblGrid>
        <w:gridCol w:w="9889"/>
      </w:tblGrid>
      <w:tr w:rsidR="00F653C4" w:rsidTr="00786325">
        <w:tc>
          <w:tcPr>
            <w:tcW w:w="9889" w:type="dxa"/>
            <w:shd w:val="clear" w:color="auto" w:fill="auto"/>
            <w:vAlign w:val="center"/>
          </w:tcPr>
          <w:p w:rsidR="00F653C4" w:rsidRPr="0030117C" w:rsidRDefault="00A33CBF" w:rsidP="00614F22">
            <w:pPr>
              <w:pStyle w:val="Default"/>
              <w:spacing w:before="240" w:after="480"/>
              <w:jc w:val="center"/>
              <w:rPr>
                <w:rStyle w:val="apple-converted-space"/>
                <w:sz w:val="22"/>
                <w:szCs w:val="22"/>
                <w:shd w:val="clear" w:color="auto" w:fill="FFFFFF"/>
              </w:rPr>
            </w:pPr>
            <w:r>
              <w:rPr>
                <w:noProof/>
                <w:sz w:val="22"/>
                <w:szCs w:val="22"/>
                <w:shd w:val="clear" w:color="auto" w:fill="FFFFFF"/>
                <w:lang w:eastAsia="en-GB"/>
              </w:rPr>
              <w:drawing>
                <wp:inline distT="0" distB="0" distL="0" distR="0" wp14:anchorId="2A925259" wp14:editId="4A6DE4E4">
                  <wp:extent cx="4600575" cy="1276350"/>
                  <wp:effectExtent l="0" t="0" r="9525" b="0"/>
                  <wp:docPr id="3" name="Picture 6" descr="02 Immersion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2 Immersion 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1276350"/>
                          </a:xfrm>
                          <a:prstGeom prst="rect">
                            <a:avLst/>
                          </a:prstGeom>
                          <a:noFill/>
                          <a:ln>
                            <a:noFill/>
                          </a:ln>
                        </pic:spPr>
                      </pic:pic>
                    </a:graphicData>
                  </a:graphic>
                </wp:inline>
              </w:drawing>
            </w:r>
          </w:p>
        </w:tc>
      </w:tr>
    </w:tbl>
    <w:p w:rsidR="00786325" w:rsidRDefault="00786325" w:rsidP="00614F22">
      <w:pPr>
        <w:spacing w:after="120"/>
        <w:rPr>
          <w:rFonts w:ascii="Arial" w:hAnsi="Arial" w:cs="Arial"/>
          <w:sz w:val="22"/>
          <w:szCs w:val="22"/>
        </w:rPr>
      </w:pPr>
      <w:r>
        <w:rPr>
          <w:rFonts w:ascii="Arial" w:hAnsi="Arial" w:cs="Arial"/>
          <w:sz w:val="22"/>
          <w:szCs w:val="22"/>
        </w:rPr>
        <w:br w:type="page"/>
      </w:r>
    </w:p>
    <w:tbl>
      <w:tblPr>
        <w:tblW w:w="9889" w:type="dxa"/>
        <w:tblLook w:val="04A0" w:firstRow="1" w:lastRow="0" w:firstColumn="1" w:lastColumn="0" w:noHBand="0" w:noVBand="1"/>
      </w:tblPr>
      <w:tblGrid>
        <w:gridCol w:w="5967"/>
        <w:gridCol w:w="3922"/>
      </w:tblGrid>
      <w:tr w:rsidR="00786325" w:rsidTr="00786325">
        <w:tc>
          <w:tcPr>
            <w:tcW w:w="5967" w:type="dxa"/>
            <w:shd w:val="clear" w:color="auto" w:fill="auto"/>
            <w:vAlign w:val="center"/>
          </w:tcPr>
          <w:p w:rsidR="00786325" w:rsidRPr="0030117C" w:rsidRDefault="00786325" w:rsidP="00F717A9">
            <w:pPr>
              <w:pStyle w:val="Default"/>
              <w:spacing w:after="120"/>
              <w:rPr>
                <w:rStyle w:val="apple-converted-space"/>
                <w:b/>
                <w:sz w:val="22"/>
                <w:szCs w:val="22"/>
                <w:shd w:val="clear" w:color="auto" w:fill="FFFFFF"/>
              </w:rPr>
            </w:pPr>
            <w:bookmarkStart w:id="0" w:name="_GoBack"/>
            <w:r>
              <w:rPr>
                <w:rFonts w:ascii="Times New Roman" w:eastAsia="Times New Roman" w:hAnsi="Times New Roman" w:cs="Times New Roman"/>
                <w:color w:val="auto"/>
                <w:lang w:eastAsia="en-GB"/>
              </w:rPr>
              <w:lastRenderedPageBreak/>
              <w:br w:type="page"/>
            </w:r>
            <w:r w:rsidRPr="0030117C">
              <w:rPr>
                <w:rStyle w:val="apple-converted-space"/>
                <w:b/>
                <w:sz w:val="22"/>
                <w:szCs w:val="22"/>
                <w:shd w:val="clear" w:color="auto" w:fill="FFFFFF"/>
              </w:rPr>
              <w:t>Instantaneous water heater</w:t>
            </w:r>
          </w:p>
          <w:p w:rsidR="00786325" w:rsidRPr="0030117C" w:rsidRDefault="00786325" w:rsidP="00F717A9">
            <w:pPr>
              <w:pStyle w:val="Default"/>
              <w:spacing w:after="120"/>
              <w:rPr>
                <w:sz w:val="22"/>
                <w:szCs w:val="22"/>
                <w:shd w:val="clear" w:color="auto" w:fill="FFFFFF"/>
              </w:rPr>
            </w:pPr>
            <w:r w:rsidRPr="0030117C">
              <w:rPr>
                <w:sz w:val="22"/>
                <w:szCs w:val="22"/>
                <w:shd w:val="clear" w:color="auto" w:fill="FFFFFF"/>
              </w:rPr>
              <w:t>These high-power water heaters instantly heat water as it flows through the device and do not retain any water internally, except for what is in the heat exchanger coil. Common examples include instantaneous showers and point of use (POU) water heaters for supplying the hot tap of a sink or basin. The inside of an electric shower is shown right.</w:t>
            </w:r>
          </w:p>
          <w:p w:rsidR="00786325" w:rsidRPr="0030117C" w:rsidRDefault="00786325" w:rsidP="00F717A9">
            <w:pPr>
              <w:pStyle w:val="Default"/>
              <w:spacing w:after="120"/>
              <w:rPr>
                <w:sz w:val="22"/>
                <w:szCs w:val="22"/>
                <w:shd w:val="clear" w:color="auto" w:fill="FFFFFF"/>
              </w:rPr>
            </w:pPr>
            <w:r w:rsidRPr="0030117C">
              <w:rPr>
                <w:sz w:val="22"/>
                <w:szCs w:val="22"/>
                <w:shd w:val="clear" w:color="auto" w:fill="FFFFFF"/>
              </w:rPr>
              <w:t>When the shower unit is turned on, water flows through the heater chamber and is heated quickly by the high-powered heating element. This then passes to the hot water outlet. The temperature of the water is regulated by the flow rate; a slow flow rate gives hot water and a fast flow rate gives cooler water.</w:t>
            </w:r>
          </w:p>
          <w:p w:rsidR="00786325" w:rsidRPr="0030117C" w:rsidRDefault="00786325" w:rsidP="00F717A9">
            <w:pPr>
              <w:pStyle w:val="Default"/>
              <w:spacing w:after="120"/>
              <w:rPr>
                <w:rStyle w:val="apple-converted-space"/>
                <w:sz w:val="22"/>
                <w:szCs w:val="22"/>
                <w:shd w:val="clear" w:color="auto" w:fill="FFFFFF"/>
              </w:rPr>
            </w:pPr>
            <w:r w:rsidRPr="0030117C">
              <w:rPr>
                <w:sz w:val="22"/>
                <w:szCs w:val="22"/>
                <w:shd w:val="clear" w:color="auto" w:fill="FFFFFF"/>
              </w:rPr>
              <w:t>The shower unit is fed from its own circuit in the consumer control unit and a double</w:t>
            </w:r>
            <w:r w:rsidRPr="0030117C">
              <w:rPr>
                <w:sz w:val="22"/>
                <w:szCs w:val="22"/>
                <w:shd w:val="clear" w:color="auto" w:fill="FFFFFF"/>
              </w:rPr>
              <w:noBreakHyphen/>
              <w:t>pole switch is installed in the vicinity of the shower unit. See the circuit arrangement below:</w:t>
            </w:r>
          </w:p>
        </w:tc>
        <w:tc>
          <w:tcPr>
            <w:tcW w:w="3922" w:type="dxa"/>
            <w:shd w:val="clear" w:color="auto" w:fill="auto"/>
            <w:vAlign w:val="center"/>
          </w:tcPr>
          <w:p w:rsidR="00786325" w:rsidRPr="0030117C" w:rsidRDefault="00786325" w:rsidP="00F717A9">
            <w:pPr>
              <w:pStyle w:val="Default"/>
              <w:spacing w:after="120"/>
              <w:jc w:val="right"/>
              <w:rPr>
                <w:rStyle w:val="apple-converted-space"/>
                <w:sz w:val="22"/>
                <w:szCs w:val="22"/>
                <w:shd w:val="clear" w:color="auto" w:fill="FFFFFF"/>
              </w:rPr>
            </w:pPr>
            <w:r>
              <w:rPr>
                <w:noProof/>
                <w:sz w:val="22"/>
                <w:szCs w:val="22"/>
                <w:shd w:val="clear" w:color="auto" w:fill="FFFFFF"/>
                <w:lang w:eastAsia="en-GB"/>
              </w:rPr>
              <w:drawing>
                <wp:inline distT="0" distB="0" distL="0" distR="0" wp14:anchorId="48664839" wp14:editId="16ED8E6C">
                  <wp:extent cx="1952625" cy="2552700"/>
                  <wp:effectExtent l="0" t="0" r="9525" b="0"/>
                  <wp:docPr id="4" name="Picture 1" descr="03 Electric 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 Electric Sho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2552700"/>
                          </a:xfrm>
                          <a:prstGeom prst="rect">
                            <a:avLst/>
                          </a:prstGeom>
                          <a:noFill/>
                          <a:ln>
                            <a:noFill/>
                          </a:ln>
                        </pic:spPr>
                      </pic:pic>
                    </a:graphicData>
                  </a:graphic>
                </wp:inline>
              </w:drawing>
            </w:r>
          </w:p>
        </w:tc>
      </w:tr>
      <w:tr w:rsidR="00786325" w:rsidTr="00786325">
        <w:tc>
          <w:tcPr>
            <w:tcW w:w="9889" w:type="dxa"/>
            <w:gridSpan w:val="2"/>
            <w:shd w:val="clear" w:color="auto" w:fill="auto"/>
            <w:vAlign w:val="center"/>
          </w:tcPr>
          <w:p w:rsidR="00786325" w:rsidRPr="0030117C" w:rsidRDefault="00786325" w:rsidP="00F717A9">
            <w:pPr>
              <w:pStyle w:val="Default"/>
              <w:spacing w:before="240" w:after="480"/>
              <w:jc w:val="center"/>
              <w:rPr>
                <w:rStyle w:val="apple-converted-space"/>
                <w:sz w:val="22"/>
                <w:szCs w:val="22"/>
                <w:shd w:val="clear" w:color="auto" w:fill="FFFFFF"/>
              </w:rPr>
            </w:pPr>
            <w:r>
              <w:rPr>
                <w:noProof/>
                <w:sz w:val="22"/>
                <w:szCs w:val="22"/>
                <w:shd w:val="clear" w:color="auto" w:fill="FFFFFF"/>
                <w:lang w:eastAsia="en-GB"/>
              </w:rPr>
              <w:drawing>
                <wp:inline distT="0" distB="0" distL="0" distR="0" wp14:anchorId="18762F68" wp14:editId="09056939">
                  <wp:extent cx="4724400" cy="1924050"/>
                  <wp:effectExtent l="0" t="0" r="0" b="0"/>
                  <wp:docPr id="5" name="Picture 4" descr="04 Showe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 Shower circu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1924050"/>
                          </a:xfrm>
                          <a:prstGeom prst="rect">
                            <a:avLst/>
                          </a:prstGeom>
                          <a:noFill/>
                          <a:ln>
                            <a:noFill/>
                          </a:ln>
                        </pic:spPr>
                      </pic:pic>
                    </a:graphicData>
                  </a:graphic>
                </wp:inline>
              </w:drawing>
            </w:r>
          </w:p>
        </w:tc>
      </w:tr>
    </w:tbl>
    <w:bookmarkEnd w:id="0"/>
    <w:p w:rsidR="00614F22" w:rsidRDefault="00614F22" w:rsidP="00614F22">
      <w:pPr>
        <w:spacing w:after="120"/>
        <w:rPr>
          <w:rFonts w:ascii="Arial" w:hAnsi="Arial" w:cs="Arial"/>
          <w:sz w:val="22"/>
          <w:szCs w:val="22"/>
        </w:rPr>
      </w:pPr>
      <w:r>
        <w:rPr>
          <w:rFonts w:ascii="Arial" w:hAnsi="Arial" w:cs="Arial"/>
          <w:sz w:val="22"/>
          <w:szCs w:val="22"/>
        </w:rPr>
        <w:pict>
          <v:rect id="_x0000_i1025" style="width:0;height:1.5pt" o:hralign="center" o:hrstd="t" o:hr="t" fillcolor="#a0a0a0" stroked="f"/>
        </w:pict>
      </w:r>
    </w:p>
    <w:sectPr w:rsidR="00614F22" w:rsidSect="00786325">
      <w:headerReference w:type="default" r:id="rId13"/>
      <w:foot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4FA" w:rsidRDefault="00A204FA">
      <w:r>
        <w:separator/>
      </w:r>
    </w:p>
  </w:endnote>
  <w:endnote w:type="continuationSeparator" w:id="0">
    <w:p w:rsidR="00A204FA" w:rsidRDefault="00A2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5E0B43" w:rsidRPr="005A76CF" w:rsidTr="007F32CC">
      <w:tc>
        <w:tcPr>
          <w:tcW w:w="3250" w:type="pct"/>
          <w:shd w:val="clear" w:color="auto" w:fill="auto"/>
        </w:tcPr>
        <w:p w:rsidR="005E0B43" w:rsidRPr="005A76CF" w:rsidRDefault="005E0B43" w:rsidP="007F32CC">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A33CBF">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5E0B43" w:rsidRPr="005A76CF" w:rsidRDefault="005E0B43" w:rsidP="007F32CC">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5E0B43" w:rsidRPr="005A76CF" w:rsidRDefault="005E0B43" w:rsidP="007F32CC">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786325">
            <w:rPr>
              <w:rFonts w:ascii="Arial" w:hAnsi="Arial" w:cs="Arial"/>
              <w:noProof/>
              <w:sz w:val="18"/>
            </w:rPr>
            <w:t>2</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786325">
            <w:rPr>
              <w:rFonts w:ascii="Arial" w:hAnsi="Arial" w:cs="Arial"/>
              <w:noProof/>
              <w:sz w:val="18"/>
            </w:rPr>
            <w:t>2</w:t>
          </w:r>
          <w:r w:rsidRPr="005A76CF">
            <w:rPr>
              <w:rFonts w:ascii="Arial" w:hAnsi="Arial" w:cs="Arial"/>
              <w:sz w:val="18"/>
            </w:rPr>
            <w:fldChar w:fldCharType="end"/>
          </w:r>
        </w:p>
      </w:tc>
    </w:tr>
  </w:tbl>
  <w:p w:rsidR="005E0B43" w:rsidRPr="00786325" w:rsidRDefault="005E0B43">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4FA" w:rsidRDefault="00A204FA">
      <w:r>
        <w:separator/>
      </w:r>
    </w:p>
  </w:footnote>
  <w:footnote w:type="continuationSeparator" w:id="0">
    <w:p w:rsidR="00A204FA" w:rsidRDefault="00A20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555533">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w:t>
          </w:r>
          <w:proofErr w:type="spellStart"/>
          <w:r w:rsidRPr="00BE2849">
            <w:rPr>
              <w:rFonts w:ascii="Arial" w:hAnsi="Arial" w:cs="Arial"/>
              <w:sz w:val="18"/>
            </w:rPr>
            <w:t>Handout</w:t>
          </w:r>
          <w:proofErr w:type="spellEnd"/>
          <w:r w:rsidRPr="00BE2849">
            <w:rPr>
              <w:rFonts w:ascii="Arial" w:hAnsi="Arial" w:cs="Arial"/>
              <w:sz w:val="18"/>
            </w:rPr>
            <w:t xml:space="preserve"> </w:t>
          </w:r>
          <w:r w:rsidR="00555533">
            <w:rPr>
              <w:rFonts w:ascii="Arial" w:hAnsi="Arial" w:cs="Arial"/>
              <w:sz w:val="18"/>
            </w:rPr>
            <w:t>9</w:t>
          </w:r>
        </w:p>
      </w:tc>
    </w:tr>
  </w:tbl>
  <w:p w:rsidR="008C1497" w:rsidRPr="00786325"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45B9"/>
    <w:multiLevelType w:val="hybridMultilevel"/>
    <w:tmpl w:val="1D2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D651C0"/>
    <w:multiLevelType w:val="hybridMultilevel"/>
    <w:tmpl w:val="EEB66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53A3F"/>
    <w:multiLevelType w:val="hybridMultilevel"/>
    <w:tmpl w:val="74B84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13FF8"/>
    <w:rsid w:val="00021494"/>
    <w:rsid w:val="00023302"/>
    <w:rsid w:val="00027ED9"/>
    <w:rsid w:val="000503F3"/>
    <w:rsid w:val="00052405"/>
    <w:rsid w:val="000617DC"/>
    <w:rsid w:val="00062598"/>
    <w:rsid w:val="000706C2"/>
    <w:rsid w:val="000753B4"/>
    <w:rsid w:val="000914F1"/>
    <w:rsid w:val="00095B50"/>
    <w:rsid w:val="000A6940"/>
    <w:rsid w:val="000B2B3A"/>
    <w:rsid w:val="000B6037"/>
    <w:rsid w:val="000C3BAC"/>
    <w:rsid w:val="000E4C76"/>
    <w:rsid w:val="000E5848"/>
    <w:rsid w:val="000F6735"/>
    <w:rsid w:val="000F68F6"/>
    <w:rsid w:val="0011352A"/>
    <w:rsid w:val="00131E2F"/>
    <w:rsid w:val="001531DF"/>
    <w:rsid w:val="00154223"/>
    <w:rsid w:val="0016305B"/>
    <w:rsid w:val="0017291B"/>
    <w:rsid w:val="00186E84"/>
    <w:rsid w:val="001924D2"/>
    <w:rsid w:val="001A46A9"/>
    <w:rsid w:val="001A4DFA"/>
    <w:rsid w:val="001A50EE"/>
    <w:rsid w:val="001A57EC"/>
    <w:rsid w:val="001B4B30"/>
    <w:rsid w:val="001E3165"/>
    <w:rsid w:val="00210B99"/>
    <w:rsid w:val="00217A93"/>
    <w:rsid w:val="00220518"/>
    <w:rsid w:val="0022051A"/>
    <w:rsid w:val="00225086"/>
    <w:rsid w:val="00237BB0"/>
    <w:rsid w:val="00241896"/>
    <w:rsid w:val="0025798D"/>
    <w:rsid w:val="00272D65"/>
    <w:rsid w:val="00274A53"/>
    <w:rsid w:val="00277C21"/>
    <w:rsid w:val="00285D01"/>
    <w:rsid w:val="00286008"/>
    <w:rsid w:val="002964CD"/>
    <w:rsid w:val="00296FC3"/>
    <w:rsid w:val="002C3CAB"/>
    <w:rsid w:val="002E26CC"/>
    <w:rsid w:val="002E6505"/>
    <w:rsid w:val="002F141D"/>
    <w:rsid w:val="0030117C"/>
    <w:rsid w:val="00306AF6"/>
    <w:rsid w:val="0031203E"/>
    <w:rsid w:val="00321F78"/>
    <w:rsid w:val="003224C2"/>
    <w:rsid w:val="00323400"/>
    <w:rsid w:val="003236F5"/>
    <w:rsid w:val="00336392"/>
    <w:rsid w:val="00336E82"/>
    <w:rsid w:val="0034333B"/>
    <w:rsid w:val="00345571"/>
    <w:rsid w:val="0037510C"/>
    <w:rsid w:val="00390B7D"/>
    <w:rsid w:val="003D1AB0"/>
    <w:rsid w:val="003E1063"/>
    <w:rsid w:val="003F22C2"/>
    <w:rsid w:val="00404203"/>
    <w:rsid w:val="00426F02"/>
    <w:rsid w:val="0046221E"/>
    <w:rsid w:val="00485A4E"/>
    <w:rsid w:val="0048648E"/>
    <w:rsid w:val="004A2728"/>
    <w:rsid w:val="004B3B7F"/>
    <w:rsid w:val="004B436C"/>
    <w:rsid w:val="004C6FC6"/>
    <w:rsid w:val="004D6954"/>
    <w:rsid w:val="004E3AB1"/>
    <w:rsid w:val="00505C63"/>
    <w:rsid w:val="005104DE"/>
    <w:rsid w:val="005446E0"/>
    <w:rsid w:val="0054644A"/>
    <w:rsid w:val="005502AB"/>
    <w:rsid w:val="005546A4"/>
    <w:rsid w:val="00555533"/>
    <w:rsid w:val="00593EF1"/>
    <w:rsid w:val="005A3095"/>
    <w:rsid w:val="005C3679"/>
    <w:rsid w:val="005C4AC0"/>
    <w:rsid w:val="005C65B7"/>
    <w:rsid w:val="005D215F"/>
    <w:rsid w:val="005D48BD"/>
    <w:rsid w:val="005E0B43"/>
    <w:rsid w:val="005E738F"/>
    <w:rsid w:val="005E7EA9"/>
    <w:rsid w:val="005F3C51"/>
    <w:rsid w:val="00604E57"/>
    <w:rsid w:val="00605C9E"/>
    <w:rsid w:val="00611102"/>
    <w:rsid w:val="00614F22"/>
    <w:rsid w:val="00621A89"/>
    <w:rsid w:val="006369E7"/>
    <w:rsid w:val="006503A8"/>
    <w:rsid w:val="00650F9B"/>
    <w:rsid w:val="0065498F"/>
    <w:rsid w:val="0066001E"/>
    <w:rsid w:val="00661014"/>
    <w:rsid w:val="006651B2"/>
    <w:rsid w:val="0068636D"/>
    <w:rsid w:val="00693925"/>
    <w:rsid w:val="006A5D9D"/>
    <w:rsid w:val="006C23D5"/>
    <w:rsid w:val="006D646C"/>
    <w:rsid w:val="006E0A82"/>
    <w:rsid w:val="00703D6B"/>
    <w:rsid w:val="007130BA"/>
    <w:rsid w:val="0072308F"/>
    <w:rsid w:val="00730534"/>
    <w:rsid w:val="00731618"/>
    <w:rsid w:val="00752165"/>
    <w:rsid w:val="0075798B"/>
    <w:rsid w:val="007663AF"/>
    <w:rsid w:val="00786325"/>
    <w:rsid w:val="00796960"/>
    <w:rsid w:val="007A39B1"/>
    <w:rsid w:val="007A6CA5"/>
    <w:rsid w:val="007B4FCF"/>
    <w:rsid w:val="007B7C3B"/>
    <w:rsid w:val="007D02C7"/>
    <w:rsid w:val="007D0441"/>
    <w:rsid w:val="007D1993"/>
    <w:rsid w:val="007E0408"/>
    <w:rsid w:val="007F32CC"/>
    <w:rsid w:val="008014D4"/>
    <w:rsid w:val="00801C5B"/>
    <w:rsid w:val="0080459B"/>
    <w:rsid w:val="00806CD5"/>
    <w:rsid w:val="008368B7"/>
    <w:rsid w:val="00845A02"/>
    <w:rsid w:val="00845FA8"/>
    <w:rsid w:val="0085046A"/>
    <w:rsid w:val="00862420"/>
    <w:rsid w:val="00875881"/>
    <w:rsid w:val="00876E14"/>
    <w:rsid w:val="00894B5F"/>
    <w:rsid w:val="00897C94"/>
    <w:rsid w:val="008A0441"/>
    <w:rsid w:val="008C1497"/>
    <w:rsid w:val="008C23BA"/>
    <w:rsid w:val="008E6899"/>
    <w:rsid w:val="008F0F2C"/>
    <w:rsid w:val="009375D9"/>
    <w:rsid w:val="0096594F"/>
    <w:rsid w:val="00970041"/>
    <w:rsid w:val="00972428"/>
    <w:rsid w:val="009B7D8F"/>
    <w:rsid w:val="009C0C93"/>
    <w:rsid w:val="009C66A8"/>
    <w:rsid w:val="009D24C5"/>
    <w:rsid w:val="009D2A44"/>
    <w:rsid w:val="009E28A1"/>
    <w:rsid w:val="009E4B9D"/>
    <w:rsid w:val="009F081F"/>
    <w:rsid w:val="009F318A"/>
    <w:rsid w:val="00A104DF"/>
    <w:rsid w:val="00A16B1F"/>
    <w:rsid w:val="00A204FA"/>
    <w:rsid w:val="00A33CBF"/>
    <w:rsid w:val="00A56779"/>
    <w:rsid w:val="00A83A16"/>
    <w:rsid w:val="00A935FB"/>
    <w:rsid w:val="00A96D03"/>
    <w:rsid w:val="00AA1D9F"/>
    <w:rsid w:val="00AE1BAB"/>
    <w:rsid w:val="00B128C6"/>
    <w:rsid w:val="00B24160"/>
    <w:rsid w:val="00B324E7"/>
    <w:rsid w:val="00B478B7"/>
    <w:rsid w:val="00B57A1E"/>
    <w:rsid w:val="00B6304E"/>
    <w:rsid w:val="00B73A34"/>
    <w:rsid w:val="00B82BEF"/>
    <w:rsid w:val="00B85CD3"/>
    <w:rsid w:val="00BA257A"/>
    <w:rsid w:val="00BB350E"/>
    <w:rsid w:val="00BB4685"/>
    <w:rsid w:val="00BC69FD"/>
    <w:rsid w:val="00BD748B"/>
    <w:rsid w:val="00BE2849"/>
    <w:rsid w:val="00C16DD0"/>
    <w:rsid w:val="00C2168B"/>
    <w:rsid w:val="00C33422"/>
    <w:rsid w:val="00C44F9C"/>
    <w:rsid w:val="00C519BC"/>
    <w:rsid w:val="00C72C1D"/>
    <w:rsid w:val="00C74991"/>
    <w:rsid w:val="00C7687B"/>
    <w:rsid w:val="00C76DD2"/>
    <w:rsid w:val="00C8563B"/>
    <w:rsid w:val="00CA2B0C"/>
    <w:rsid w:val="00CA7B52"/>
    <w:rsid w:val="00CE78D3"/>
    <w:rsid w:val="00CF5D89"/>
    <w:rsid w:val="00D11D6A"/>
    <w:rsid w:val="00D45885"/>
    <w:rsid w:val="00D537E0"/>
    <w:rsid w:val="00D54514"/>
    <w:rsid w:val="00D60660"/>
    <w:rsid w:val="00D609DC"/>
    <w:rsid w:val="00D62257"/>
    <w:rsid w:val="00D7381C"/>
    <w:rsid w:val="00D75E20"/>
    <w:rsid w:val="00D77334"/>
    <w:rsid w:val="00D812EA"/>
    <w:rsid w:val="00D86756"/>
    <w:rsid w:val="00D90174"/>
    <w:rsid w:val="00D97C4F"/>
    <w:rsid w:val="00DA6EDF"/>
    <w:rsid w:val="00DB5ABB"/>
    <w:rsid w:val="00DB6D1A"/>
    <w:rsid w:val="00DB7393"/>
    <w:rsid w:val="00DC1681"/>
    <w:rsid w:val="00DE1F45"/>
    <w:rsid w:val="00DE60FB"/>
    <w:rsid w:val="00DE6FCF"/>
    <w:rsid w:val="00DF5749"/>
    <w:rsid w:val="00E06E67"/>
    <w:rsid w:val="00E15912"/>
    <w:rsid w:val="00E233BC"/>
    <w:rsid w:val="00E436C3"/>
    <w:rsid w:val="00E55944"/>
    <w:rsid w:val="00E60213"/>
    <w:rsid w:val="00E650AB"/>
    <w:rsid w:val="00E703F6"/>
    <w:rsid w:val="00E708AF"/>
    <w:rsid w:val="00E86CF1"/>
    <w:rsid w:val="00EB2789"/>
    <w:rsid w:val="00EC17BD"/>
    <w:rsid w:val="00ED072C"/>
    <w:rsid w:val="00ED712A"/>
    <w:rsid w:val="00ED7E0E"/>
    <w:rsid w:val="00EE1B5D"/>
    <w:rsid w:val="00EE54A2"/>
    <w:rsid w:val="00F100C3"/>
    <w:rsid w:val="00F12E31"/>
    <w:rsid w:val="00F44EF8"/>
    <w:rsid w:val="00F56792"/>
    <w:rsid w:val="00F62453"/>
    <w:rsid w:val="00F653C4"/>
    <w:rsid w:val="00F67E87"/>
    <w:rsid w:val="00F72939"/>
    <w:rsid w:val="00F81ED5"/>
    <w:rsid w:val="00FD5103"/>
    <w:rsid w:val="00FD63F5"/>
    <w:rsid w:val="00FE2EDE"/>
    <w:rsid w:val="00FE6844"/>
    <w:rsid w:val="00FF2BD9"/>
    <w:rsid w:val="00FF56E9"/>
    <w:rsid w:val="00FF623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editsection">
    <w:name w:val="editsection"/>
    <w:basedOn w:val="DefaultParagraphFont"/>
    <w:rsid w:val="000C3BAC"/>
  </w:style>
  <w:style w:type="character" w:customStyle="1" w:styleId="mw-headline">
    <w:name w:val="mw-headline"/>
    <w:basedOn w:val="DefaultParagraphFont"/>
    <w:rsid w:val="000C3BAC"/>
  </w:style>
  <w:style w:type="character" w:styleId="Strong">
    <w:name w:val="Strong"/>
    <w:uiPriority w:val="22"/>
    <w:qFormat/>
    <w:rsid w:val="00806CD5"/>
    <w:rPr>
      <w:b/>
      <w:bCs/>
    </w:rPr>
  </w:style>
  <w:style w:type="character" w:customStyle="1" w:styleId="FooterChar">
    <w:name w:val="Footer Char"/>
    <w:link w:val="Footer"/>
    <w:rsid w:val="005E0B43"/>
    <w:rPr>
      <w:sz w:val="24"/>
      <w:szCs w:val="24"/>
      <w:lang w:eastAsia="en-US"/>
    </w:rPr>
  </w:style>
  <w:style w:type="character" w:styleId="CommentReference">
    <w:name w:val="annotation reference"/>
    <w:rsid w:val="0075798B"/>
    <w:rPr>
      <w:sz w:val="16"/>
      <w:szCs w:val="16"/>
    </w:rPr>
  </w:style>
  <w:style w:type="paragraph" w:styleId="CommentText">
    <w:name w:val="annotation text"/>
    <w:basedOn w:val="Normal"/>
    <w:link w:val="CommentTextChar"/>
    <w:rsid w:val="0075798B"/>
    <w:rPr>
      <w:sz w:val="20"/>
      <w:szCs w:val="20"/>
    </w:rPr>
  </w:style>
  <w:style w:type="character" w:customStyle="1" w:styleId="CommentTextChar">
    <w:name w:val="Comment Text Char"/>
    <w:basedOn w:val="DefaultParagraphFont"/>
    <w:link w:val="CommentText"/>
    <w:rsid w:val="0075798B"/>
  </w:style>
  <w:style w:type="paragraph" w:styleId="CommentSubject">
    <w:name w:val="annotation subject"/>
    <w:basedOn w:val="CommentText"/>
    <w:next w:val="CommentText"/>
    <w:link w:val="CommentSubjectChar"/>
    <w:rsid w:val="0075798B"/>
    <w:rPr>
      <w:b/>
      <w:bCs/>
    </w:rPr>
  </w:style>
  <w:style w:type="character" w:customStyle="1" w:styleId="CommentSubjectChar">
    <w:name w:val="Comment Subject Char"/>
    <w:link w:val="CommentSubject"/>
    <w:rsid w:val="007579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editsection">
    <w:name w:val="editsection"/>
    <w:basedOn w:val="DefaultParagraphFont"/>
    <w:rsid w:val="000C3BAC"/>
  </w:style>
  <w:style w:type="character" w:customStyle="1" w:styleId="mw-headline">
    <w:name w:val="mw-headline"/>
    <w:basedOn w:val="DefaultParagraphFont"/>
    <w:rsid w:val="000C3BAC"/>
  </w:style>
  <w:style w:type="character" w:styleId="Strong">
    <w:name w:val="Strong"/>
    <w:uiPriority w:val="22"/>
    <w:qFormat/>
    <w:rsid w:val="00806CD5"/>
    <w:rPr>
      <w:b/>
      <w:bCs/>
    </w:rPr>
  </w:style>
  <w:style w:type="character" w:customStyle="1" w:styleId="FooterChar">
    <w:name w:val="Footer Char"/>
    <w:link w:val="Footer"/>
    <w:rsid w:val="005E0B43"/>
    <w:rPr>
      <w:sz w:val="24"/>
      <w:szCs w:val="24"/>
      <w:lang w:eastAsia="en-US"/>
    </w:rPr>
  </w:style>
  <w:style w:type="character" w:styleId="CommentReference">
    <w:name w:val="annotation reference"/>
    <w:rsid w:val="0075798B"/>
    <w:rPr>
      <w:sz w:val="16"/>
      <w:szCs w:val="16"/>
    </w:rPr>
  </w:style>
  <w:style w:type="paragraph" w:styleId="CommentText">
    <w:name w:val="annotation text"/>
    <w:basedOn w:val="Normal"/>
    <w:link w:val="CommentTextChar"/>
    <w:rsid w:val="0075798B"/>
    <w:rPr>
      <w:sz w:val="20"/>
      <w:szCs w:val="20"/>
    </w:rPr>
  </w:style>
  <w:style w:type="character" w:customStyle="1" w:styleId="CommentTextChar">
    <w:name w:val="Comment Text Char"/>
    <w:basedOn w:val="DefaultParagraphFont"/>
    <w:link w:val="CommentText"/>
    <w:rsid w:val="0075798B"/>
  </w:style>
  <w:style w:type="paragraph" w:styleId="CommentSubject">
    <w:name w:val="annotation subject"/>
    <w:basedOn w:val="CommentText"/>
    <w:next w:val="CommentText"/>
    <w:link w:val="CommentSubjectChar"/>
    <w:rsid w:val="0075798B"/>
    <w:rPr>
      <w:b/>
      <w:bCs/>
    </w:rPr>
  </w:style>
  <w:style w:type="character" w:customStyle="1" w:styleId="CommentSubjectChar">
    <w:name w:val="Comment Subject Char"/>
    <w:link w:val="CommentSubject"/>
    <w:rsid w:val="00757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3969">
      <w:bodyDiv w:val="1"/>
      <w:marLeft w:val="0"/>
      <w:marRight w:val="0"/>
      <w:marTop w:val="0"/>
      <w:marBottom w:val="0"/>
      <w:divBdr>
        <w:top w:val="none" w:sz="0" w:space="0" w:color="auto"/>
        <w:left w:val="none" w:sz="0" w:space="0" w:color="auto"/>
        <w:bottom w:val="none" w:sz="0" w:space="0" w:color="auto"/>
        <w:right w:val="none" w:sz="0" w:space="0" w:color="auto"/>
      </w:divBdr>
    </w:div>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388068461">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3886921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 w:id="1963608023">
      <w:bodyDiv w:val="1"/>
      <w:marLeft w:val="0"/>
      <w:marRight w:val="0"/>
      <w:marTop w:val="0"/>
      <w:marBottom w:val="0"/>
      <w:divBdr>
        <w:top w:val="none" w:sz="0" w:space="0" w:color="auto"/>
        <w:left w:val="none" w:sz="0" w:space="0" w:color="auto"/>
        <w:bottom w:val="none" w:sz="0" w:space="0" w:color="auto"/>
        <w:right w:val="none" w:sz="0" w:space="0" w:color="auto"/>
      </w:divBdr>
    </w:div>
    <w:div w:id="21449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C1F72A-6759-4A14-8044-B1422907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4</cp:revision>
  <cp:lastPrinted>2013-04-18T10:50:00Z</cp:lastPrinted>
  <dcterms:created xsi:type="dcterms:W3CDTF">2015-02-18T21:52:00Z</dcterms:created>
  <dcterms:modified xsi:type="dcterms:W3CDTF">2015-02-18T21:55:00Z</dcterms:modified>
</cp:coreProperties>
</file>