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1F7C4C">
        <w:rPr>
          <w:rFonts w:ascii="Arial" w:hAnsi="Arial" w:cs="Arial"/>
          <w:b/>
          <w:color w:val="000000"/>
        </w:rPr>
        <w:t>1</w:t>
      </w:r>
      <w:r w:rsidR="00426F02">
        <w:rPr>
          <w:rFonts w:ascii="Arial" w:hAnsi="Arial" w:cs="Arial"/>
          <w:b/>
          <w:color w:val="000000"/>
        </w:rPr>
        <w:t>5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1F7C4C">
        <w:rPr>
          <w:rFonts w:ascii="Arial" w:hAnsi="Arial" w:cs="Arial"/>
          <w:b/>
        </w:rPr>
        <w:t>Steel wire armoured cable (SWA)</w:t>
      </w:r>
    </w:p>
    <w:p w:rsidR="007E0408" w:rsidRPr="007E0408" w:rsidRDefault="007E0408" w:rsidP="00D9079D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D9079D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AA7E55" w:rsidP="00D9079D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>w</w:t>
      </w:r>
      <w:proofErr w:type="gramEnd"/>
      <w:r w:rsidR="007E0408">
        <w:rPr>
          <w:color w:val="auto"/>
          <w:sz w:val="22"/>
          <w:szCs w:val="22"/>
        </w:rPr>
        <w:t xml:space="preserve"> </w:t>
      </w:r>
      <w:r w:rsidR="00C74991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:rsidR="007E0408" w:rsidRPr="007E0408" w:rsidRDefault="007E0408" w:rsidP="00D9079D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AA7E5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D9079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C74991" w:rsidRPr="00C74991" w:rsidRDefault="00C74991" w:rsidP="00D9079D">
      <w:pPr>
        <w:pStyle w:val="Default"/>
        <w:spacing w:after="120"/>
        <w:ind w:left="567" w:hanging="567"/>
        <w:rPr>
          <w:sz w:val="22"/>
          <w:szCs w:val="22"/>
        </w:rPr>
      </w:pPr>
      <w:r w:rsidRPr="00C74991">
        <w:rPr>
          <w:bCs/>
          <w:sz w:val="22"/>
          <w:szCs w:val="22"/>
        </w:rPr>
        <w:t>3.2</w:t>
      </w:r>
      <w:r w:rsidRPr="00C74991">
        <w:rPr>
          <w:bCs/>
          <w:sz w:val="22"/>
          <w:szCs w:val="22"/>
        </w:rPr>
        <w:tab/>
      </w:r>
      <w:r w:rsidR="00AA7E55">
        <w:rPr>
          <w:sz w:val="22"/>
          <w:szCs w:val="22"/>
        </w:rPr>
        <w:t>i</w:t>
      </w:r>
      <w:r w:rsidRPr="00684ECA">
        <w:rPr>
          <w:sz w:val="22"/>
          <w:szCs w:val="22"/>
        </w:rPr>
        <w:t xml:space="preserve">dentify </w:t>
      </w:r>
      <w:r w:rsidRPr="00684ECA">
        <w:rPr>
          <w:b/>
          <w:bCs/>
          <w:sz w:val="22"/>
          <w:szCs w:val="22"/>
        </w:rPr>
        <w:t xml:space="preserve">wiring systems </w:t>
      </w:r>
      <w:r w:rsidRPr="00684ECA">
        <w:rPr>
          <w:sz w:val="22"/>
          <w:szCs w:val="22"/>
        </w:rPr>
        <w:t xml:space="preserve">for different </w:t>
      </w:r>
      <w:r w:rsidRPr="00684ECA">
        <w:rPr>
          <w:b/>
          <w:bCs/>
          <w:sz w:val="22"/>
          <w:szCs w:val="22"/>
        </w:rPr>
        <w:t>environments</w:t>
      </w:r>
      <w:r w:rsidR="00AA7E55">
        <w:rPr>
          <w:b/>
          <w:bCs/>
          <w:sz w:val="22"/>
          <w:szCs w:val="22"/>
        </w:rPr>
        <w:t>.</w:t>
      </w:r>
    </w:p>
    <w:p w:rsidR="007E0408" w:rsidRDefault="007E0408" w:rsidP="00E3249B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C74991" w:rsidRPr="00FB6A20" w:rsidRDefault="00C74991" w:rsidP="00E3249B">
      <w:pPr>
        <w:pStyle w:val="Default"/>
        <w:rPr>
          <w:sz w:val="22"/>
          <w:szCs w:val="22"/>
        </w:rPr>
      </w:pPr>
      <w:proofErr w:type="gramStart"/>
      <w:r w:rsidRPr="00FB6A20">
        <w:rPr>
          <w:b/>
          <w:bCs/>
          <w:sz w:val="22"/>
          <w:szCs w:val="22"/>
        </w:rPr>
        <w:t>Wiring systems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Cable tray, cable trunking, cable conduit, ladder racking, thermoplastic multi-core, flat profile, SWA, MICC, FP200, thermoplastic single-core, support methods and requirements, component parts.</w:t>
      </w:r>
      <w:proofErr w:type="gramEnd"/>
    </w:p>
    <w:p w:rsidR="00C74991" w:rsidRDefault="00C74991" w:rsidP="00E3249B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Environments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Domestic, commercial, hazardous, industrial installation, agricultural.</w:t>
      </w:r>
    </w:p>
    <w:p w:rsidR="00E3249B" w:rsidRDefault="00E3249B" w:rsidP="00D9079D">
      <w:pPr>
        <w:pStyle w:val="Default"/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B24160" w:rsidRPr="00E3249B" w:rsidRDefault="001F7C4C" w:rsidP="00E3249B">
      <w:pPr>
        <w:pStyle w:val="Default"/>
        <w:spacing w:after="120"/>
        <w:jc w:val="center"/>
        <w:rPr>
          <w:color w:val="auto"/>
        </w:rPr>
      </w:pPr>
      <w:r w:rsidRPr="00E3249B">
        <w:rPr>
          <w:b/>
        </w:rPr>
        <w:t>Steel wire armoured (SWA)</w:t>
      </w:r>
      <w:r w:rsidR="00B0656B" w:rsidRPr="00E3249B">
        <w:rPr>
          <w:b/>
        </w:rPr>
        <w:t xml:space="preserve"> cable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070"/>
        <w:gridCol w:w="1123"/>
        <w:gridCol w:w="861"/>
        <w:gridCol w:w="2835"/>
      </w:tblGrid>
      <w:tr w:rsidR="00D95CC8" w:rsidTr="00E3249B">
        <w:tc>
          <w:tcPr>
            <w:tcW w:w="6193" w:type="dxa"/>
            <w:gridSpan w:val="2"/>
            <w:shd w:val="clear" w:color="auto" w:fill="auto"/>
          </w:tcPr>
          <w:p w:rsidR="00D95CC8" w:rsidRPr="00C636B9" w:rsidRDefault="00D95CC8" w:rsidP="00D9079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 w:rsidRPr="00C636B9">
              <w:rPr>
                <w:rFonts w:ascii="Arial" w:hAnsi="Arial" w:cs="Arial"/>
                <w:sz w:val="22"/>
                <w:szCs w:val="22"/>
              </w:rPr>
              <w:t>SWA cables are used extensively for main and sub-main cables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,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and for wiring circuits in industrial installations. They can also be buried directly in the ground 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and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are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 xml:space="preserve"> therefore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useful for </w:t>
            </w:r>
            <w:r w:rsidR="009C1F9D" w:rsidRPr="00C636B9">
              <w:rPr>
                <w:rFonts w:ascii="Arial" w:hAnsi="Arial" w:cs="Arial"/>
                <w:sz w:val="22"/>
                <w:szCs w:val="22"/>
              </w:rPr>
              <w:t>connecting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between buildings in domestic installations. The cable consists of single or multi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-</w:t>
            </w:r>
            <w:r w:rsidRPr="00C636B9">
              <w:rPr>
                <w:rFonts w:ascii="Arial" w:hAnsi="Arial" w:cs="Arial"/>
                <w:sz w:val="22"/>
                <w:szCs w:val="22"/>
              </w:rPr>
              <w:t>core PVC insulated conductors made of copper or aluminium with steel wire armour and PVC over sheath.</w:t>
            </w:r>
          </w:p>
          <w:p w:rsidR="00D95CC8" w:rsidRPr="00C636B9" w:rsidRDefault="00D95CC8" w:rsidP="00D9079D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C636B9">
              <w:rPr>
                <w:rFonts w:ascii="Arial" w:hAnsi="Arial" w:cs="Arial"/>
                <w:sz w:val="22"/>
                <w:szCs w:val="22"/>
              </w:rPr>
              <w:t>Typical sizes range from 50mm</w:t>
            </w:r>
            <w:r w:rsidRPr="00C636B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–</w:t>
            </w:r>
            <w:r w:rsidRPr="00C636B9">
              <w:rPr>
                <w:rFonts w:ascii="Arial" w:hAnsi="Arial" w:cs="Arial"/>
                <w:sz w:val="22"/>
                <w:szCs w:val="22"/>
              </w:rPr>
              <w:t>1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,</w:t>
            </w:r>
            <w:r w:rsidRPr="00C636B9">
              <w:rPr>
                <w:rFonts w:ascii="Arial" w:hAnsi="Arial" w:cs="Arial"/>
                <w:sz w:val="22"/>
                <w:szCs w:val="22"/>
              </w:rPr>
              <w:t>000mm</w:t>
            </w:r>
            <w:r w:rsidRPr="00C636B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for single core types and anything from 1.5mm</w:t>
            </w:r>
            <w:r w:rsidRPr="00C636B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up to 400mm</w:t>
            </w:r>
            <w:r w:rsidRPr="00C636B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 xml:space="preserve"> for two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three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four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core types.</w:t>
            </w:r>
          </w:p>
          <w:p w:rsidR="00D95CC8" w:rsidRPr="00C636B9" w:rsidRDefault="00D95CC8" w:rsidP="00D9079D">
            <w:pPr>
              <w:tabs>
                <w:tab w:val="left" w:pos="-567"/>
              </w:tabs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C636B9">
              <w:rPr>
                <w:rFonts w:ascii="Arial" w:hAnsi="Arial" w:cs="Arial"/>
                <w:sz w:val="22"/>
                <w:szCs w:val="22"/>
              </w:rPr>
              <w:t xml:space="preserve">The cable can 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 xml:space="preserve">be </w:t>
            </w:r>
            <w:r w:rsidRPr="00C636B9">
              <w:rPr>
                <w:rFonts w:ascii="Arial" w:hAnsi="Arial" w:cs="Arial"/>
                <w:sz w:val="22"/>
                <w:szCs w:val="22"/>
              </w:rPr>
              <w:t>fixed directly on to walls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,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using cable cleats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>,</w:t>
            </w:r>
            <w:r w:rsidRPr="00C636B9">
              <w:rPr>
                <w:rFonts w:ascii="Arial" w:hAnsi="Arial" w:cs="Arial"/>
                <w:sz w:val="22"/>
                <w:szCs w:val="22"/>
              </w:rPr>
              <w:t xml:space="preserve"> or laid directly in the ground or in cable ducts. If several cables are to follow the same route, they may be </w:t>
            </w:r>
            <w:r w:rsidR="00B0656B" w:rsidRPr="00C636B9">
              <w:rPr>
                <w:rFonts w:ascii="Arial" w:hAnsi="Arial" w:cs="Arial"/>
                <w:sz w:val="22"/>
                <w:szCs w:val="22"/>
              </w:rPr>
              <w:t xml:space="preserve">best </w:t>
            </w:r>
            <w:r w:rsidRPr="00C636B9">
              <w:rPr>
                <w:rFonts w:ascii="Arial" w:hAnsi="Arial" w:cs="Arial"/>
                <w:sz w:val="22"/>
                <w:szCs w:val="22"/>
              </w:rPr>
              <w:t>supported on cable tray, ladder or racks.</w:t>
            </w:r>
          </w:p>
        </w:tc>
        <w:tc>
          <w:tcPr>
            <w:tcW w:w="3696" w:type="dxa"/>
            <w:gridSpan w:val="2"/>
            <w:shd w:val="clear" w:color="auto" w:fill="auto"/>
            <w:vAlign w:val="center"/>
          </w:tcPr>
          <w:p w:rsidR="00D95CC8" w:rsidRPr="00C636B9" w:rsidRDefault="00C61334" w:rsidP="00D9079D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32562B6" wp14:editId="3C48B875">
                  <wp:extent cx="2209800" cy="2447925"/>
                  <wp:effectExtent l="0" t="0" r="0" b="9525"/>
                  <wp:docPr id="2" name="Picture 0" descr="01 SW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01 SW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EE7" w:rsidTr="00E3249B">
        <w:tc>
          <w:tcPr>
            <w:tcW w:w="5070" w:type="dxa"/>
            <w:shd w:val="clear" w:color="auto" w:fill="auto"/>
            <w:vAlign w:val="center"/>
          </w:tcPr>
          <w:p w:rsidR="00126EE7" w:rsidRPr="00C636B9" w:rsidRDefault="00C61334" w:rsidP="00D9079D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714DF56" wp14:editId="06C8CEB2">
                  <wp:extent cx="1809750" cy="1809750"/>
                  <wp:effectExtent l="0" t="0" r="0" b="0"/>
                  <wp:docPr id="3" name="Picture 4" descr="03 Gl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3 Gl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3"/>
            <w:shd w:val="clear" w:color="auto" w:fill="auto"/>
            <w:vAlign w:val="center"/>
          </w:tcPr>
          <w:p w:rsidR="00126EE7" w:rsidRPr="00C636B9" w:rsidRDefault="00C61334" w:rsidP="00D9079D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0AE3E15" wp14:editId="1790870B">
                  <wp:extent cx="2295525" cy="1828800"/>
                  <wp:effectExtent l="0" t="0" r="9525" b="0"/>
                  <wp:docPr id="4" name="Picture 3" descr="02 SW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 SW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CC5" w:rsidTr="00E3249B">
        <w:tc>
          <w:tcPr>
            <w:tcW w:w="7054" w:type="dxa"/>
            <w:gridSpan w:val="3"/>
            <w:shd w:val="clear" w:color="auto" w:fill="auto"/>
            <w:vAlign w:val="center"/>
          </w:tcPr>
          <w:p w:rsidR="00A73CC5" w:rsidRPr="00C636B9" w:rsidRDefault="00A73CC5" w:rsidP="00D9079D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C636B9">
              <w:rPr>
                <w:rFonts w:ascii="Arial" w:hAnsi="Arial" w:cs="Arial"/>
                <w:sz w:val="22"/>
                <w:szCs w:val="22"/>
              </w:rPr>
              <w:t>The steel wire armouring can be used as the circuit protective conductor (cpc) but it must be ascertained from manufacturers’ information that it has at least the equivalent cross</w:t>
            </w:r>
            <w:r w:rsidRPr="00C636B9">
              <w:rPr>
                <w:rFonts w:ascii="Arial" w:hAnsi="Arial" w:cs="Arial"/>
                <w:sz w:val="22"/>
                <w:szCs w:val="22"/>
              </w:rPr>
              <w:noBreakHyphen/>
              <w:t>sectional area as the corresponding copper cpc.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A73CC5" w:rsidRPr="00C636B9" w:rsidRDefault="00C61334" w:rsidP="00D9079D">
            <w:pPr>
              <w:spacing w:before="60" w:after="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936386B" wp14:editId="701F2DA2">
                  <wp:extent cx="1609725" cy="1238250"/>
                  <wp:effectExtent l="0" t="0" r="9525" b="0"/>
                  <wp:docPr id="5" name="Picture 7" descr="04 Cle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4 Cle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897C94" w:rsidRDefault="00D9079D" w:rsidP="00D9079D">
      <w:pPr>
        <w:spacing w:after="120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897C94" w:rsidSect="00E3249B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7E" w:rsidRDefault="00251D7E">
      <w:r>
        <w:separator/>
      </w:r>
    </w:p>
  </w:endnote>
  <w:endnote w:type="continuationSeparator" w:id="0">
    <w:p w:rsidR="00251D7E" w:rsidRDefault="00251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A7E55" w:rsidRPr="005A76CF" w:rsidTr="00C90741">
      <w:tc>
        <w:tcPr>
          <w:tcW w:w="3250" w:type="pct"/>
          <w:shd w:val="clear" w:color="auto" w:fill="auto"/>
        </w:tcPr>
        <w:p w:rsidR="00AA7E55" w:rsidRPr="005A76CF" w:rsidRDefault="00AA7E55" w:rsidP="00C9074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61334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A7E55" w:rsidRPr="005A76CF" w:rsidRDefault="00AA7E55" w:rsidP="00C9074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A7E55" w:rsidRPr="005A76CF" w:rsidRDefault="00AA7E55" w:rsidP="00C9074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3249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E3249B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A7E55" w:rsidRPr="00D9079D" w:rsidRDefault="00AA7E55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7E" w:rsidRDefault="00251D7E">
      <w:r>
        <w:separator/>
      </w:r>
    </w:p>
  </w:footnote>
  <w:footnote w:type="continuationSeparator" w:id="0">
    <w:p w:rsidR="00251D7E" w:rsidRDefault="00251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426F0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1F7C4C">
            <w:rPr>
              <w:rFonts w:ascii="Arial" w:hAnsi="Arial" w:cs="Arial"/>
              <w:sz w:val="18"/>
            </w:rPr>
            <w:t>1</w:t>
          </w:r>
          <w:r w:rsidR="00426F02">
            <w:rPr>
              <w:rFonts w:ascii="Arial" w:hAnsi="Arial" w:cs="Arial"/>
              <w:sz w:val="18"/>
            </w:rPr>
            <w:t>5</w:t>
          </w:r>
        </w:p>
      </w:tc>
    </w:tr>
  </w:tbl>
  <w:p w:rsidR="008C1497" w:rsidRPr="00D9079D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B651C09"/>
    <w:multiLevelType w:val="hybridMultilevel"/>
    <w:tmpl w:val="97B46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503F3"/>
    <w:rsid w:val="00052405"/>
    <w:rsid w:val="000617DC"/>
    <w:rsid w:val="00062598"/>
    <w:rsid w:val="00067A7B"/>
    <w:rsid w:val="000753B4"/>
    <w:rsid w:val="000914F1"/>
    <w:rsid w:val="00095B50"/>
    <w:rsid w:val="000A6940"/>
    <w:rsid w:val="000B2B3A"/>
    <w:rsid w:val="000E5848"/>
    <w:rsid w:val="000F6735"/>
    <w:rsid w:val="000F68F6"/>
    <w:rsid w:val="0011352A"/>
    <w:rsid w:val="00126EE7"/>
    <w:rsid w:val="00131139"/>
    <w:rsid w:val="00131E2F"/>
    <w:rsid w:val="00141B6B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B4B30"/>
    <w:rsid w:val="001B7876"/>
    <w:rsid w:val="001D553B"/>
    <w:rsid w:val="001E3165"/>
    <w:rsid w:val="001F7C4C"/>
    <w:rsid w:val="00210B99"/>
    <w:rsid w:val="00217A93"/>
    <w:rsid w:val="00220518"/>
    <w:rsid w:val="0022051A"/>
    <w:rsid w:val="00225086"/>
    <w:rsid w:val="00237BB0"/>
    <w:rsid w:val="00241896"/>
    <w:rsid w:val="002465B2"/>
    <w:rsid w:val="00251D7E"/>
    <w:rsid w:val="0025798D"/>
    <w:rsid w:val="00272D65"/>
    <w:rsid w:val="00285D01"/>
    <w:rsid w:val="00286008"/>
    <w:rsid w:val="002964CD"/>
    <w:rsid w:val="00296FC3"/>
    <w:rsid w:val="002C3CAB"/>
    <w:rsid w:val="002E26CC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404203"/>
    <w:rsid w:val="00410DE5"/>
    <w:rsid w:val="00426F02"/>
    <w:rsid w:val="00485A4E"/>
    <w:rsid w:val="0048648E"/>
    <w:rsid w:val="004A2728"/>
    <w:rsid w:val="004A5B41"/>
    <w:rsid w:val="004C6FC6"/>
    <w:rsid w:val="004D6954"/>
    <w:rsid w:val="00505C63"/>
    <w:rsid w:val="005104DE"/>
    <w:rsid w:val="005446E0"/>
    <w:rsid w:val="0054644A"/>
    <w:rsid w:val="005502AB"/>
    <w:rsid w:val="005546A4"/>
    <w:rsid w:val="00593EF1"/>
    <w:rsid w:val="005A3095"/>
    <w:rsid w:val="005C3679"/>
    <w:rsid w:val="005C65B7"/>
    <w:rsid w:val="005D215F"/>
    <w:rsid w:val="005E7EA9"/>
    <w:rsid w:val="005F3C51"/>
    <w:rsid w:val="00604E57"/>
    <w:rsid w:val="00605C9E"/>
    <w:rsid w:val="00611102"/>
    <w:rsid w:val="00621A89"/>
    <w:rsid w:val="006369E7"/>
    <w:rsid w:val="006503A8"/>
    <w:rsid w:val="0065498F"/>
    <w:rsid w:val="0066001E"/>
    <w:rsid w:val="006651B2"/>
    <w:rsid w:val="0068636D"/>
    <w:rsid w:val="00693925"/>
    <w:rsid w:val="006A5D9D"/>
    <w:rsid w:val="006D646C"/>
    <w:rsid w:val="006E0A82"/>
    <w:rsid w:val="00703D6B"/>
    <w:rsid w:val="0072308F"/>
    <w:rsid w:val="00730534"/>
    <w:rsid w:val="00731618"/>
    <w:rsid w:val="00750EAD"/>
    <w:rsid w:val="00752165"/>
    <w:rsid w:val="007647EE"/>
    <w:rsid w:val="00796960"/>
    <w:rsid w:val="007A39B1"/>
    <w:rsid w:val="007A6CA5"/>
    <w:rsid w:val="007B4FCF"/>
    <w:rsid w:val="007D02C7"/>
    <w:rsid w:val="007D0441"/>
    <w:rsid w:val="007E0408"/>
    <w:rsid w:val="00801C5B"/>
    <w:rsid w:val="0080459B"/>
    <w:rsid w:val="0085046A"/>
    <w:rsid w:val="00862420"/>
    <w:rsid w:val="00875881"/>
    <w:rsid w:val="00876E14"/>
    <w:rsid w:val="00894B5F"/>
    <w:rsid w:val="00897C94"/>
    <w:rsid w:val="008A76F3"/>
    <w:rsid w:val="008B5DBB"/>
    <w:rsid w:val="008C1497"/>
    <w:rsid w:val="008C23BA"/>
    <w:rsid w:val="008E6899"/>
    <w:rsid w:val="008F0F2C"/>
    <w:rsid w:val="00921483"/>
    <w:rsid w:val="009375D9"/>
    <w:rsid w:val="00960E20"/>
    <w:rsid w:val="0096594F"/>
    <w:rsid w:val="00966B72"/>
    <w:rsid w:val="00972428"/>
    <w:rsid w:val="009904B0"/>
    <w:rsid w:val="009B5351"/>
    <w:rsid w:val="009C0C93"/>
    <w:rsid w:val="009C1F9D"/>
    <w:rsid w:val="009D24C5"/>
    <w:rsid w:val="009D2A44"/>
    <w:rsid w:val="009E28A1"/>
    <w:rsid w:val="009E62A3"/>
    <w:rsid w:val="009F081F"/>
    <w:rsid w:val="009F318A"/>
    <w:rsid w:val="00A104DF"/>
    <w:rsid w:val="00A16B1F"/>
    <w:rsid w:val="00A56779"/>
    <w:rsid w:val="00A57812"/>
    <w:rsid w:val="00A73CC5"/>
    <w:rsid w:val="00A83A16"/>
    <w:rsid w:val="00AA7E55"/>
    <w:rsid w:val="00AE1BAB"/>
    <w:rsid w:val="00B0656B"/>
    <w:rsid w:val="00B128C6"/>
    <w:rsid w:val="00B24160"/>
    <w:rsid w:val="00B324E7"/>
    <w:rsid w:val="00B478B7"/>
    <w:rsid w:val="00B6304E"/>
    <w:rsid w:val="00B73A34"/>
    <w:rsid w:val="00B82BEF"/>
    <w:rsid w:val="00BA257A"/>
    <w:rsid w:val="00BB350E"/>
    <w:rsid w:val="00BB4685"/>
    <w:rsid w:val="00BC69FD"/>
    <w:rsid w:val="00BD748B"/>
    <w:rsid w:val="00BE2849"/>
    <w:rsid w:val="00C16DD0"/>
    <w:rsid w:val="00C33422"/>
    <w:rsid w:val="00C44F9C"/>
    <w:rsid w:val="00C519BC"/>
    <w:rsid w:val="00C52C79"/>
    <w:rsid w:val="00C61334"/>
    <w:rsid w:val="00C636B9"/>
    <w:rsid w:val="00C72C1D"/>
    <w:rsid w:val="00C74991"/>
    <w:rsid w:val="00C7687B"/>
    <w:rsid w:val="00C8563B"/>
    <w:rsid w:val="00C90741"/>
    <w:rsid w:val="00C9680D"/>
    <w:rsid w:val="00CA2B0C"/>
    <w:rsid w:val="00CA7B52"/>
    <w:rsid w:val="00CE78D3"/>
    <w:rsid w:val="00CF5D89"/>
    <w:rsid w:val="00D11D6A"/>
    <w:rsid w:val="00D46491"/>
    <w:rsid w:val="00D537E0"/>
    <w:rsid w:val="00D60660"/>
    <w:rsid w:val="00D609DC"/>
    <w:rsid w:val="00D62257"/>
    <w:rsid w:val="00D7381C"/>
    <w:rsid w:val="00D74A69"/>
    <w:rsid w:val="00D75E20"/>
    <w:rsid w:val="00D77334"/>
    <w:rsid w:val="00D812EA"/>
    <w:rsid w:val="00D86756"/>
    <w:rsid w:val="00D90174"/>
    <w:rsid w:val="00D9079D"/>
    <w:rsid w:val="00D95CC8"/>
    <w:rsid w:val="00D97C4F"/>
    <w:rsid w:val="00DA6EDF"/>
    <w:rsid w:val="00DB5ABB"/>
    <w:rsid w:val="00DB6D1A"/>
    <w:rsid w:val="00DC0DCE"/>
    <w:rsid w:val="00DC1681"/>
    <w:rsid w:val="00DE066A"/>
    <w:rsid w:val="00DE1F45"/>
    <w:rsid w:val="00DE60FB"/>
    <w:rsid w:val="00DE6FCF"/>
    <w:rsid w:val="00DF5749"/>
    <w:rsid w:val="00E06E67"/>
    <w:rsid w:val="00E15912"/>
    <w:rsid w:val="00E233BC"/>
    <w:rsid w:val="00E3249B"/>
    <w:rsid w:val="00E436C3"/>
    <w:rsid w:val="00E55944"/>
    <w:rsid w:val="00E60213"/>
    <w:rsid w:val="00E650AB"/>
    <w:rsid w:val="00E703F6"/>
    <w:rsid w:val="00E708AF"/>
    <w:rsid w:val="00E86CF1"/>
    <w:rsid w:val="00EB2789"/>
    <w:rsid w:val="00EC17BD"/>
    <w:rsid w:val="00ED072C"/>
    <w:rsid w:val="00ED7E0E"/>
    <w:rsid w:val="00EE1B5D"/>
    <w:rsid w:val="00F100C3"/>
    <w:rsid w:val="00F12E31"/>
    <w:rsid w:val="00F26671"/>
    <w:rsid w:val="00F44EF8"/>
    <w:rsid w:val="00F56792"/>
    <w:rsid w:val="00F62453"/>
    <w:rsid w:val="00F67E87"/>
    <w:rsid w:val="00F72939"/>
    <w:rsid w:val="00FD5103"/>
    <w:rsid w:val="00FD63F5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A7E5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A7E5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5B054-05F0-4720-B32D-C74CF051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2013-04-18T11:15:00Z</cp:lastPrinted>
  <dcterms:created xsi:type="dcterms:W3CDTF">2015-02-18T21:56:00Z</dcterms:created>
  <dcterms:modified xsi:type="dcterms:W3CDTF">2015-02-18T21:58:00Z</dcterms:modified>
</cp:coreProperties>
</file>