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849" w:rsidRPr="00B24160" w:rsidRDefault="007E0408" w:rsidP="00BE2849">
      <w:pPr>
        <w:pBdr>
          <w:top w:val="single" w:sz="6" w:space="1" w:color="auto"/>
          <w:bottom w:val="single" w:sz="6" w:space="1" w:color="auto"/>
        </w:pBdr>
        <w:rPr>
          <w:rFonts w:ascii="Arial" w:hAnsi="Arial" w:cs="Arial"/>
          <w:b/>
          <w:color w:val="000000"/>
        </w:rPr>
      </w:pPr>
      <w:r>
        <w:rPr>
          <w:rFonts w:ascii="Arial" w:hAnsi="Arial" w:cs="Arial"/>
          <w:bCs/>
          <w:color w:val="FF0000"/>
          <w:sz w:val="32"/>
          <w:szCs w:val="27"/>
        </w:rPr>
        <w:t>20</w:t>
      </w:r>
      <w:r w:rsidR="007A6CA5">
        <w:rPr>
          <w:rFonts w:ascii="Arial" w:hAnsi="Arial" w:cs="Arial"/>
          <w:bCs/>
          <w:color w:val="FF0000"/>
          <w:sz w:val="32"/>
          <w:szCs w:val="27"/>
        </w:rPr>
        <w:t>3</w:t>
      </w:r>
      <w:r>
        <w:rPr>
          <w:rFonts w:ascii="Arial" w:hAnsi="Arial" w:cs="Arial"/>
          <w:bCs/>
          <w:color w:val="FF0000"/>
          <w:sz w:val="32"/>
          <w:szCs w:val="27"/>
        </w:rPr>
        <w:t xml:space="preserve">: </w:t>
      </w:r>
      <w:r w:rsidR="007A6CA5">
        <w:rPr>
          <w:rFonts w:ascii="Arial" w:hAnsi="Arial" w:cs="Arial"/>
          <w:bCs/>
          <w:color w:val="FF0000"/>
          <w:sz w:val="32"/>
          <w:szCs w:val="27"/>
        </w:rPr>
        <w:t>Electrical installations technology</w:t>
      </w:r>
      <w:r w:rsidR="00B6304E">
        <w:rPr>
          <w:rFonts w:ascii="Arial" w:hAnsi="Arial" w:cs="Arial"/>
          <w:bCs/>
          <w:color w:val="FF0000"/>
          <w:sz w:val="32"/>
          <w:szCs w:val="27"/>
        </w:rPr>
        <w:br/>
      </w:r>
      <w:proofErr w:type="spellStart"/>
      <w:r w:rsidR="00BE2849" w:rsidRPr="00B24160">
        <w:rPr>
          <w:rFonts w:ascii="Arial" w:hAnsi="Arial" w:cs="Arial"/>
          <w:b/>
          <w:color w:val="000000"/>
        </w:rPr>
        <w:t>Handout</w:t>
      </w:r>
      <w:proofErr w:type="spellEnd"/>
      <w:r w:rsidR="00B6304E" w:rsidRPr="00B24160">
        <w:rPr>
          <w:rFonts w:ascii="Arial" w:hAnsi="Arial" w:cs="Arial"/>
          <w:b/>
          <w:color w:val="000000"/>
        </w:rPr>
        <w:t> </w:t>
      </w:r>
      <w:r w:rsidR="004805B5">
        <w:rPr>
          <w:rFonts w:ascii="Arial" w:hAnsi="Arial" w:cs="Arial"/>
          <w:b/>
          <w:color w:val="000000"/>
        </w:rPr>
        <w:t>22</w:t>
      </w:r>
      <w:r w:rsidR="00BE2849" w:rsidRPr="00B24160">
        <w:rPr>
          <w:rFonts w:ascii="Arial" w:hAnsi="Arial" w:cs="Arial"/>
          <w:b/>
          <w:color w:val="000000"/>
        </w:rPr>
        <w:t xml:space="preserve">: </w:t>
      </w:r>
      <w:r w:rsidR="004805B5">
        <w:rPr>
          <w:rFonts w:ascii="Arial" w:hAnsi="Arial" w:cs="Arial"/>
          <w:b/>
        </w:rPr>
        <w:t>Earthing systems</w:t>
      </w:r>
    </w:p>
    <w:p w:rsidR="007E0408" w:rsidRPr="007E0408" w:rsidRDefault="007E0408" w:rsidP="009F7BF4">
      <w:pPr>
        <w:pStyle w:val="Default"/>
        <w:spacing w:before="120" w:after="120"/>
        <w:rPr>
          <w:color w:val="auto"/>
          <w:sz w:val="22"/>
          <w:szCs w:val="22"/>
        </w:rPr>
      </w:pPr>
      <w:r w:rsidRPr="007E0408">
        <w:rPr>
          <w:b/>
          <w:bCs/>
          <w:color w:val="auto"/>
          <w:sz w:val="22"/>
          <w:szCs w:val="22"/>
        </w:rPr>
        <w:t>Learning outcome</w:t>
      </w:r>
    </w:p>
    <w:p w:rsidR="007E0408" w:rsidRPr="007E0408" w:rsidRDefault="007E0408" w:rsidP="009F7BF4">
      <w:pPr>
        <w:pStyle w:val="Default"/>
        <w:rPr>
          <w:color w:val="auto"/>
          <w:sz w:val="22"/>
          <w:szCs w:val="22"/>
        </w:rPr>
      </w:pPr>
      <w:r w:rsidRPr="007E0408">
        <w:rPr>
          <w:color w:val="auto"/>
          <w:sz w:val="22"/>
          <w:szCs w:val="22"/>
        </w:rPr>
        <w:t>The learner will:</w:t>
      </w:r>
    </w:p>
    <w:p w:rsidR="007E0408" w:rsidRDefault="00537097" w:rsidP="009F7BF4">
      <w:pPr>
        <w:pStyle w:val="Default"/>
        <w:numPr>
          <w:ilvl w:val="0"/>
          <w:numId w:val="1"/>
        </w:numPr>
        <w:spacing w:after="120"/>
        <w:rPr>
          <w:color w:val="auto"/>
          <w:sz w:val="22"/>
          <w:szCs w:val="22"/>
        </w:rPr>
      </w:pPr>
      <w:proofErr w:type="gramStart"/>
      <w:r>
        <w:rPr>
          <w:sz w:val="22"/>
          <w:szCs w:val="22"/>
        </w:rPr>
        <w:t>k</w:t>
      </w:r>
      <w:r w:rsidR="004805B5" w:rsidRPr="00FB6A20">
        <w:rPr>
          <w:sz w:val="22"/>
          <w:szCs w:val="22"/>
        </w:rPr>
        <w:t>now</w:t>
      </w:r>
      <w:proofErr w:type="gramEnd"/>
      <w:r w:rsidR="004805B5" w:rsidRPr="00FB6A20">
        <w:rPr>
          <w:sz w:val="22"/>
          <w:szCs w:val="22"/>
        </w:rPr>
        <w:t xml:space="preserve"> requirements </w:t>
      </w:r>
      <w:r w:rsidR="00070D8E">
        <w:rPr>
          <w:sz w:val="22"/>
          <w:szCs w:val="22"/>
        </w:rPr>
        <w:t xml:space="preserve">of </w:t>
      </w:r>
      <w:r w:rsidR="004805B5" w:rsidRPr="00FB6A20">
        <w:rPr>
          <w:sz w:val="22"/>
          <w:szCs w:val="22"/>
        </w:rPr>
        <w:t>earthing systems</w:t>
      </w:r>
      <w:r>
        <w:rPr>
          <w:sz w:val="22"/>
          <w:szCs w:val="22"/>
        </w:rPr>
        <w:t>.</w:t>
      </w:r>
    </w:p>
    <w:p w:rsidR="007E0408" w:rsidRPr="007E0408" w:rsidRDefault="007E0408" w:rsidP="009F7BF4">
      <w:pPr>
        <w:pStyle w:val="Default"/>
        <w:rPr>
          <w:color w:val="auto"/>
          <w:sz w:val="22"/>
          <w:szCs w:val="22"/>
        </w:rPr>
      </w:pPr>
      <w:r w:rsidRPr="007E0408">
        <w:rPr>
          <w:b/>
          <w:bCs/>
          <w:color w:val="auto"/>
          <w:sz w:val="22"/>
          <w:szCs w:val="22"/>
        </w:rPr>
        <w:t xml:space="preserve">Assessment </w:t>
      </w:r>
      <w:r w:rsidR="00FF3DF3">
        <w:rPr>
          <w:b/>
          <w:bCs/>
          <w:color w:val="auto"/>
          <w:sz w:val="22"/>
          <w:szCs w:val="22"/>
        </w:rPr>
        <w:t>c</w:t>
      </w:r>
      <w:r w:rsidRPr="007E0408">
        <w:rPr>
          <w:b/>
          <w:bCs/>
          <w:color w:val="auto"/>
          <w:sz w:val="22"/>
          <w:szCs w:val="22"/>
        </w:rPr>
        <w:t>riteria</w:t>
      </w:r>
    </w:p>
    <w:p w:rsidR="007E0408" w:rsidRPr="007E0408" w:rsidRDefault="007E0408" w:rsidP="009F7BF4">
      <w:pPr>
        <w:pStyle w:val="Default"/>
        <w:rPr>
          <w:color w:val="auto"/>
          <w:sz w:val="22"/>
          <w:szCs w:val="22"/>
        </w:rPr>
      </w:pPr>
      <w:r>
        <w:rPr>
          <w:color w:val="auto"/>
          <w:sz w:val="22"/>
          <w:szCs w:val="22"/>
        </w:rPr>
        <w:t>The learner can:</w:t>
      </w:r>
    </w:p>
    <w:p w:rsidR="004805B5" w:rsidRPr="00FB6A20" w:rsidRDefault="004805B5" w:rsidP="009F7BF4">
      <w:pPr>
        <w:pStyle w:val="Default"/>
        <w:spacing w:after="120"/>
        <w:ind w:left="567" w:hanging="567"/>
        <w:rPr>
          <w:sz w:val="22"/>
          <w:szCs w:val="22"/>
        </w:rPr>
      </w:pPr>
      <w:r w:rsidRPr="00FB6A20">
        <w:rPr>
          <w:sz w:val="22"/>
          <w:szCs w:val="22"/>
        </w:rPr>
        <w:t>4.1</w:t>
      </w:r>
      <w:r w:rsidRPr="00FB6A20">
        <w:rPr>
          <w:sz w:val="22"/>
          <w:szCs w:val="22"/>
        </w:rPr>
        <w:tab/>
      </w:r>
      <w:r w:rsidR="00537097">
        <w:rPr>
          <w:sz w:val="22"/>
          <w:szCs w:val="22"/>
        </w:rPr>
        <w:t>i</w:t>
      </w:r>
      <w:r w:rsidRPr="00FB6A20">
        <w:rPr>
          <w:sz w:val="22"/>
          <w:szCs w:val="22"/>
        </w:rPr>
        <w:t xml:space="preserve">dentify different types of </w:t>
      </w:r>
      <w:r w:rsidRPr="00FB6A20">
        <w:rPr>
          <w:b/>
          <w:bCs/>
          <w:sz w:val="22"/>
          <w:szCs w:val="22"/>
        </w:rPr>
        <w:t>earthing systems</w:t>
      </w:r>
      <w:r w:rsidR="00537097">
        <w:rPr>
          <w:b/>
          <w:bCs/>
          <w:sz w:val="22"/>
          <w:szCs w:val="22"/>
        </w:rPr>
        <w:t>.</w:t>
      </w:r>
    </w:p>
    <w:p w:rsidR="007E0408" w:rsidRDefault="007E0408" w:rsidP="00C35F41">
      <w:pPr>
        <w:pStyle w:val="Default"/>
        <w:rPr>
          <w:b/>
          <w:bCs/>
          <w:color w:val="auto"/>
          <w:sz w:val="22"/>
          <w:szCs w:val="22"/>
        </w:rPr>
      </w:pPr>
      <w:r w:rsidRPr="007E0408">
        <w:rPr>
          <w:b/>
          <w:bCs/>
          <w:color w:val="auto"/>
          <w:sz w:val="22"/>
          <w:szCs w:val="22"/>
        </w:rPr>
        <w:t>Range</w:t>
      </w:r>
    </w:p>
    <w:p w:rsidR="004805B5" w:rsidRDefault="004805B5" w:rsidP="00C35F41">
      <w:pPr>
        <w:pStyle w:val="Default"/>
        <w:rPr>
          <w:sz w:val="22"/>
          <w:szCs w:val="22"/>
        </w:rPr>
      </w:pPr>
      <w:proofErr w:type="gramStart"/>
      <w:r w:rsidRPr="00FB6A20">
        <w:rPr>
          <w:b/>
          <w:bCs/>
          <w:sz w:val="22"/>
          <w:szCs w:val="22"/>
        </w:rPr>
        <w:t>Earthing systems</w:t>
      </w:r>
      <w:r>
        <w:rPr>
          <w:sz w:val="22"/>
          <w:szCs w:val="22"/>
        </w:rPr>
        <w:t xml:space="preserve">: </w:t>
      </w:r>
      <w:r w:rsidRPr="00FB6A20">
        <w:rPr>
          <w:sz w:val="22"/>
          <w:szCs w:val="22"/>
        </w:rPr>
        <w:t>TT, TN-S, TN-C-S.</w:t>
      </w:r>
      <w:proofErr w:type="gramEnd"/>
    </w:p>
    <w:p w:rsidR="00C35F41" w:rsidRPr="00FB6A20" w:rsidRDefault="00C35F41" w:rsidP="00C35F41">
      <w:pPr>
        <w:pStyle w:val="Default"/>
        <w:rPr>
          <w:sz w:val="22"/>
          <w:szCs w:val="22"/>
        </w:rPr>
      </w:pPr>
      <w:r>
        <w:rPr>
          <w:sz w:val="22"/>
          <w:szCs w:val="22"/>
        </w:rPr>
        <w:pict>
          <v:rect id="_x0000_i1026" style="width:0;height:1.5pt" o:hralign="center" o:hrstd="t" o:hr="t" fillcolor="#a0a0a0" stroked="f"/>
        </w:pict>
      </w:r>
    </w:p>
    <w:p w:rsidR="00B24160" w:rsidRPr="00C35F41" w:rsidRDefault="004805B5" w:rsidP="00C35F41">
      <w:pPr>
        <w:pStyle w:val="Default"/>
        <w:spacing w:after="120"/>
        <w:jc w:val="center"/>
        <w:rPr>
          <w:color w:val="auto"/>
        </w:rPr>
      </w:pPr>
      <w:r w:rsidRPr="00C35F41">
        <w:rPr>
          <w:b/>
        </w:rPr>
        <w:t>Earthing systems</w:t>
      </w:r>
    </w:p>
    <w:p w:rsidR="008F101B" w:rsidRPr="008F101B" w:rsidRDefault="008F101B" w:rsidP="009F7BF4">
      <w:pPr>
        <w:pStyle w:val="BodyText"/>
        <w:rPr>
          <w:rFonts w:ascii="Arial" w:hAnsi="Arial" w:cs="Arial"/>
          <w:b/>
          <w:bCs/>
          <w:sz w:val="22"/>
          <w:szCs w:val="22"/>
        </w:rPr>
      </w:pPr>
      <w:r w:rsidRPr="008F101B">
        <w:rPr>
          <w:rFonts w:ascii="Arial" w:hAnsi="Arial" w:cs="Arial"/>
          <w:b/>
          <w:bCs/>
          <w:sz w:val="22"/>
          <w:szCs w:val="22"/>
        </w:rPr>
        <w:t xml:space="preserve">Purpose of </w:t>
      </w:r>
      <w:r w:rsidR="00537097">
        <w:rPr>
          <w:rFonts w:ascii="Arial" w:hAnsi="Arial" w:cs="Arial"/>
          <w:b/>
          <w:bCs/>
          <w:sz w:val="22"/>
          <w:szCs w:val="22"/>
        </w:rPr>
        <w:t>e</w:t>
      </w:r>
      <w:r w:rsidRPr="008F101B">
        <w:rPr>
          <w:rFonts w:ascii="Arial" w:hAnsi="Arial" w:cs="Arial"/>
          <w:b/>
          <w:bCs/>
          <w:sz w:val="22"/>
          <w:szCs w:val="22"/>
        </w:rPr>
        <w:t>arthing</w:t>
      </w:r>
    </w:p>
    <w:p w:rsidR="008F101B" w:rsidRPr="008F101B" w:rsidRDefault="008F101B" w:rsidP="009F7BF4">
      <w:pPr>
        <w:pStyle w:val="BodyText"/>
        <w:rPr>
          <w:rFonts w:ascii="Arial" w:hAnsi="Arial" w:cs="Arial"/>
          <w:sz w:val="22"/>
          <w:szCs w:val="22"/>
        </w:rPr>
      </w:pPr>
      <w:r w:rsidRPr="008F101B">
        <w:rPr>
          <w:rFonts w:ascii="Arial" w:hAnsi="Arial" w:cs="Arial"/>
          <w:sz w:val="22"/>
          <w:szCs w:val="22"/>
        </w:rPr>
        <w:t>The three main reasons for earthing electrical systems are as follows:</w:t>
      </w:r>
    </w:p>
    <w:p w:rsidR="008F101B" w:rsidRPr="008F101B" w:rsidRDefault="00537097" w:rsidP="009F7BF4">
      <w:pPr>
        <w:pStyle w:val="BodyText"/>
        <w:numPr>
          <w:ilvl w:val="0"/>
          <w:numId w:val="2"/>
        </w:numPr>
        <w:overflowPunct w:val="0"/>
        <w:autoSpaceDE w:val="0"/>
        <w:autoSpaceDN w:val="0"/>
        <w:adjustRightInd w:val="0"/>
        <w:spacing w:after="0"/>
        <w:ind w:left="714" w:hanging="357"/>
        <w:contextualSpacing/>
        <w:jc w:val="both"/>
        <w:textAlignment w:val="baseline"/>
        <w:rPr>
          <w:rFonts w:ascii="Arial" w:hAnsi="Arial" w:cs="Arial"/>
          <w:sz w:val="22"/>
          <w:szCs w:val="22"/>
        </w:rPr>
      </w:pPr>
      <w:r>
        <w:rPr>
          <w:rFonts w:ascii="Arial" w:hAnsi="Arial" w:cs="Arial"/>
          <w:sz w:val="22"/>
          <w:szCs w:val="22"/>
        </w:rPr>
        <w:t>t</w:t>
      </w:r>
      <w:r w:rsidR="008F101B" w:rsidRPr="008F101B">
        <w:rPr>
          <w:rFonts w:ascii="Arial" w:hAnsi="Arial" w:cs="Arial"/>
          <w:sz w:val="22"/>
          <w:szCs w:val="22"/>
        </w:rPr>
        <w:t>o maintain the potential of any part of the system at a defi</w:t>
      </w:r>
      <w:r>
        <w:rPr>
          <w:rFonts w:ascii="Arial" w:hAnsi="Arial" w:cs="Arial"/>
          <w:sz w:val="22"/>
          <w:szCs w:val="22"/>
        </w:rPr>
        <w:t>ned value with respect to earth</w:t>
      </w:r>
    </w:p>
    <w:p w:rsidR="008F101B" w:rsidRPr="008F101B" w:rsidRDefault="00537097" w:rsidP="009F7BF4">
      <w:pPr>
        <w:pStyle w:val="BodyText"/>
        <w:numPr>
          <w:ilvl w:val="0"/>
          <w:numId w:val="2"/>
        </w:numPr>
        <w:overflowPunct w:val="0"/>
        <w:autoSpaceDE w:val="0"/>
        <w:autoSpaceDN w:val="0"/>
        <w:adjustRightInd w:val="0"/>
        <w:spacing w:after="0"/>
        <w:ind w:left="714" w:hanging="357"/>
        <w:contextualSpacing/>
        <w:jc w:val="both"/>
        <w:textAlignment w:val="baseline"/>
        <w:rPr>
          <w:rFonts w:ascii="Arial" w:hAnsi="Arial" w:cs="Arial"/>
          <w:sz w:val="22"/>
          <w:szCs w:val="22"/>
        </w:rPr>
      </w:pPr>
      <w:r>
        <w:rPr>
          <w:rFonts w:ascii="Arial" w:hAnsi="Arial" w:cs="Arial"/>
          <w:sz w:val="22"/>
          <w:szCs w:val="22"/>
        </w:rPr>
        <w:t>t</w:t>
      </w:r>
      <w:r w:rsidR="008F101B" w:rsidRPr="008F101B">
        <w:rPr>
          <w:rFonts w:ascii="Arial" w:hAnsi="Arial" w:cs="Arial"/>
          <w:sz w:val="22"/>
          <w:szCs w:val="22"/>
        </w:rPr>
        <w:t>o allow current to flow to earth in the event of a fault, so that the protective equipment will operat</w:t>
      </w:r>
      <w:r>
        <w:rPr>
          <w:rFonts w:ascii="Arial" w:hAnsi="Arial" w:cs="Arial"/>
          <w:sz w:val="22"/>
          <w:szCs w:val="22"/>
        </w:rPr>
        <w:t>e to isolate the faulty circuit</w:t>
      </w:r>
    </w:p>
    <w:p w:rsidR="008F101B" w:rsidRPr="008F101B" w:rsidRDefault="00537097" w:rsidP="009F7BF4">
      <w:pPr>
        <w:pStyle w:val="BodyText"/>
        <w:numPr>
          <w:ilvl w:val="0"/>
          <w:numId w:val="2"/>
        </w:numPr>
        <w:overflowPunct w:val="0"/>
        <w:autoSpaceDE w:val="0"/>
        <w:autoSpaceDN w:val="0"/>
        <w:adjustRightInd w:val="0"/>
        <w:ind w:left="714" w:hanging="357"/>
        <w:jc w:val="both"/>
        <w:textAlignment w:val="baseline"/>
        <w:rPr>
          <w:rFonts w:ascii="Arial" w:hAnsi="Arial" w:cs="Arial"/>
          <w:sz w:val="22"/>
          <w:szCs w:val="22"/>
        </w:rPr>
      </w:pPr>
      <w:proofErr w:type="gramStart"/>
      <w:r>
        <w:rPr>
          <w:rFonts w:ascii="Arial" w:hAnsi="Arial" w:cs="Arial"/>
          <w:sz w:val="22"/>
          <w:szCs w:val="22"/>
        </w:rPr>
        <w:t>t</w:t>
      </w:r>
      <w:r w:rsidR="008F101B" w:rsidRPr="008F101B">
        <w:rPr>
          <w:rFonts w:ascii="Arial" w:hAnsi="Arial" w:cs="Arial"/>
          <w:sz w:val="22"/>
          <w:szCs w:val="22"/>
        </w:rPr>
        <w:t>o</w:t>
      </w:r>
      <w:proofErr w:type="gramEnd"/>
      <w:r w:rsidR="008F101B" w:rsidRPr="008F101B">
        <w:rPr>
          <w:rFonts w:ascii="Arial" w:hAnsi="Arial" w:cs="Arial"/>
          <w:sz w:val="22"/>
          <w:szCs w:val="22"/>
        </w:rPr>
        <w:t xml:space="preserve"> ensure that, in the event of a fault, apparatus normally ‘</w:t>
      </w:r>
      <w:r w:rsidR="008F101B" w:rsidRPr="00537097">
        <w:rPr>
          <w:rFonts w:ascii="Arial" w:hAnsi="Arial" w:cs="Arial"/>
          <w:b/>
          <w:bCs/>
          <w:iCs/>
          <w:sz w:val="22"/>
          <w:szCs w:val="22"/>
        </w:rPr>
        <w:t>dead</w:t>
      </w:r>
      <w:r w:rsidR="008F101B" w:rsidRPr="00537097">
        <w:rPr>
          <w:rFonts w:ascii="Arial" w:hAnsi="Arial" w:cs="Arial"/>
          <w:sz w:val="22"/>
          <w:szCs w:val="22"/>
        </w:rPr>
        <w:t>’</w:t>
      </w:r>
      <w:r w:rsidR="008F101B" w:rsidRPr="008F101B">
        <w:rPr>
          <w:rFonts w:ascii="Arial" w:hAnsi="Arial" w:cs="Arial"/>
          <w:sz w:val="22"/>
          <w:szCs w:val="22"/>
        </w:rPr>
        <w:t xml:space="preserve"> cannot reach a dangerous potential with respect to earth (earth is normally taken as 0 volts, </w:t>
      </w:r>
      <w:r w:rsidR="008F101B" w:rsidRPr="00537097">
        <w:rPr>
          <w:rFonts w:ascii="Arial" w:hAnsi="Arial" w:cs="Arial"/>
          <w:sz w:val="22"/>
          <w:szCs w:val="22"/>
        </w:rPr>
        <w:t>‘</w:t>
      </w:r>
      <w:r w:rsidR="008F101B" w:rsidRPr="00537097">
        <w:rPr>
          <w:rFonts w:ascii="Arial" w:hAnsi="Arial" w:cs="Arial"/>
          <w:b/>
          <w:bCs/>
          <w:iCs/>
          <w:sz w:val="22"/>
          <w:szCs w:val="22"/>
        </w:rPr>
        <w:t>no volts</w:t>
      </w:r>
      <w:r w:rsidR="008F101B" w:rsidRPr="00537097">
        <w:rPr>
          <w:rFonts w:ascii="Arial" w:hAnsi="Arial" w:cs="Arial"/>
          <w:sz w:val="22"/>
          <w:szCs w:val="22"/>
        </w:rPr>
        <w:t>’</w:t>
      </w:r>
      <w:r w:rsidR="008F101B" w:rsidRPr="008F101B">
        <w:rPr>
          <w:rFonts w:ascii="Arial" w:hAnsi="Arial" w:cs="Arial"/>
          <w:sz w:val="22"/>
          <w:szCs w:val="22"/>
        </w:rPr>
        <w:t>).</w:t>
      </w:r>
    </w:p>
    <w:p w:rsidR="008F101B" w:rsidRPr="008F101B" w:rsidRDefault="008F101B" w:rsidP="009F7BF4">
      <w:pPr>
        <w:pStyle w:val="BodyText"/>
        <w:rPr>
          <w:rFonts w:ascii="Arial" w:hAnsi="Arial" w:cs="Arial"/>
          <w:b/>
          <w:bCs/>
          <w:sz w:val="22"/>
          <w:szCs w:val="22"/>
        </w:rPr>
      </w:pPr>
      <w:r w:rsidRPr="008F101B">
        <w:rPr>
          <w:rFonts w:ascii="Arial" w:hAnsi="Arial" w:cs="Arial"/>
          <w:b/>
          <w:bCs/>
          <w:sz w:val="22"/>
          <w:szCs w:val="22"/>
        </w:rPr>
        <w:t xml:space="preserve">Supply </w:t>
      </w:r>
      <w:r w:rsidR="00537097">
        <w:rPr>
          <w:rFonts w:ascii="Arial" w:hAnsi="Arial" w:cs="Arial"/>
          <w:b/>
          <w:bCs/>
          <w:sz w:val="22"/>
          <w:szCs w:val="22"/>
        </w:rPr>
        <w:t>s</w:t>
      </w:r>
      <w:r w:rsidRPr="008F101B">
        <w:rPr>
          <w:rFonts w:ascii="Arial" w:hAnsi="Arial" w:cs="Arial"/>
          <w:b/>
          <w:bCs/>
          <w:sz w:val="22"/>
          <w:szCs w:val="22"/>
        </w:rPr>
        <w:t xml:space="preserve">ystem </w:t>
      </w:r>
      <w:r w:rsidR="00537097">
        <w:rPr>
          <w:rFonts w:ascii="Arial" w:hAnsi="Arial" w:cs="Arial"/>
          <w:b/>
          <w:bCs/>
          <w:sz w:val="22"/>
          <w:szCs w:val="22"/>
        </w:rPr>
        <w:t>e</w:t>
      </w:r>
      <w:r w:rsidRPr="008F101B">
        <w:rPr>
          <w:rFonts w:ascii="Arial" w:hAnsi="Arial" w:cs="Arial"/>
          <w:b/>
          <w:bCs/>
          <w:sz w:val="22"/>
          <w:szCs w:val="22"/>
        </w:rPr>
        <w:t>arthing</w:t>
      </w:r>
    </w:p>
    <w:p w:rsidR="004805B5" w:rsidRDefault="005467ED" w:rsidP="009F7BF4">
      <w:pPr>
        <w:shd w:val="clear" w:color="auto" w:fill="FFFFFF"/>
        <w:spacing w:after="120"/>
        <w:rPr>
          <w:rFonts w:ascii="Arial" w:hAnsi="Arial" w:cs="Arial"/>
          <w:sz w:val="22"/>
          <w:szCs w:val="22"/>
        </w:rPr>
      </w:pPr>
      <w:r>
        <w:rPr>
          <w:rFonts w:ascii="Arial" w:hAnsi="Arial" w:cs="Arial"/>
          <w:sz w:val="22"/>
          <w:szCs w:val="22"/>
        </w:rPr>
        <w:t>Local distribution is normally undertaken with a three</w:t>
      </w:r>
      <w:r>
        <w:rPr>
          <w:rFonts w:ascii="Arial" w:hAnsi="Arial" w:cs="Arial"/>
          <w:sz w:val="22"/>
          <w:szCs w:val="22"/>
        </w:rPr>
        <w:noBreakHyphen/>
        <w:t>phase three</w:t>
      </w:r>
      <w:r>
        <w:rPr>
          <w:rFonts w:ascii="Arial" w:hAnsi="Arial" w:cs="Arial"/>
          <w:sz w:val="22"/>
          <w:szCs w:val="22"/>
        </w:rPr>
        <w:noBreakHyphen/>
        <w:t>wire system at 11kV. This is then transformed down to 400V/230V four</w:t>
      </w:r>
      <w:r>
        <w:rPr>
          <w:rFonts w:ascii="Arial" w:hAnsi="Arial" w:cs="Arial"/>
          <w:sz w:val="22"/>
          <w:szCs w:val="22"/>
        </w:rPr>
        <w:noBreakHyphen/>
        <w:t>wire system</w:t>
      </w:r>
      <w:r w:rsidR="004D038D">
        <w:rPr>
          <w:rFonts w:ascii="Arial" w:hAnsi="Arial" w:cs="Arial"/>
          <w:sz w:val="22"/>
          <w:szCs w:val="22"/>
        </w:rPr>
        <w:t>,</w:t>
      </w:r>
      <w:r>
        <w:rPr>
          <w:rFonts w:ascii="Arial" w:hAnsi="Arial" w:cs="Arial"/>
          <w:sz w:val="22"/>
          <w:szCs w:val="22"/>
        </w:rPr>
        <w:t xml:space="preserve"> as shown in the diagram below:</w:t>
      </w:r>
    </w:p>
    <w:tbl>
      <w:tblPr>
        <w:tblW w:w="9889" w:type="dxa"/>
        <w:tblLook w:val="04A0" w:firstRow="1" w:lastRow="0" w:firstColumn="1" w:lastColumn="0" w:noHBand="0" w:noVBand="1"/>
      </w:tblPr>
      <w:tblGrid>
        <w:gridCol w:w="9889"/>
      </w:tblGrid>
      <w:tr w:rsidR="005467ED" w:rsidTr="00C35F41">
        <w:tc>
          <w:tcPr>
            <w:tcW w:w="9889" w:type="dxa"/>
            <w:shd w:val="clear" w:color="auto" w:fill="auto"/>
          </w:tcPr>
          <w:p w:rsidR="005467ED" w:rsidRPr="00006F97" w:rsidRDefault="00EB0738" w:rsidP="009F7BF4">
            <w:pPr>
              <w:spacing w:before="120" w:after="120"/>
              <w:jc w:val="center"/>
              <w:rPr>
                <w:rFonts w:ascii="Arial" w:hAnsi="Arial" w:cs="Arial"/>
                <w:sz w:val="22"/>
                <w:szCs w:val="22"/>
              </w:rPr>
            </w:pPr>
            <w:r>
              <w:rPr>
                <w:rFonts w:ascii="Arial" w:hAnsi="Arial" w:cs="Arial"/>
                <w:noProof/>
                <w:sz w:val="22"/>
                <w:szCs w:val="22"/>
              </w:rPr>
              <w:drawing>
                <wp:inline distT="0" distB="0" distL="0" distR="0" wp14:anchorId="638F8D36" wp14:editId="15294B0E">
                  <wp:extent cx="5762625" cy="2562225"/>
                  <wp:effectExtent l="0" t="0" r="9525" b="9525"/>
                  <wp:docPr id="1" name="Picture 1" descr="01 Supply transfo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Supply transform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562225"/>
                          </a:xfrm>
                          <a:prstGeom prst="rect">
                            <a:avLst/>
                          </a:prstGeom>
                          <a:noFill/>
                          <a:ln>
                            <a:noFill/>
                          </a:ln>
                        </pic:spPr>
                      </pic:pic>
                    </a:graphicData>
                  </a:graphic>
                </wp:inline>
              </w:drawing>
            </w:r>
          </w:p>
        </w:tc>
      </w:tr>
    </w:tbl>
    <w:p w:rsidR="004805B5" w:rsidRDefault="00240A72" w:rsidP="009F7BF4">
      <w:pPr>
        <w:shd w:val="clear" w:color="auto" w:fill="FFFFFF"/>
        <w:spacing w:after="120"/>
        <w:rPr>
          <w:rFonts w:ascii="Arial" w:hAnsi="Arial" w:cs="Arial"/>
          <w:sz w:val="22"/>
          <w:szCs w:val="22"/>
        </w:rPr>
      </w:pPr>
      <w:r>
        <w:rPr>
          <w:rFonts w:ascii="Arial" w:hAnsi="Arial" w:cs="Arial"/>
          <w:sz w:val="22"/>
          <w:szCs w:val="22"/>
        </w:rPr>
        <w:t>The primary is connected in delta</w:t>
      </w:r>
      <w:r w:rsidR="004D038D">
        <w:rPr>
          <w:rFonts w:ascii="Arial" w:hAnsi="Arial" w:cs="Arial"/>
          <w:sz w:val="22"/>
          <w:szCs w:val="22"/>
        </w:rPr>
        <w:t>,</w:t>
      </w:r>
      <w:r>
        <w:rPr>
          <w:rFonts w:ascii="Arial" w:hAnsi="Arial" w:cs="Arial"/>
          <w:sz w:val="22"/>
          <w:szCs w:val="22"/>
        </w:rPr>
        <w:t xml:space="preserve"> whilst the secondary is connected in star. The star point of the secondary provides the neutral. Connecting between any two line conductors will give us 400 volts</w:t>
      </w:r>
      <w:r w:rsidR="004D038D">
        <w:rPr>
          <w:rFonts w:ascii="Arial" w:hAnsi="Arial" w:cs="Arial"/>
          <w:sz w:val="22"/>
          <w:szCs w:val="22"/>
        </w:rPr>
        <w:t>,</w:t>
      </w:r>
      <w:r>
        <w:rPr>
          <w:rFonts w:ascii="Arial" w:hAnsi="Arial" w:cs="Arial"/>
          <w:sz w:val="22"/>
          <w:szCs w:val="22"/>
        </w:rPr>
        <w:t xml:space="preserve"> whilst connecting between any line and neutral will give us 230 volts.</w:t>
      </w:r>
    </w:p>
    <w:p w:rsidR="004805B5" w:rsidRDefault="00B963E9" w:rsidP="009F7BF4">
      <w:pPr>
        <w:shd w:val="clear" w:color="auto" w:fill="FFFFFF"/>
        <w:spacing w:after="120"/>
        <w:rPr>
          <w:rFonts w:ascii="Arial" w:hAnsi="Arial" w:cs="Arial"/>
          <w:sz w:val="22"/>
          <w:szCs w:val="22"/>
        </w:rPr>
      </w:pPr>
      <w:r>
        <w:rPr>
          <w:rFonts w:ascii="Arial" w:hAnsi="Arial" w:cs="Arial"/>
          <w:sz w:val="22"/>
          <w:szCs w:val="22"/>
        </w:rPr>
        <w:t>It is a legal requirement that all electrical systems connected to the public supply system must be earthed. This is usually achieved by connecting the star point of the supply transformer to earth using an earth electrode.</w:t>
      </w:r>
    </w:p>
    <w:p w:rsidR="004805B5" w:rsidRDefault="00B963E9" w:rsidP="009F7BF4">
      <w:pPr>
        <w:shd w:val="clear" w:color="auto" w:fill="FFFFFF"/>
        <w:rPr>
          <w:rFonts w:ascii="Arial" w:hAnsi="Arial" w:cs="Arial"/>
          <w:sz w:val="22"/>
          <w:szCs w:val="22"/>
        </w:rPr>
      </w:pPr>
      <w:r>
        <w:rPr>
          <w:rFonts w:ascii="Arial" w:hAnsi="Arial" w:cs="Arial"/>
          <w:sz w:val="22"/>
          <w:szCs w:val="22"/>
        </w:rPr>
        <w:t>Electrical installations connected to the public supply system will also be earthed in some way. The method of providing this earth will determine the earthing system used.</w:t>
      </w:r>
    </w:p>
    <w:p w:rsidR="00B963E9" w:rsidRDefault="009F7BF4" w:rsidP="009F7BF4">
      <w:pPr>
        <w:shd w:val="clear" w:color="auto" w:fill="FFFFFF"/>
        <w:spacing w:after="120"/>
        <w:rPr>
          <w:rFonts w:ascii="Arial" w:hAnsi="Arial" w:cs="Arial"/>
          <w:sz w:val="22"/>
          <w:szCs w:val="22"/>
        </w:rPr>
      </w:pPr>
      <w:r>
        <w:rPr>
          <w:rFonts w:ascii="Arial" w:hAnsi="Arial" w:cs="Arial"/>
          <w:sz w:val="22"/>
          <w:szCs w:val="22"/>
        </w:rPr>
        <w:br w:type="page"/>
      </w:r>
      <w:r w:rsidR="00AA3095">
        <w:rPr>
          <w:rFonts w:ascii="Arial" w:hAnsi="Arial" w:cs="Arial"/>
          <w:sz w:val="22"/>
          <w:szCs w:val="22"/>
        </w:rPr>
        <w:lastRenderedPageBreak/>
        <w:t>Earthing systems are distinguished by a series of letters that identify th</w:t>
      </w:r>
      <w:r w:rsidR="00FF3DF3">
        <w:rPr>
          <w:rFonts w:ascii="Arial" w:hAnsi="Arial" w:cs="Arial"/>
          <w:sz w:val="22"/>
          <w:szCs w:val="22"/>
        </w:rPr>
        <w:t>e nature of earthing as follows.</w:t>
      </w:r>
    </w:p>
    <w:p w:rsidR="00681510" w:rsidRPr="00FF3DF3" w:rsidRDefault="00AA3095" w:rsidP="009F7BF4">
      <w:pPr>
        <w:pStyle w:val="ListParagraph"/>
        <w:numPr>
          <w:ilvl w:val="0"/>
          <w:numId w:val="3"/>
        </w:numPr>
        <w:shd w:val="clear" w:color="auto" w:fill="FFFFFF"/>
        <w:spacing w:after="120"/>
        <w:ind w:left="425" w:hanging="425"/>
        <w:rPr>
          <w:rFonts w:ascii="Arial" w:hAnsi="Arial" w:cs="Arial"/>
          <w:b/>
        </w:rPr>
      </w:pPr>
      <w:r w:rsidRPr="00FF3DF3">
        <w:rPr>
          <w:rFonts w:ascii="Arial" w:hAnsi="Arial" w:cs="Arial"/>
          <w:b/>
        </w:rPr>
        <w:t>First letter – relationship of the power system to earth</w:t>
      </w:r>
      <w:r w:rsidR="00BF13BD" w:rsidRPr="00FF3DF3">
        <w:rPr>
          <w:rFonts w:ascii="Arial" w:hAnsi="Arial" w:cs="Arial"/>
          <w:b/>
        </w:rPr>
        <w:t>:</w:t>
      </w:r>
    </w:p>
    <w:tbl>
      <w:tblPr>
        <w:tblW w:w="0" w:type="auto"/>
        <w:tblLook w:val="04A0" w:firstRow="1" w:lastRow="0" w:firstColumn="1" w:lastColumn="0" w:noHBand="0" w:noVBand="1"/>
      </w:tblPr>
      <w:tblGrid>
        <w:gridCol w:w="392"/>
        <w:gridCol w:w="567"/>
        <w:gridCol w:w="8327"/>
      </w:tblGrid>
      <w:tr w:rsidR="00AA3095" w:rsidTr="00006F97">
        <w:tc>
          <w:tcPr>
            <w:tcW w:w="392" w:type="dxa"/>
            <w:shd w:val="clear" w:color="auto" w:fill="auto"/>
          </w:tcPr>
          <w:p w:rsidR="00AA3095" w:rsidRPr="00006F97" w:rsidRDefault="00AA3095" w:rsidP="009F7BF4">
            <w:pPr>
              <w:spacing w:after="120"/>
              <w:rPr>
                <w:rFonts w:ascii="Arial" w:hAnsi="Arial" w:cs="Arial"/>
                <w:b/>
                <w:sz w:val="22"/>
                <w:szCs w:val="22"/>
              </w:rPr>
            </w:pPr>
            <w:r w:rsidRPr="00006F97">
              <w:rPr>
                <w:rFonts w:ascii="Arial" w:hAnsi="Arial" w:cs="Arial"/>
                <w:b/>
                <w:sz w:val="22"/>
                <w:szCs w:val="22"/>
              </w:rPr>
              <w:t>T</w:t>
            </w:r>
          </w:p>
        </w:tc>
        <w:tc>
          <w:tcPr>
            <w:tcW w:w="567" w:type="dxa"/>
            <w:shd w:val="clear" w:color="auto" w:fill="auto"/>
          </w:tcPr>
          <w:p w:rsidR="00AA3095" w:rsidRPr="00006F97" w:rsidRDefault="00AA3095" w:rsidP="009F7BF4">
            <w:pPr>
              <w:spacing w:after="120"/>
              <w:jc w:val="center"/>
              <w:rPr>
                <w:rFonts w:ascii="Arial" w:hAnsi="Arial" w:cs="Arial"/>
                <w:b/>
                <w:sz w:val="22"/>
                <w:szCs w:val="22"/>
              </w:rPr>
            </w:pPr>
            <w:r w:rsidRPr="00006F97">
              <w:rPr>
                <w:rFonts w:ascii="Arial" w:hAnsi="Arial" w:cs="Arial"/>
                <w:b/>
                <w:sz w:val="22"/>
                <w:szCs w:val="22"/>
              </w:rPr>
              <w:t>=</w:t>
            </w:r>
          </w:p>
        </w:tc>
        <w:tc>
          <w:tcPr>
            <w:tcW w:w="8327" w:type="dxa"/>
            <w:shd w:val="clear" w:color="auto" w:fill="auto"/>
          </w:tcPr>
          <w:p w:rsidR="00AA3095" w:rsidRPr="00006F97" w:rsidRDefault="00AA3095" w:rsidP="009F7BF4">
            <w:pPr>
              <w:spacing w:after="120"/>
              <w:rPr>
                <w:rFonts w:ascii="Arial" w:hAnsi="Arial" w:cs="Arial"/>
                <w:sz w:val="22"/>
                <w:szCs w:val="22"/>
              </w:rPr>
            </w:pPr>
            <w:r w:rsidRPr="00006F97">
              <w:rPr>
                <w:rFonts w:ascii="Arial" w:hAnsi="Arial" w:cs="Arial"/>
                <w:sz w:val="22"/>
                <w:szCs w:val="22"/>
              </w:rPr>
              <w:t xml:space="preserve">direct connection of one point to </w:t>
            </w:r>
            <w:r w:rsidR="004D038D" w:rsidRPr="00006F97">
              <w:rPr>
                <w:rFonts w:ascii="Arial" w:hAnsi="Arial" w:cs="Arial"/>
                <w:sz w:val="22"/>
                <w:szCs w:val="22"/>
              </w:rPr>
              <w:t>e</w:t>
            </w:r>
            <w:r w:rsidRPr="00006F97">
              <w:rPr>
                <w:rFonts w:ascii="Arial" w:hAnsi="Arial" w:cs="Arial"/>
                <w:sz w:val="22"/>
                <w:szCs w:val="22"/>
              </w:rPr>
              <w:t>arth</w:t>
            </w:r>
          </w:p>
        </w:tc>
      </w:tr>
      <w:tr w:rsidR="00AA3095" w:rsidTr="00006F97">
        <w:tc>
          <w:tcPr>
            <w:tcW w:w="392" w:type="dxa"/>
            <w:shd w:val="clear" w:color="auto" w:fill="auto"/>
          </w:tcPr>
          <w:p w:rsidR="00AA3095" w:rsidRPr="00006F97" w:rsidRDefault="00AA3095" w:rsidP="009F7BF4">
            <w:pPr>
              <w:spacing w:after="120"/>
              <w:rPr>
                <w:rFonts w:ascii="Arial" w:hAnsi="Arial" w:cs="Arial"/>
                <w:b/>
                <w:sz w:val="22"/>
                <w:szCs w:val="22"/>
              </w:rPr>
            </w:pPr>
            <w:r w:rsidRPr="00006F97">
              <w:rPr>
                <w:rFonts w:ascii="Arial" w:hAnsi="Arial" w:cs="Arial"/>
                <w:b/>
                <w:sz w:val="22"/>
                <w:szCs w:val="22"/>
              </w:rPr>
              <w:t>I</w:t>
            </w:r>
          </w:p>
        </w:tc>
        <w:tc>
          <w:tcPr>
            <w:tcW w:w="567" w:type="dxa"/>
            <w:shd w:val="clear" w:color="auto" w:fill="auto"/>
          </w:tcPr>
          <w:p w:rsidR="00AA3095" w:rsidRPr="00006F97" w:rsidRDefault="00AA3095" w:rsidP="009F7BF4">
            <w:pPr>
              <w:spacing w:after="120"/>
              <w:jc w:val="center"/>
              <w:rPr>
                <w:rFonts w:ascii="Arial" w:hAnsi="Arial" w:cs="Arial"/>
                <w:b/>
                <w:sz w:val="22"/>
                <w:szCs w:val="22"/>
              </w:rPr>
            </w:pPr>
            <w:r w:rsidRPr="00006F97">
              <w:rPr>
                <w:rFonts w:ascii="Arial" w:hAnsi="Arial" w:cs="Arial"/>
                <w:b/>
                <w:sz w:val="22"/>
                <w:szCs w:val="22"/>
              </w:rPr>
              <w:t>=</w:t>
            </w:r>
          </w:p>
        </w:tc>
        <w:tc>
          <w:tcPr>
            <w:tcW w:w="8327" w:type="dxa"/>
            <w:shd w:val="clear" w:color="auto" w:fill="auto"/>
          </w:tcPr>
          <w:p w:rsidR="00AA3095" w:rsidRPr="00006F97" w:rsidRDefault="00AA3095" w:rsidP="009F7BF4">
            <w:pPr>
              <w:spacing w:after="120"/>
              <w:rPr>
                <w:rFonts w:ascii="Arial" w:hAnsi="Arial" w:cs="Arial"/>
                <w:sz w:val="22"/>
                <w:szCs w:val="22"/>
              </w:rPr>
            </w:pPr>
            <w:proofErr w:type="gramStart"/>
            <w:r w:rsidRPr="00006F97">
              <w:rPr>
                <w:rFonts w:ascii="Arial" w:hAnsi="Arial" w:cs="Arial"/>
                <w:sz w:val="22"/>
                <w:szCs w:val="22"/>
              </w:rPr>
              <w:t>all</w:t>
            </w:r>
            <w:proofErr w:type="gramEnd"/>
            <w:r w:rsidRPr="00006F97">
              <w:rPr>
                <w:rFonts w:ascii="Arial" w:hAnsi="Arial" w:cs="Arial"/>
                <w:sz w:val="22"/>
                <w:szCs w:val="22"/>
              </w:rPr>
              <w:t xml:space="preserve"> live parts are isolated from </w:t>
            </w:r>
            <w:r w:rsidR="004D038D" w:rsidRPr="00006F97">
              <w:rPr>
                <w:rFonts w:ascii="Arial" w:hAnsi="Arial" w:cs="Arial"/>
                <w:sz w:val="22"/>
                <w:szCs w:val="22"/>
              </w:rPr>
              <w:t>e</w:t>
            </w:r>
            <w:r w:rsidRPr="00006F97">
              <w:rPr>
                <w:rFonts w:ascii="Arial" w:hAnsi="Arial" w:cs="Arial"/>
                <w:sz w:val="22"/>
                <w:szCs w:val="22"/>
              </w:rPr>
              <w:t xml:space="preserve">arth, or one point connected to </w:t>
            </w:r>
            <w:r w:rsidR="004D038D" w:rsidRPr="00006F97">
              <w:rPr>
                <w:rFonts w:ascii="Arial" w:hAnsi="Arial" w:cs="Arial"/>
                <w:sz w:val="22"/>
                <w:szCs w:val="22"/>
              </w:rPr>
              <w:t>e</w:t>
            </w:r>
            <w:r w:rsidRPr="00006F97">
              <w:rPr>
                <w:rFonts w:ascii="Arial" w:hAnsi="Arial" w:cs="Arial"/>
                <w:sz w:val="22"/>
                <w:szCs w:val="22"/>
              </w:rPr>
              <w:t>arth through a high impedance.</w:t>
            </w:r>
          </w:p>
        </w:tc>
      </w:tr>
    </w:tbl>
    <w:p w:rsidR="00AA3095" w:rsidRPr="00FF3DF3" w:rsidRDefault="00AA3095" w:rsidP="009F7BF4">
      <w:pPr>
        <w:pStyle w:val="ListParagraph"/>
        <w:numPr>
          <w:ilvl w:val="0"/>
          <w:numId w:val="3"/>
        </w:numPr>
        <w:shd w:val="clear" w:color="auto" w:fill="FFFFFF"/>
        <w:spacing w:after="120"/>
        <w:ind w:left="425" w:hanging="425"/>
        <w:rPr>
          <w:rFonts w:ascii="Arial" w:hAnsi="Arial" w:cs="Arial"/>
          <w:b/>
        </w:rPr>
      </w:pPr>
      <w:r w:rsidRPr="00FF3DF3">
        <w:rPr>
          <w:rFonts w:ascii="Arial" w:hAnsi="Arial" w:cs="Arial"/>
          <w:b/>
        </w:rPr>
        <w:t xml:space="preserve">Second letter – relationship of the </w:t>
      </w:r>
      <w:r w:rsidR="00BF13BD" w:rsidRPr="00FF3DF3">
        <w:rPr>
          <w:rFonts w:ascii="Arial" w:hAnsi="Arial" w:cs="Arial"/>
          <w:b/>
        </w:rPr>
        <w:t>exposed</w:t>
      </w:r>
      <w:r w:rsidR="00BF13BD" w:rsidRPr="00FF3DF3">
        <w:rPr>
          <w:rFonts w:ascii="Arial" w:hAnsi="Arial" w:cs="Arial"/>
          <w:b/>
        </w:rPr>
        <w:noBreakHyphen/>
        <w:t>conductive</w:t>
      </w:r>
      <w:r w:rsidR="00BF13BD" w:rsidRPr="00FF3DF3">
        <w:rPr>
          <w:rFonts w:ascii="Arial" w:hAnsi="Arial" w:cs="Arial"/>
          <w:b/>
        </w:rPr>
        <w:noBreakHyphen/>
        <w:t>parts of the installation earth:</w:t>
      </w:r>
    </w:p>
    <w:tbl>
      <w:tblPr>
        <w:tblW w:w="0" w:type="auto"/>
        <w:tblLook w:val="04A0" w:firstRow="1" w:lastRow="0" w:firstColumn="1" w:lastColumn="0" w:noHBand="0" w:noVBand="1"/>
      </w:tblPr>
      <w:tblGrid>
        <w:gridCol w:w="392"/>
        <w:gridCol w:w="567"/>
        <w:gridCol w:w="8327"/>
      </w:tblGrid>
      <w:tr w:rsidR="00AA3095" w:rsidTr="00006F97">
        <w:tc>
          <w:tcPr>
            <w:tcW w:w="392" w:type="dxa"/>
            <w:shd w:val="clear" w:color="auto" w:fill="auto"/>
          </w:tcPr>
          <w:p w:rsidR="00AA3095" w:rsidRPr="00006F97" w:rsidRDefault="00AA3095" w:rsidP="009F7BF4">
            <w:pPr>
              <w:spacing w:after="120"/>
              <w:rPr>
                <w:rFonts w:ascii="Arial" w:hAnsi="Arial" w:cs="Arial"/>
                <w:b/>
                <w:sz w:val="22"/>
                <w:szCs w:val="22"/>
              </w:rPr>
            </w:pPr>
            <w:r w:rsidRPr="00006F97">
              <w:rPr>
                <w:rFonts w:ascii="Arial" w:hAnsi="Arial" w:cs="Arial"/>
                <w:b/>
                <w:sz w:val="22"/>
                <w:szCs w:val="22"/>
              </w:rPr>
              <w:t>T</w:t>
            </w:r>
          </w:p>
        </w:tc>
        <w:tc>
          <w:tcPr>
            <w:tcW w:w="567" w:type="dxa"/>
            <w:shd w:val="clear" w:color="auto" w:fill="auto"/>
          </w:tcPr>
          <w:p w:rsidR="00AA3095" w:rsidRPr="00006F97" w:rsidRDefault="00AA3095" w:rsidP="009F7BF4">
            <w:pPr>
              <w:spacing w:after="120"/>
              <w:jc w:val="center"/>
              <w:rPr>
                <w:rFonts w:ascii="Arial" w:hAnsi="Arial" w:cs="Arial"/>
                <w:b/>
                <w:sz w:val="22"/>
                <w:szCs w:val="22"/>
              </w:rPr>
            </w:pPr>
            <w:r w:rsidRPr="00006F97">
              <w:rPr>
                <w:rFonts w:ascii="Arial" w:hAnsi="Arial" w:cs="Arial"/>
                <w:b/>
                <w:sz w:val="22"/>
                <w:szCs w:val="22"/>
              </w:rPr>
              <w:t>=</w:t>
            </w:r>
          </w:p>
        </w:tc>
        <w:tc>
          <w:tcPr>
            <w:tcW w:w="8327" w:type="dxa"/>
            <w:shd w:val="clear" w:color="auto" w:fill="auto"/>
          </w:tcPr>
          <w:p w:rsidR="00AA3095" w:rsidRPr="00006F97" w:rsidRDefault="00AA3095" w:rsidP="009F7BF4">
            <w:pPr>
              <w:spacing w:after="120"/>
              <w:rPr>
                <w:rFonts w:ascii="Arial" w:hAnsi="Arial" w:cs="Arial"/>
                <w:sz w:val="22"/>
                <w:szCs w:val="22"/>
              </w:rPr>
            </w:pPr>
            <w:r w:rsidRPr="00006F97">
              <w:rPr>
                <w:rFonts w:ascii="Arial" w:hAnsi="Arial" w:cs="Arial"/>
                <w:sz w:val="22"/>
                <w:szCs w:val="22"/>
              </w:rPr>
              <w:t xml:space="preserve">direct </w:t>
            </w:r>
            <w:r w:rsidR="00BF13BD" w:rsidRPr="00006F97">
              <w:rPr>
                <w:rFonts w:ascii="Arial" w:hAnsi="Arial" w:cs="Arial"/>
                <w:sz w:val="22"/>
                <w:szCs w:val="22"/>
              </w:rPr>
              <w:t xml:space="preserve">electrical </w:t>
            </w:r>
            <w:r w:rsidRPr="00006F97">
              <w:rPr>
                <w:rFonts w:ascii="Arial" w:hAnsi="Arial" w:cs="Arial"/>
                <w:sz w:val="22"/>
                <w:szCs w:val="22"/>
              </w:rPr>
              <w:t>connection</w:t>
            </w:r>
            <w:r w:rsidR="00BF13BD" w:rsidRPr="00006F97">
              <w:rPr>
                <w:rFonts w:ascii="Arial" w:hAnsi="Arial" w:cs="Arial"/>
                <w:sz w:val="22"/>
                <w:szCs w:val="22"/>
              </w:rPr>
              <w:t xml:space="preserve"> of exposed</w:t>
            </w:r>
            <w:r w:rsidR="00BF13BD" w:rsidRPr="00006F97">
              <w:rPr>
                <w:rFonts w:ascii="Arial" w:hAnsi="Arial" w:cs="Arial"/>
                <w:sz w:val="22"/>
                <w:szCs w:val="22"/>
              </w:rPr>
              <w:noBreakHyphen/>
              <w:t>conductive</w:t>
            </w:r>
            <w:r w:rsidR="00BF13BD" w:rsidRPr="00006F97">
              <w:rPr>
                <w:rFonts w:ascii="Arial" w:hAnsi="Arial" w:cs="Arial"/>
                <w:sz w:val="22"/>
                <w:szCs w:val="22"/>
              </w:rPr>
              <w:noBreakHyphen/>
              <w:t xml:space="preserve">parts to </w:t>
            </w:r>
            <w:r w:rsidR="004D038D" w:rsidRPr="00006F97">
              <w:rPr>
                <w:rFonts w:ascii="Arial" w:hAnsi="Arial" w:cs="Arial"/>
                <w:sz w:val="22"/>
                <w:szCs w:val="22"/>
              </w:rPr>
              <w:t>e</w:t>
            </w:r>
            <w:r w:rsidR="00BF13BD" w:rsidRPr="00006F97">
              <w:rPr>
                <w:rFonts w:ascii="Arial" w:hAnsi="Arial" w:cs="Arial"/>
                <w:sz w:val="22"/>
                <w:szCs w:val="22"/>
              </w:rPr>
              <w:t>arth, independently of the earthing of any point of the power system</w:t>
            </w:r>
          </w:p>
        </w:tc>
      </w:tr>
      <w:tr w:rsidR="00AA3095" w:rsidTr="00006F97">
        <w:tc>
          <w:tcPr>
            <w:tcW w:w="392" w:type="dxa"/>
            <w:shd w:val="clear" w:color="auto" w:fill="auto"/>
          </w:tcPr>
          <w:p w:rsidR="00AA3095" w:rsidRPr="00006F97" w:rsidRDefault="00BF13BD" w:rsidP="009F7BF4">
            <w:pPr>
              <w:spacing w:after="120"/>
              <w:rPr>
                <w:rFonts w:ascii="Arial" w:hAnsi="Arial" w:cs="Arial"/>
                <w:b/>
                <w:sz w:val="22"/>
                <w:szCs w:val="22"/>
              </w:rPr>
            </w:pPr>
            <w:r w:rsidRPr="00006F97">
              <w:rPr>
                <w:rFonts w:ascii="Arial" w:hAnsi="Arial" w:cs="Arial"/>
                <w:b/>
                <w:sz w:val="22"/>
                <w:szCs w:val="22"/>
              </w:rPr>
              <w:t>N</w:t>
            </w:r>
          </w:p>
        </w:tc>
        <w:tc>
          <w:tcPr>
            <w:tcW w:w="567" w:type="dxa"/>
            <w:shd w:val="clear" w:color="auto" w:fill="auto"/>
          </w:tcPr>
          <w:p w:rsidR="00AA3095" w:rsidRPr="00006F97" w:rsidRDefault="00AA3095" w:rsidP="009F7BF4">
            <w:pPr>
              <w:spacing w:after="120"/>
              <w:jc w:val="center"/>
              <w:rPr>
                <w:rFonts w:ascii="Arial" w:hAnsi="Arial" w:cs="Arial"/>
                <w:b/>
                <w:sz w:val="22"/>
                <w:szCs w:val="22"/>
              </w:rPr>
            </w:pPr>
            <w:r w:rsidRPr="00006F97">
              <w:rPr>
                <w:rFonts w:ascii="Arial" w:hAnsi="Arial" w:cs="Arial"/>
                <w:b/>
                <w:sz w:val="22"/>
                <w:szCs w:val="22"/>
              </w:rPr>
              <w:t>=</w:t>
            </w:r>
          </w:p>
        </w:tc>
        <w:tc>
          <w:tcPr>
            <w:tcW w:w="8327" w:type="dxa"/>
            <w:shd w:val="clear" w:color="auto" w:fill="auto"/>
          </w:tcPr>
          <w:p w:rsidR="00AA3095" w:rsidRPr="00006F97" w:rsidRDefault="00BF13BD" w:rsidP="009F7BF4">
            <w:pPr>
              <w:spacing w:after="120"/>
              <w:rPr>
                <w:rFonts w:ascii="Arial" w:hAnsi="Arial" w:cs="Arial"/>
                <w:sz w:val="22"/>
                <w:szCs w:val="22"/>
              </w:rPr>
            </w:pPr>
            <w:proofErr w:type="gramStart"/>
            <w:r w:rsidRPr="00006F97">
              <w:rPr>
                <w:rFonts w:ascii="Arial" w:hAnsi="Arial" w:cs="Arial"/>
                <w:sz w:val="22"/>
                <w:szCs w:val="22"/>
              </w:rPr>
              <w:t>direct</w:t>
            </w:r>
            <w:proofErr w:type="gramEnd"/>
            <w:r w:rsidRPr="00006F97">
              <w:rPr>
                <w:rFonts w:ascii="Arial" w:hAnsi="Arial" w:cs="Arial"/>
                <w:sz w:val="22"/>
                <w:szCs w:val="22"/>
              </w:rPr>
              <w:t xml:space="preserve"> electrical connection of the exposed</w:t>
            </w:r>
            <w:r w:rsidRPr="00006F97">
              <w:rPr>
                <w:rFonts w:ascii="Arial" w:hAnsi="Arial" w:cs="Arial"/>
                <w:sz w:val="22"/>
                <w:szCs w:val="22"/>
              </w:rPr>
              <w:noBreakHyphen/>
              <w:t>conductive</w:t>
            </w:r>
            <w:r w:rsidRPr="00006F97">
              <w:rPr>
                <w:rFonts w:ascii="Arial" w:hAnsi="Arial" w:cs="Arial"/>
                <w:sz w:val="22"/>
                <w:szCs w:val="22"/>
              </w:rPr>
              <w:noBreakHyphen/>
              <w:t>parts to the earthed point of the power system (in a.c. systems, the earthed point of the power system is normally the neutral point or, if a neutral point is not available, a line conductor).</w:t>
            </w:r>
          </w:p>
        </w:tc>
      </w:tr>
    </w:tbl>
    <w:p w:rsidR="001B0C71" w:rsidRPr="00FF3DF3" w:rsidRDefault="001B0C71" w:rsidP="009F7BF4">
      <w:pPr>
        <w:pStyle w:val="ListParagraph"/>
        <w:numPr>
          <w:ilvl w:val="0"/>
          <w:numId w:val="3"/>
        </w:numPr>
        <w:shd w:val="clear" w:color="auto" w:fill="FFFFFF"/>
        <w:spacing w:after="120"/>
        <w:ind w:left="425" w:hanging="425"/>
        <w:rPr>
          <w:rFonts w:ascii="Arial" w:hAnsi="Arial" w:cs="Arial"/>
          <w:b/>
        </w:rPr>
      </w:pPr>
      <w:r w:rsidRPr="00FF3DF3">
        <w:rPr>
          <w:rFonts w:ascii="Arial" w:hAnsi="Arial" w:cs="Arial"/>
          <w:b/>
        </w:rPr>
        <w:t xml:space="preserve">Subsequent letter(s) (if any) – </w:t>
      </w:r>
      <w:r w:rsidR="004D038D">
        <w:rPr>
          <w:rFonts w:ascii="Arial" w:hAnsi="Arial" w:cs="Arial"/>
          <w:b/>
        </w:rPr>
        <w:t>a</w:t>
      </w:r>
      <w:r w:rsidRPr="00FF3DF3">
        <w:rPr>
          <w:rFonts w:ascii="Arial" w:hAnsi="Arial" w:cs="Arial"/>
          <w:b/>
        </w:rPr>
        <w:t>rrangement of neutral and protective conductors:</w:t>
      </w:r>
    </w:p>
    <w:tbl>
      <w:tblPr>
        <w:tblW w:w="0" w:type="auto"/>
        <w:tblLook w:val="04A0" w:firstRow="1" w:lastRow="0" w:firstColumn="1" w:lastColumn="0" w:noHBand="0" w:noVBand="1"/>
      </w:tblPr>
      <w:tblGrid>
        <w:gridCol w:w="392"/>
        <w:gridCol w:w="709"/>
        <w:gridCol w:w="8185"/>
      </w:tblGrid>
      <w:tr w:rsidR="001B0C71" w:rsidTr="00006F97">
        <w:tc>
          <w:tcPr>
            <w:tcW w:w="392" w:type="dxa"/>
            <w:shd w:val="clear" w:color="auto" w:fill="auto"/>
          </w:tcPr>
          <w:p w:rsidR="001B0C71" w:rsidRPr="00006F97" w:rsidRDefault="001B0C71" w:rsidP="009F7BF4">
            <w:pPr>
              <w:spacing w:after="120"/>
              <w:rPr>
                <w:rFonts w:ascii="Arial" w:hAnsi="Arial" w:cs="Arial"/>
                <w:b/>
                <w:sz w:val="22"/>
                <w:szCs w:val="22"/>
              </w:rPr>
            </w:pPr>
            <w:r w:rsidRPr="00006F97">
              <w:rPr>
                <w:rFonts w:ascii="Arial" w:hAnsi="Arial" w:cs="Arial"/>
                <w:b/>
                <w:sz w:val="22"/>
                <w:szCs w:val="22"/>
              </w:rPr>
              <w:t>S</w:t>
            </w:r>
          </w:p>
        </w:tc>
        <w:tc>
          <w:tcPr>
            <w:tcW w:w="709" w:type="dxa"/>
            <w:shd w:val="clear" w:color="auto" w:fill="auto"/>
          </w:tcPr>
          <w:p w:rsidR="001B0C71" w:rsidRPr="00006F97" w:rsidRDefault="001B0C71" w:rsidP="009F7BF4">
            <w:pPr>
              <w:spacing w:after="120"/>
              <w:jc w:val="center"/>
              <w:rPr>
                <w:rFonts w:ascii="Arial" w:hAnsi="Arial" w:cs="Arial"/>
                <w:b/>
                <w:sz w:val="22"/>
                <w:szCs w:val="22"/>
              </w:rPr>
            </w:pPr>
            <w:r w:rsidRPr="00006F97">
              <w:rPr>
                <w:rFonts w:ascii="Arial" w:hAnsi="Arial" w:cs="Arial"/>
                <w:b/>
                <w:sz w:val="22"/>
                <w:szCs w:val="22"/>
              </w:rPr>
              <w:t>=</w:t>
            </w:r>
          </w:p>
        </w:tc>
        <w:tc>
          <w:tcPr>
            <w:tcW w:w="8185" w:type="dxa"/>
            <w:shd w:val="clear" w:color="auto" w:fill="auto"/>
          </w:tcPr>
          <w:p w:rsidR="001B0C71" w:rsidRPr="00006F97" w:rsidRDefault="001B0C71" w:rsidP="009F7BF4">
            <w:pPr>
              <w:spacing w:after="120"/>
              <w:rPr>
                <w:rFonts w:ascii="Arial" w:hAnsi="Arial" w:cs="Arial"/>
                <w:sz w:val="22"/>
                <w:szCs w:val="22"/>
              </w:rPr>
            </w:pPr>
            <w:r w:rsidRPr="00006F97">
              <w:rPr>
                <w:rFonts w:ascii="Arial" w:hAnsi="Arial" w:cs="Arial"/>
                <w:sz w:val="22"/>
                <w:szCs w:val="22"/>
              </w:rPr>
              <w:t>protective function provided by a conductor separate from the neutral conductor or from the earthed line (or, in a.c. systems, earthed phase) conductor</w:t>
            </w:r>
          </w:p>
        </w:tc>
      </w:tr>
      <w:tr w:rsidR="001B0C71" w:rsidTr="00006F97">
        <w:tc>
          <w:tcPr>
            <w:tcW w:w="392" w:type="dxa"/>
            <w:shd w:val="clear" w:color="auto" w:fill="auto"/>
          </w:tcPr>
          <w:p w:rsidR="001B0C71" w:rsidRPr="00006F97" w:rsidRDefault="001B0C71" w:rsidP="009F7BF4">
            <w:pPr>
              <w:spacing w:after="120"/>
              <w:rPr>
                <w:rFonts w:ascii="Arial" w:hAnsi="Arial" w:cs="Arial"/>
                <w:b/>
                <w:sz w:val="22"/>
                <w:szCs w:val="22"/>
              </w:rPr>
            </w:pPr>
            <w:r w:rsidRPr="00006F97">
              <w:rPr>
                <w:rFonts w:ascii="Arial" w:hAnsi="Arial" w:cs="Arial"/>
                <w:b/>
                <w:sz w:val="22"/>
                <w:szCs w:val="22"/>
              </w:rPr>
              <w:t>C</w:t>
            </w:r>
          </w:p>
        </w:tc>
        <w:tc>
          <w:tcPr>
            <w:tcW w:w="709" w:type="dxa"/>
            <w:shd w:val="clear" w:color="auto" w:fill="auto"/>
          </w:tcPr>
          <w:p w:rsidR="001B0C71" w:rsidRPr="00006F97" w:rsidRDefault="001B0C71" w:rsidP="009F7BF4">
            <w:pPr>
              <w:spacing w:after="120"/>
              <w:jc w:val="center"/>
              <w:rPr>
                <w:rFonts w:ascii="Arial" w:hAnsi="Arial" w:cs="Arial"/>
                <w:b/>
                <w:sz w:val="22"/>
                <w:szCs w:val="22"/>
              </w:rPr>
            </w:pPr>
            <w:r w:rsidRPr="00006F97">
              <w:rPr>
                <w:rFonts w:ascii="Arial" w:hAnsi="Arial" w:cs="Arial"/>
                <w:b/>
                <w:sz w:val="22"/>
                <w:szCs w:val="22"/>
              </w:rPr>
              <w:t>=</w:t>
            </w:r>
          </w:p>
        </w:tc>
        <w:tc>
          <w:tcPr>
            <w:tcW w:w="8185" w:type="dxa"/>
            <w:shd w:val="clear" w:color="auto" w:fill="auto"/>
          </w:tcPr>
          <w:p w:rsidR="001B0C71" w:rsidRPr="00006F97" w:rsidRDefault="001B0C71" w:rsidP="009F7BF4">
            <w:pPr>
              <w:spacing w:after="120"/>
              <w:rPr>
                <w:rFonts w:ascii="Arial" w:hAnsi="Arial" w:cs="Arial"/>
                <w:sz w:val="22"/>
                <w:szCs w:val="22"/>
              </w:rPr>
            </w:pPr>
            <w:proofErr w:type="gramStart"/>
            <w:r w:rsidRPr="00006F97">
              <w:rPr>
                <w:rFonts w:ascii="Arial" w:hAnsi="Arial" w:cs="Arial"/>
                <w:sz w:val="22"/>
                <w:szCs w:val="22"/>
              </w:rPr>
              <w:t>neutral</w:t>
            </w:r>
            <w:proofErr w:type="gramEnd"/>
            <w:r w:rsidRPr="00006F97">
              <w:rPr>
                <w:rFonts w:ascii="Arial" w:hAnsi="Arial" w:cs="Arial"/>
                <w:sz w:val="22"/>
                <w:szCs w:val="22"/>
              </w:rPr>
              <w:t xml:space="preserve"> and protective functions combined in a single</w:t>
            </w:r>
            <w:r w:rsidR="00DF3F2F" w:rsidRPr="00006F97">
              <w:rPr>
                <w:rFonts w:ascii="Arial" w:hAnsi="Arial" w:cs="Arial"/>
                <w:sz w:val="22"/>
                <w:szCs w:val="22"/>
              </w:rPr>
              <w:t xml:space="preserve"> conductor (PEN conductor).</w:t>
            </w:r>
          </w:p>
        </w:tc>
      </w:tr>
    </w:tbl>
    <w:p w:rsidR="00681510" w:rsidRPr="00AD143A" w:rsidRDefault="00CA7733" w:rsidP="00D74E5B">
      <w:pPr>
        <w:spacing w:after="120"/>
        <w:rPr>
          <w:rFonts w:ascii="Arial" w:hAnsi="Arial" w:cs="Arial"/>
          <w:b/>
          <w:sz w:val="22"/>
          <w:szCs w:val="22"/>
        </w:rPr>
      </w:pPr>
      <w:r>
        <w:rPr>
          <w:rFonts w:ascii="Arial" w:hAnsi="Arial" w:cs="Arial"/>
          <w:b/>
          <w:sz w:val="22"/>
          <w:szCs w:val="22"/>
        </w:rPr>
        <w:br w:type="page"/>
      </w:r>
      <w:r w:rsidR="00AD143A" w:rsidRPr="00AD143A">
        <w:rPr>
          <w:rFonts w:ascii="Arial" w:hAnsi="Arial" w:cs="Arial"/>
          <w:b/>
          <w:sz w:val="22"/>
          <w:szCs w:val="22"/>
        </w:rPr>
        <w:lastRenderedPageBreak/>
        <w:t>TN</w:t>
      </w:r>
      <w:r w:rsidR="00AD143A" w:rsidRPr="00AD143A">
        <w:rPr>
          <w:rFonts w:ascii="Arial" w:hAnsi="Arial" w:cs="Arial"/>
          <w:b/>
          <w:sz w:val="22"/>
          <w:szCs w:val="22"/>
        </w:rPr>
        <w:noBreakHyphen/>
        <w:t>S system</w:t>
      </w:r>
    </w:p>
    <w:p w:rsidR="00AD143A" w:rsidRDefault="00AD143A" w:rsidP="009F7BF4">
      <w:pPr>
        <w:spacing w:after="120"/>
        <w:rPr>
          <w:rFonts w:ascii="Arial" w:eastAsia="SimSun" w:hAnsi="Arial" w:cs="Arial"/>
          <w:sz w:val="22"/>
          <w:szCs w:val="22"/>
        </w:rPr>
      </w:pPr>
      <w:r>
        <w:rPr>
          <w:rFonts w:ascii="Arial" w:hAnsi="Arial" w:cs="Arial"/>
          <w:sz w:val="22"/>
          <w:szCs w:val="22"/>
        </w:rPr>
        <w:t>N</w:t>
      </w:r>
      <w:r w:rsidRPr="00AD143A">
        <w:rPr>
          <w:rFonts w:ascii="Arial" w:hAnsi="Arial" w:cs="Arial"/>
          <w:sz w:val="22"/>
          <w:szCs w:val="22"/>
        </w:rPr>
        <w:t xml:space="preserve">eutral and protective conductors are separate throughout the system. The protective earth conductor (PE) is </w:t>
      </w:r>
      <w:r>
        <w:rPr>
          <w:rFonts w:ascii="Arial" w:hAnsi="Arial" w:cs="Arial"/>
          <w:sz w:val="22"/>
          <w:szCs w:val="22"/>
        </w:rPr>
        <w:t xml:space="preserve">generally </w:t>
      </w:r>
      <w:r w:rsidRPr="00AD143A">
        <w:rPr>
          <w:rFonts w:ascii="Arial" w:hAnsi="Arial" w:cs="Arial"/>
          <w:sz w:val="22"/>
          <w:szCs w:val="22"/>
        </w:rPr>
        <w:t>the metal sheath and armour of the underground cable</w:t>
      </w:r>
      <w:r w:rsidRPr="00AD143A">
        <w:rPr>
          <w:rFonts w:ascii="Arial" w:eastAsia="SimSun" w:hAnsi="Arial" w:cs="Arial"/>
          <w:sz w:val="22"/>
          <w:szCs w:val="22"/>
        </w:rPr>
        <w:t xml:space="preserve"> </w:t>
      </w:r>
      <w:r w:rsidR="008762D3">
        <w:rPr>
          <w:rFonts w:ascii="Arial" w:eastAsia="SimSun" w:hAnsi="Arial" w:cs="Arial"/>
          <w:sz w:val="22"/>
          <w:szCs w:val="22"/>
        </w:rPr>
        <w:t>which</w:t>
      </w:r>
      <w:r w:rsidRPr="00AD143A">
        <w:rPr>
          <w:rFonts w:ascii="Arial" w:eastAsia="SimSun" w:hAnsi="Arial" w:cs="Arial"/>
          <w:sz w:val="22"/>
          <w:szCs w:val="22"/>
        </w:rPr>
        <w:t xml:space="preserve"> this is connected to the consumer’s main earthing terminal. All exposed </w:t>
      </w:r>
      <w:r>
        <w:rPr>
          <w:rFonts w:ascii="Arial" w:eastAsia="SimSun" w:hAnsi="Arial" w:cs="Arial"/>
          <w:sz w:val="22"/>
          <w:szCs w:val="22"/>
        </w:rPr>
        <w:t xml:space="preserve">and extraneous </w:t>
      </w:r>
      <w:r w:rsidRPr="00AD143A">
        <w:rPr>
          <w:rFonts w:ascii="Arial" w:eastAsia="SimSun" w:hAnsi="Arial" w:cs="Arial"/>
          <w:sz w:val="22"/>
          <w:szCs w:val="22"/>
        </w:rPr>
        <w:t>conductive parts of the installation,</w:t>
      </w:r>
      <w:r>
        <w:rPr>
          <w:rFonts w:ascii="Arial" w:eastAsia="SimSun" w:hAnsi="Arial" w:cs="Arial"/>
          <w:sz w:val="22"/>
          <w:szCs w:val="22"/>
        </w:rPr>
        <w:t xml:space="preserve"> including</w:t>
      </w:r>
      <w:r w:rsidRPr="00AD143A">
        <w:rPr>
          <w:rFonts w:ascii="Arial" w:eastAsia="SimSun" w:hAnsi="Arial" w:cs="Arial"/>
          <w:sz w:val="22"/>
          <w:szCs w:val="22"/>
        </w:rPr>
        <w:t xml:space="preserve"> gas pipes, water pipes and any lightning protective system are connected to the protective conductor via the main earthin</w:t>
      </w:r>
      <w:r>
        <w:rPr>
          <w:rFonts w:ascii="Arial" w:eastAsia="SimSun" w:hAnsi="Arial" w:cs="Arial"/>
          <w:sz w:val="22"/>
          <w:szCs w:val="22"/>
        </w:rPr>
        <w:t xml:space="preserve">g terminal of the installation. </w:t>
      </w:r>
      <w:r w:rsidRPr="00AD143A">
        <w:rPr>
          <w:rFonts w:ascii="Arial" w:eastAsia="SimSun" w:hAnsi="Arial" w:cs="Arial"/>
          <w:sz w:val="22"/>
          <w:szCs w:val="22"/>
        </w:rPr>
        <w:t>The arrangement is shown in the diagram below:</w:t>
      </w:r>
    </w:p>
    <w:tbl>
      <w:tblPr>
        <w:tblW w:w="9889" w:type="dxa"/>
        <w:tblLook w:val="04A0" w:firstRow="1" w:lastRow="0" w:firstColumn="1" w:lastColumn="0" w:noHBand="0" w:noVBand="1"/>
      </w:tblPr>
      <w:tblGrid>
        <w:gridCol w:w="9889"/>
      </w:tblGrid>
      <w:tr w:rsidR="00247F9E" w:rsidTr="00C35F41">
        <w:tc>
          <w:tcPr>
            <w:tcW w:w="9889" w:type="dxa"/>
            <w:shd w:val="clear" w:color="auto" w:fill="auto"/>
          </w:tcPr>
          <w:p w:rsidR="00247F9E" w:rsidRPr="00006F97" w:rsidRDefault="00EB0738" w:rsidP="00D74E5B">
            <w:pPr>
              <w:spacing w:before="120" w:after="120"/>
              <w:jc w:val="center"/>
              <w:rPr>
                <w:rFonts w:ascii="Arial" w:hAnsi="Arial" w:cs="Arial"/>
                <w:sz w:val="22"/>
                <w:szCs w:val="22"/>
              </w:rPr>
            </w:pPr>
            <w:bookmarkStart w:id="0" w:name="_GoBack"/>
            <w:r>
              <w:rPr>
                <w:noProof/>
              </w:rPr>
              <w:drawing>
                <wp:inline distT="0" distB="0" distL="0" distR="0" wp14:anchorId="77C8FB3D" wp14:editId="745B3B3C">
                  <wp:extent cx="5762625" cy="3152775"/>
                  <wp:effectExtent l="0" t="0" r="9525" b="9525"/>
                  <wp:docPr id="2" name="Picture 2" descr="T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152775"/>
                          </a:xfrm>
                          <a:prstGeom prst="rect">
                            <a:avLst/>
                          </a:prstGeom>
                          <a:noFill/>
                          <a:ln>
                            <a:noFill/>
                          </a:ln>
                        </pic:spPr>
                      </pic:pic>
                    </a:graphicData>
                  </a:graphic>
                </wp:inline>
              </w:drawing>
            </w:r>
          </w:p>
        </w:tc>
      </w:tr>
    </w:tbl>
    <w:bookmarkEnd w:id="0"/>
    <w:p w:rsidR="00247F9E" w:rsidRPr="00247F9E" w:rsidRDefault="00247F9E" w:rsidP="009F7BF4">
      <w:pPr>
        <w:spacing w:after="120"/>
        <w:rPr>
          <w:rFonts w:ascii="Arial" w:eastAsia="SimSun" w:hAnsi="Arial" w:cs="Arial"/>
          <w:sz w:val="22"/>
          <w:szCs w:val="22"/>
        </w:rPr>
      </w:pPr>
      <w:r w:rsidRPr="00247F9E">
        <w:rPr>
          <w:rFonts w:ascii="Arial" w:eastAsia="SimSun" w:hAnsi="Arial" w:cs="Arial"/>
          <w:sz w:val="22"/>
          <w:szCs w:val="22"/>
        </w:rPr>
        <w:t>The layout of a typical TN</w:t>
      </w:r>
      <w:r w:rsidRPr="00247F9E">
        <w:rPr>
          <w:rFonts w:ascii="Arial" w:eastAsia="SimSun" w:hAnsi="Arial" w:cs="Arial"/>
          <w:sz w:val="22"/>
          <w:szCs w:val="22"/>
        </w:rPr>
        <w:noBreakHyphen/>
        <w:t>S domestic service position is shown in the following diagram:</w:t>
      </w:r>
    </w:p>
    <w:tbl>
      <w:tblPr>
        <w:tblW w:w="9889" w:type="dxa"/>
        <w:tblLook w:val="04A0" w:firstRow="1" w:lastRow="0" w:firstColumn="1" w:lastColumn="0" w:noHBand="0" w:noVBand="1"/>
      </w:tblPr>
      <w:tblGrid>
        <w:gridCol w:w="9889"/>
      </w:tblGrid>
      <w:tr w:rsidR="00247F9E" w:rsidTr="00C35F41">
        <w:tc>
          <w:tcPr>
            <w:tcW w:w="9889" w:type="dxa"/>
            <w:shd w:val="clear" w:color="auto" w:fill="auto"/>
          </w:tcPr>
          <w:p w:rsidR="00247F9E" w:rsidRPr="00006F97" w:rsidRDefault="00EB0738" w:rsidP="00D74E5B">
            <w:pPr>
              <w:spacing w:before="120" w:after="120"/>
              <w:jc w:val="center"/>
              <w:rPr>
                <w:rFonts w:ascii="Arial" w:hAnsi="Arial" w:cs="Arial"/>
                <w:sz w:val="22"/>
                <w:szCs w:val="22"/>
              </w:rPr>
            </w:pPr>
            <w:r>
              <w:rPr>
                <w:rFonts w:ascii="Arial" w:hAnsi="Arial" w:cs="Arial"/>
                <w:noProof/>
                <w:sz w:val="22"/>
                <w:szCs w:val="22"/>
              </w:rPr>
              <w:drawing>
                <wp:inline distT="0" distB="0" distL="0" distR="0" wp14:anchorId="27C89E62" wp14:editId="5670CFD2">
                  <wp:extent cx="5448300" cy="3200400"/>
                  <wp:effectExtent l="0" t="0" r="0" b="0"/>
                  <wp:docPr id="3" name="Picture 7" descr="03 TN-S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3 TN-S syste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3200400"/>
                          </a:xfrm>
                          <a:prstGeom prst="rect">
                            <a:avLst/>
                          </a:prstGeom>
                          <a:noFill/>
                          <a:ln>
                            <a:noFill/>
                          </a:ln>
                        </pic:spPr>
                      </pic:pic>
                    </a:graphicData>
                  </a:graphic>
                </wp:inline>
              </w:drawing>
            </w:r>
          </w:p>
        </w:tc>
      </w:tr>
    </w:tbl>
    <w:p w:rsidR="009C38EA" w:rsidRPr="00AD143A" w:rsidRDefault="00CA7733" w:rsidP="00D74E5B">
      <w:pPr>
        <w:spacing w:after="120"/>
        <w:rPr>
          <w:rFonts w:ascii="Arial" w:hAnsi="Arial" w:cs="Arial"/>
          <w:b/>
          <w:sz w:val="22"/>
          <w:szCs w:val="22"/>
        </w:rPr>
      </w:pPr>
      <w:r>
        <w:rPr>
          <w:rFonts w:ascii="Arial" w:hAnsi="Arial" w:cs="Arial"/>
          <w:sz w:val="16"/>
          <w:szCs w:val="16"/>
        </w:rPr>
        <w:br w:type="page"/>
      </w:r>
      <w:r w:rsidR="009C38EA" w:rsidRPr="00AD143A">
        <w:rPr>
          <w:rFonts w:ascii="Arial" w:hAnsi="Arial" w:cs="Arial"/>
          <w:b/>
          <w:sz w:val="22"/>
          <w:szCs w:val="22"/>
        </w:rPr>
        <w:lastRenderedPageBreak/>
        <w:t>TN</w:t>
      </w:r>
      <w:r w:rsidR="009C38EA" w:rsidRPr="00AD143A">
        <w:rPr>
          <w:rFonts w:ascii="Arial" w:hAnsi="Arial" w:cs="Arial"/>
          <w:b/>
          <w:sz w:val="22"/>
          <w:szCs w:val="22"/>
        </w:rPr>
        <w:noBreakHyphen/>
      </w:r>
      <w:r w:rsidR="009C38EA">
        <w:rPr>
          <w:rFonts w:ascii="Arial" w:hAnsi="Arial" w:cs="Arial"/>
          <w:b/>
          <w:sz w:val="22"/>
          <w:szCs w:val="22"/>
        </w:rPr>
        <w:t>C</w:t>
      </w:r>
      <w:r w:rsidR="009C38EA">
        <w:rPr>
          <w:rFonts w:ascii="Arial" w:hAnsi="Arial" w:cs="Arial"/>
          <w:b/>
          <w:sz w:val="22"/>
          <w:szCs w:val="22"/>
        </w:rPr>
        <w:noBreakHyphen/>
      </w:r>
      <w:r w:rsidR="009C38EA" w:rsidRPr="00AD143A">
        <w:rPr>
          <w:rFonts w:ascii="Arial" w:hAnsi="Arial" w:cs="Arial"/>
          <w:b/>
          <w:sz w:val="22"/>
          <w:szCs w:val="22"/>
        </w:rPr>
        <w:t>S system</w:t>
      </w:r>
    </w:p>
    <w:p w:rsidR="009C38EA" w:rsidRPr="009C38EA" w:rsidRDefault="009C38EA" w:rsidP="009F7BF4">
      <w:pPr>
        <w:shd w:val="clear" w:color="auto" w:fill="FFFFFF"/>
        <w:spacing w:after="120"/>
        <w:rPr>
          <w:rFonts w:ascii="Arial" w:eastAsia="SimSun" w:hAnsi="Arial" w:cs="Arial"/>
          <w:sz w:val="22"/>
          <w:szCs w:val="22"/>
        </w:rPr>
      </w:pPr>
      <w:r w:rsidRPr="009C38EA">
        <w:rPr>
          <w:rFonts w:ascii="Arial" w:eastAsia="SimSun" w:hAnsi="Arial" w:cs="Arial"/>
          <w:sz w:val="22"/>
          <w:szCs w:val="22"/>
        </w:rPr>
        <w:t xml:space="preserve">The supply cable uses a combined protective earth and neutral conductor (PEN conductor). At the supply intake point a consumer’s main earthing terminal is formed by connecting the earthing terminal to the neutral conductor. </w:t>
      </w:r>
      <w:r w:rsidR="00F162F9" w:rsidRPr="00AD143A">
        <w:rPr>
          <w:rFonts w:ascii="Arial" w:eastAsia="SimSun" w:hAnsi="Arial" w:cs="Arial"/>
          <w:sz w:val="22"/>
          <w:szCs w:val="22"/>
        </w:rPr>
        <w:t xml:space="preserve">All exposed </w:t>
      </w:r>
      <w:r w:rsidR="00F162F9">
        <w:rPr>
          <w:rFonts w:ascii="Arial" w:eastAsia="SimSun" w:hAnsi="Arial" w:cs="Arial"/>
          <w:sz w:val="22"/>
          <w:szCs w:val="22"/>
        </w:rPr>
        <w:t xml:space="preserve">and extraneous </w:t>
      </w:r>
      <w:r w:rsidR="00F162F9" w:rsidRPr="00AD143A">
        <w:rPr>
          <w:rFonts w:ascii="Arial" w:eastAsia="SimSun" w:hAnsi="Arial" w:cs="Arial"/>
          <w:sz w:val="22"/>
          <w:szCs w:val="22"/>
        </w:rPr>
        <w:t>conductive parts of the installation,</w:t>
      </w:r>
      <w:r w:rsidR="00F162F9">
        <w:rPr>
          <w:rFonts w:ascii="Arial" w:eastAsia="SimSun" w:hAnsi="Arial" w:cs="Arial"/>
          <w:sz w:val="22"/>
          <w:szCs w:val="22"/>
        </w:rPr>
        <w:t xml:space="preserve"> including</w:t>
      </w:r>
      <w:r w:rsidR="00F162F9" w:rsidRPr="00AD143A">
        <w:rPr>
          <w:rFonts w:ascii="Arial" w:eastAsia="SimSun" w:hAnsi="Arial" w:cs="Arial"/>
          <w:sz w:val="22"/>
          <w:szCs w:val="22"/>
        </w:rPr>
        <w:t xml:space="preserve"> gas pipes, water pipes and any lightning protective system</w:t>
      </w:r>
      <w:r w:rsidR="008762D3">
        <w:rPr>
          <w:rFonts w:ascii="Arial" w:eastAsia="SimSun" w:hAnsi="Arial" w:cs="Arial"/>
          <w:sz w:val="22"/>
          <w:szCs w:val="22"/>
        </w:rPr>
        <w:t>,</w:t>
      </w:r>
      <w:r w:rsidR="00F162F9" w:rsidRPr="00AD143A">
        <w:rPr>
          <w:rFonts w:ascii="Arial" w:eastAsia="SimSun" w:hAnsi="Arial" w:cs="Arial"/>
          <w:sz w:val="22"/>
          <w:szCs w:val="22"/>
        </w:rPr>
        <w:t xml:space="preserve"> are connected to the </w:t>
      </w:r>
      <w:r w:rsidRPr="009C38EA">
        <w:rPr>
          <w:rFonts w:ascii="Arial" w:eastAsia="SimSun" w:hAnsi="Arial" w:cs="Arial"/>
          <w:sz w:val="22"/>
          <w:szCs w:val="22"/>
        </w:rPr>
        <w:t xml:space="preserve">main earthing terminal. </w:t>
      </w:r>
      <w:proofErr w:type="gramStart"/>
      <w:r w:rsidR="00CA7733">
        <w:rPr>
          <w:rFonts w:ascii="Arial" w:eastAsia="SimSun" w:hAnsi="Arial" w:cs="Arial"/>
          <w:sz w:val="22"/>
          <w:szCs w:val="22"/>
        </w:rPr>
        <w:t>L</w:t>
      </w:r>
      <w:r w:rsidR="00F162F9">
        <w:rPr>
          <w:rFonts w:ascii="Arial" w:eastAsia="SimSun" w:hAnsi="Arial" w:cs="Arial"/>
          <w:sz w:val="22"/>
          <w:szCs w:val="22"/>
        </w:rPr>
        <w:t>ine</w:t>
      </w:r>
      <w:r w:rsidRPr="009C38EA">
        <w:rPr>
          <w:rFonts w:ascii="Arial" w:eastAsia="SimSun" w:hAnsi="Arial" w:cs="Arial"/>
          <w:sz w:val="22"/>
          <w:szCs w:val="22"/>
        </w:rPr>
        <w:t xml:space="preserve"> to earth faults are</w:t>
      </w:r>
      <w:proofErr w:type="gramEnd"/>
      <w:r w:rsidRPr="009C38EA">
        <w:rPr>
          <w:rFonts w:ascii="Arial" w:eastAsia="SimSun" w:hAnsi="Arial" w:cs="Arial"/>
          <w:sz w:val="22"/>
          <w:szCs w:val="22"/>
        </w:rPr>
        <w:t xml:space="preserve"> effectively converted into </w:t>
      </w:r>
      <w:r w:rsidR="00F162F9">
        <w:rPr>
          <w:rFonts w:ascii="Arial" w:eastAsia="SimSun" w:hAnsi="Arial" w:cs="Arial"/>
          <w:sz w:val="22"/>
          <w:szCs w:val="22"/>
        </w:rPr>
        <w:t>line</w:t>
      </w:r>
      <w:r w:rsidRPr="009C38EA">
        <w:rPr>
          <w:rFonts w:ascii="Arial" w:eastAsia="SimSun" w:hAnsi="Arial" w:cs="Arial"/>
          <w:sz w:val="22"/>
          <w:szCs w:val="22"/>
        </w:rPr>
        <w:t xml:space="preserve"> to neutral faults</w:t>
      </w:r>
      <w:r w:rsidR="008762D3">
        <w:rPr>
          <w:rFonts w:ascii="Arial" w:eastAsia="SimSun" w:hAnsi="Arial" w:cs="Arial"/>
          <w:sz w:val="22"/>
          <w:szCs w:val="22"/>
        </w:rPr>
        <w:t>,</w:t>
      </w:r>
      <w:r w:rsidR="00CA7733">
        <w:rPr>
          <w:rFonts w:ascii="Arial" w:eastAsia="SimSun" w:hAnsi="Arial" w:cs="Arial"/>
          <w:sz w:val="22"/>
          <w:szCs w:val="22"/>
        </w:rPr>
        <w:t xml:space="preserve"> which give a lower value of </w:t>
      </w:r>
      <w:proofErr w:type="spellStart"/>
      <w:r w:rsidR="00CA7733">
        <w:rPr>
          <w:rFonts w:ascii="Arial" w:eastAsia="SimSun" w:hAnsi="Arial" w:cs="Arial"/>
          <w:sz w:val="22"/>
          <w:szCs w:val="22"/>
        </w:rPr>
        <w:t>Z</w:t>
      </w:r>
      <w:r w:rsidR="00CA7733" w:rsidRPr="00CA7733">
        <w:rPr>
          <w:rFonts w:ascii="Arial" w:eastAsia="SimSun" w:hAnsi="Arial" w:cs="Arial"/>
          <w:sz w:val="22"/>
          <w:szCs w:val="22"/>
          <w:vertAlign w:val="subscript"/>
        </w:rPr>
        <w:t>e</w:t>
      </w:r>
      <w:proofErr w:type="spellEnd"/>
      <w:r w:rsidRPr="009C38EA">
        <w:rPr>
          <w:rFonts w:ascii="Arial" w:eastAsia="SimSun" w:hAnsi="Arial" w:cs="Arial"/>
          <w:sz w:val="22"/>
          <w:szCs w:val="22"/>
        </w:rPr>
        <w:t xml:space="preserve">. </w:t>
      </w:r>
      <w:r w:rsidR="00CA7733">
        <w:rPr>
          <w:rFonts w:ascii="Arial" w:eastAsia="SimSun" w:hAnsi="Arial" w:cs="Arial"/>
          <w:sz w:val="22"/>
          <w:szCs w:val="22"/>
        </w:rPr>
        <w:t>This system</w:t>
      </w:r>
      <w:r w:rsidR="00CA7733" w:rsidRPr="009C38EA">
        <w:rPr>
          <w:rFonts w:ascii="Arial" w:eastAsia="SimSun" w:hAnsi="Arial" w:cs="Arial"/>
          <w:sz w:val="22"/>
          <w:szCs w:val="22"/>
        </w:rPr>
        <w:t xml:space="preserve"> is </w:t>
      </w:r>
      <w:r w:rsidR="00CA7733">
        <w:rPr>
          <w:rFonts w:ascii="Arial" w:eastAsia="SimSun" w:hAnsi="Arial" w:cs="Arial"/>
          <w:sz w:val="22"/>
          <w:szCs w:val="22"/>
        </w:rPr>
        <w:t>frequently</w:t>
      </w:r>
      <w:r w:rsidR="00CA7733" w:rsidRPr="009C38EA">
        <w:rPr>
          <w:rFonts w:ascii="Arial" w:eastAsia="SimSun" w:hAnsi="Arial" w:cs="Arial"/>
          <w:sz w:val="22"/>
          <w:szCs w:val="22"/>
        </w:rPr>
        <w:t xml:space="preserve"> referred to as protective multiple earthing (PME).</w:t>
      </w:r>
      <w:r w:rsidR="00CA7733">
        <w:rPr>
          <w:rFonts w:ascii="Arial" w:eastAsia="SimSun" w:hAnsi="Arial" w:cs="Arial"/>
          <w:sz w:val="22"/>
          <w:szCs w:val="22"/>
        </w:rPr>
        <w:t xml:space="preserve"> </w:t>
      </w:r>
      <w:r w:rsidRPr="009C38EA">
        <w:rPr>
          <w:rFonts w:ascii="Arial" w:eastAsia="SimSun" w:hAnsi="Arial" w:cs="Arial"/>
          <w:sz w:val="22"/>
          <w:szCs w:val="22"/>
        </w:rPr>
        <w:t>The arrangement for a TN</w:t>
      </w:r>
      <w:r w:rsidRPr="009C38EA">
        <w:rPr>
          <w:rFonts w:ascii="Arial" w:eastAsia="SimSun" w:hAnsi="Arial" w:cs="Arial"/>
          <w:sz w:val="22"/>
          <w:szCs w:val="22"/>
        </w:rPr>
        <w:noBreakHyphen/>
        <w:t>C</w:t>
      </w:r>
      <w:r w:rsidRPr="009C38EA">
        <w:rPr>
          <w:rFonts w:ascii="Arial" w:eastAsia="SimSun" w:hAnsi="Arial" w:cs="Arial"/>
          <w:sz w:val="22"/>
          <w:szCs w:val="22"/>
        </w:rPr>
        <w:noBreakHyphen/>
        <w:t xml:space="preserve">S is shown in the diagram </w:t>
      </w:r>
      <w:r w:rsidR="008762D3">
        <w:rPr>
          <w:rFonts w:ascii="Arial" w:eastAsia="SimSun" w:hAnsi="Arial" w:cs="Arial"/>
          <w:sz w:val="22"/>
          <w:szCs w:val="22"/>
        </w:rPr>
        <w:t>below</w:t>
      </w:r>
      <w:r w:rsidRPr="009C38EA">
        <w:rPr>
          <w:rFonts w:ascii="Arial" w:eastAsia="SimSun" w:hAnsi="Arial" w:cs="Arial"/>
          <w:sz w:val="22"/>
          <w:szCs w:val="22"/>
        </w:rPr>
        <w:t>:</w:t>
      </w:r>
    </w:p>
    <w:tbl>
      <w:tblPr>
        <w:tblW w:w="9889" w:type="dxa"/>
        <w:tblLook w:val="04A0" w:firstRow="1" w:lastRow="0" w:firstColumn="1" w:lastColumn="0" w:noHBand="0" w:noVBand="1"/>
      </w:tblPr>
      <w:tblGrid>
        <w:gridCol w:w="9889"/>
      </w:tblGrid>
      <w:tr w:rsidR="00CA7733" w:rsidTr="00C35F41">
        <w:tc>
          <w:tcPr>
            <w:tcW w:w="9889" w:type="dxa"/>
            <w:shd w:val="clear" w:color="auto" w:fill="auto"/>
          </w:tcPr>
          <w:p w:rsidR="00CA7733" w:rsidRPr="00006F97" w:rsidRDefault="00EB0738" w:rsidP="00D74E5B">
            <w:pPr>
              <w:spacing w:before="120" w:after="120"/>
              <w:jc w:val="center"/>
              <w:rPr>
                <w:rFonts w:ascii="Arial" w:hAnsi="Arial" w:cs="Arial"/>
                <w:sz w:val="22"/>
                <w:szCs w:val="22"/>
              </w:rPr>
            </w:pPr>
            <w:r>
              <w:rPr>
                <w:noProof/>
              </w:rPr>
              <w:drawing>
                <wp:inline distT="0" distB="0" distL="0" distR="0" wp14:anchorId="790E14C0" wp14:editId="2C3F0A54">
                  <wp:extent cx="5857875" cy="3105150"/>
                  <wp:effectExtent l="0" t="0" r="9525" b="0"/>
                  <wp:docPr id="4" name="Picture 4" descr="TN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N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3105150"/>
                          </a:xfrm>
                          <a:prstGeom prst="rect">
                            <a:avLst/>
                          </a:prstGeom>
                          <a:noFill/>
                          <a:ln>
                            <a:noFill/>
                          </a:ln>
                        </pic:spPr>
                      </pic:pic>
                    </a:graphicData>
                  </a:graphic>
                </wp:inline>
              </w:drawing>
            </w:r>
          </w:p>
        </w:tc>
      </w:tr>
    </w:tbl>
    <w:p w:rsidR="00CA7733" w:rsidRPr="00247F9E" w:rsidRDefault="00CA7733" w:rsidP="009F7BF4">
      <w:pPr>
        <w:spacing w:after="120"/>
        <w:rPr>
          <w:rFonts w:ascii="Arial" w:eastAsia="SimSun" w:hAnsi="Arial" w:cs="Arial"/>
          <w:sz w:val="22"/>
          <w:szCs w:val="22"/>
        </w:rPr>
      </w:pPr>
      <w:r w:rsidRPr="00247F9E">
        <w:rPr>
          <w:rFonts w:ascii="Arial" w:eastAsia="SimSun" w:hAnsi="Arial" w:cs="Arial"/>
          <w:sz w:val="22"/>
          <w:szCs w:val="22"/>
        </w:rPr>
        <w:t>The layout of a typical TN</w:t>
      </w:r>
      <w:r w:rsidRPr="00247F9E">
        <w:rPr>
          <w:rFonts w:ascii="Arial" w:eastAsia="SimSun" w:hAnsi="Arial" w:cs="Arial"/>
          <w:sz w:val="22"/>
          <w:szCs w:val="22"/>
        </w:rPr>
        <w:noBreakHyphen/>
      </w:r>
      <w:r>
        <w:rPr>
          <w:rFonts w:ascii="Arial" w:eastAsia="SimSun" w:hAnsi="Arial" w:cs="Arial"/>
          <w:sz w:val="22"/>
          <w:szCs w:val="22"/>
        </w:rPr>
        <w:t>C</w:t>
      </w:r>
      <w:r>
        <w:rPr>
          <w:rFonts w:ascii="Arial" w:eastAsia="SimSun" w:hAnsi="Arial" w:cs="Arial"/>
          <w:sz w:val="22"/>
          <w:szCs w:val="22"/>
        </w:rPr>
        <w:noBreakHyphen/>
      </w:r>
      <w:r w:rsidRPr="00247F9E">
        <w:rPr>
          <w:rFonts w:ascii="Arial" w:eastAsia="SimSun" w:hAnsi="Arial" w:cs="Arial"/>
          <w:sz w:val="22"/>
          <w:szCs w:val="22"/>
        </w:rPr>
        <w:t>S domestic service position is shown in the following diagram:</w:t>
      </w:r>
    </w:p>
    <w:tbl>
      <w:tblPr>
        <w:tblW w:w="9889" w:type="dxa"/>
        <w:tblLook w:val="04A0" w:firstRow="1" w:lastRow="0" w:firstColumn="1" w:lastColumn="0" w:noHBand="0" w:noVBand="1"/>
      </w:tblPr>
      <w:tblGrid>
        <w:gridCol w:w="9889"/>
      </w:tblGrid>
      <w:tr w:rsidR="00CA7733" w:rsidTr="00C35F41">
        <w:tc>
          <w:tcPr>
            <w:tcW w:w="9889" w:type="dxa"/>
            <w:shd w:val="clear" w:color="auto" w:fill="auto"/>
          </w:tcPr>
          <w:p w:rsidR="00CA7733" w:rsidRPr="00006F97" w:rsidRDefault="00EB0738" w:rsidP="00D74E5B">
            <w:pPr>
              <w:spacing w:before="120" w:after="120"/>
              <w:jc w:val="center"/>
              <w:rPr>
                <w:rFonts w:ascii="Arial" w:hAnsi="Arial" w:cs="Arial"/>
                <w:sz w:val="22"/>
                <w:szCs w:val="22"/>
              </w:rPr>
            </w:pPr>
            <w:r>
              <w:rPr>
                <w:rFonts w:ascii="Arial" w:hAnsi="Arial" w:cs="Arial"/>
                <w:noProof/>
                <w:sz w:val="22"/>
                <w:szCs w:val="22"/>
              </w:rPr>
              <w:drawing>
                <wp:inline distT="0" distB="0" distL="0" distR="0" wp14:anchorId="1471E377" wp14:editId="70300C84">
                  <wp:extent cx="5448300" cy="3200400"/>
                  <wp:effectExtent l="0" t="0" r="0" b="0"/>
                  <wp:docPr id="5" name="Picture 10" descr="05 TN-C-S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5 TN-C-S sys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3200400"/>
                          </a:xfrm>
                          <a:prstGeom prst="rect">
                            <a:avLst/>
                          </a:prstGeom>
                          <a:noFill/>
                          <a:ln>
                            <a:noFill/>
                          </a:ln>
                        </pic:spPr>
                      </pic:pic>
                    </a:graphicData>
                  </a:graphic>
                </wp:inline>
              </w:drawing>
            </w:r>
          </w:p>
        </w:tc>
      </w:tr>
    </w:tbl>
    <w:p w:rsidR="00CA7733" w:rsidRPr="00AD143A" w:rsidRDefault="00CA7733" w:rsidP="00D74E5B">
      <w:pPr>
        <w:spacing w:after="120"/>
        <w:rPr>
          <w:rFonts w:ascii="Arial" w:hAnsi="Arial" w:cs="Arial"/>
          <w:b/>
          <w:sz w:val="22"/>
          <w:szCs w:val="22"/>
        </w:rPr>
      </w:pPr>
      <w:r>
        <w:rPr>
          <w:rFonts w:ascii="Arial" w:hAnsi="Arial" w:cs="Arial"/>
          <w:b/>
          <w:sz w:val="22"/>
          <w:szCs w:val="22"/>
        </w:rPr>
        <w:br w:type="page"/>
      </w:r>
      <w:r w:rsidRPr="00AD143A">
        <w:rPr>
          <w:rFonts w:ascii="Arial" w:hAnsi="Arial" w:cs="Arial"/>
          <w:b/>
          <w:sz w:val="22"/>
          <w:szCs w:val="22"/>
        </w:rPr>
        <w:lastRenderedPageBreak/>
        <w:t>T</w:t>
      </w:r>
      <w:r>
        <w:rPr>
          <w:rFonts w:ascii="Arial" w:hAnsi="Arial" w:cs="Arial"/>
          <w:b/>
          <w:sz w:val="22"/>
          <w:szCs w:val="22"/>
        </w:rPr>
        <w:t>T</w:t>
      </w:r>
      <w:r w:rsidRPr="00AD143A">
        <w:rPr>
          <w:rFonts w:ascii="Arial" w:hAnsi="Arial" w:cs="Arial"/>
          <w:b/>
          <w:sz w:val="22"/>
          <w:szCs w:val="22"/>
        </w:rPr>
        <w:t xml:space="preserve"> system</w:t>
      </w:r>
    </w:p>
    <w:p w:rsidR="00CA7733" w:rsidRPr="00CA7733" w:rsidRDefault="003756AF" w:rsidP="009F7BF4">
      <w:pPr>
        <w:spacing w:after="120"/>
        <w:rPr>
          <w:rFonts w:ascii="Arial" w:eastAsia="SimSun" w:hAnsi="Arial" w:cs="Arial"/>
          <w:sz w:val="22"/>
          <w:szCs w:val="22"/>
        </w:rPr>
      </w:pPr>
      <w:r>
        <w:rPr>
          <w:rFonts w:ascii="Arial" w:eastAsia="SimSun" w:hAnsi="Arial" w:cs="Arial"/>
          <w:sz w:val="22"/>
          <w:szCs w:val="22"/>
        </w:rPr>
        <w:t>Often, TT systems are fed to the installation via overhead cables and the regional electricity company (REC) do not provide an earth. T</w:t>
      </w:r>
      <w:r w:rsidR="008762D3">
        <w:rPr>
          <w:rFonts w:ascii="Arial" w:eastAsia="SimSun" w:hAnsi="Arial" w:cs="Arial"/>
          <w:sz w:val="22"/>
          <w:szCs w:val="22"/>
        </w:rPr>
        <w:t>he installation’</w:t>
      </w:r>
      <w:r w:rsidR="00CA7733" w:rsidRPr="00CA7733">
        <w:rPr>
          <w:rFonts w:ascii="Arial" w:eastAsia="SimSun" w:hAnsi="Arial" w:cs="Arial"/>
          <w:sz w:val="22"/>
          <w:szCs w:val="22"/>
        </w:rPr>
        <w:t>s circuit protective conductors must be connected to earth via an earth electrode provided by the consumer. An effective earth connection is sometimes difficult to obtain and in most cases a residual current device is provided when this type of supply is used. The arrangement for a TT is shown in the diagram below:</w:t>
      </w:r>
    </w:p>
    <w:tbl>
      <w:tblPr>
        <w:tblW w:w="9889" w:type="dxa"/>
        <w:tblLook w:val="04A0" w:firstRow="1" w:lastRow="0" w:firstColumn="1" w:lastColumn="0" w:noHBand="0" w:noVBand="1"/>
      </w:tblPr>
      <w:tblGrid>
        <w:gridCol w:w="9889"/>
      </w:tblGrid>
      <w:tr w:rsidR="00CA7733" w:rsidTr="00C35F41">
        <w:tc>
          <w:tcPr>
            <w:tcW w:w="9889" w:type="dxa"/>
            <w:shd w:val="clear" w:color="auto" w:fill="auto"/>
          </w:tcPr>
          <w:p w:rsidR="00CA7733" w:rsidRPr="00006F97" w:rsidRDefault="00EB0738" w:rsidP="00D74E5B">
            <w:pPr>
              <w:spacing w:before="120" w:after="120"/>
              <w:jc w:val="center"/>
              <w:rPr>
                <w:rFonts w:ascii="Arial" w:hAnsi="Arial" w:cs="Arial"/>
                <w:sz w:val="22"/>
                <w:szCs w:val="22"/>
              </w:rPr>
            </w:pPr>
            <w:r>
              <w:rPr>
                <w:noProof/>
              </w:rPr>
              <w:drawing>
                <wp:inline distT="0" distB="0" distL="0" distR="0" wp14:anchorId="6366CC6E" wp14:editId="79BD7A43">
                  <wp:extent cx="4152900" cy="2619375"/>
                  <wp:effectExtent l="0" t="0" r="0" b="9525"/>
                  <wp:docPr id="6" name="Picture 6" descr="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2900" cy="2619375"/>
                          </a:xfrm>
                          <a:prstGeom prst="rect">
                            <a:avLst/>
                          </a:prstGeom>
                          <a:noFill/>
                          <a:ln>
                            <a:noFill/>
                          </a:ln>
                        </pic:spPr>
                      </pic:pic>
                    </a:graphicData>
                  </a:graphic>
                </wp:inline>
              </w:drawing>
            </w:r>
          </w:p>
        </w:tc>
      </w:tr>
    </w:tbl>
    <w:p w:rsidR="00CA7733" w:rsidRPr="00247F9E" w:rsidRDefault="00CA7733" w:rsidP="009F7BF4">
      <w:pPr>
        <w:spacing w:after="120"/>
        <w:rPr>
          <w:rFonts w:ascii="Arial" w:eastAsia="SimSun" w:hAnsi="Arial" w:cs="Arial"/>
          <w:sz w:val="22"/>
          <w:szCs w:val="22"/>
        </w:rPr>
      </w:pPr>
      <w:r w:rsidRPr="00247F9E">
        <w:rPr>
          <w:rFonts w:ascii="Arial" w:eastAsia="SimSun" w:hAnsi="Arial" w:cs="Arial"/>
          <w:sz w:val="22"/>
          <w:szCs w:val="22"/>
        </w:rPr>
        <w:t xml:space="preserve">The layout of a typical </w:t>
      </w:r>
      <w:r w:rsidR="008762D3">
        <w:rPr>
          <w:rFonts w:ascii="Arial" w:eastAsia="SimSun" w:hAnsi="Arial" w:cs="Arial"/>
          <w:sz w:val="22"/>
          <w:szCs w:val="22"/>
        </w:rPr>
        <w:t>TT</w:t>
      </w:r>
      <w:r w:rsidRPr="00247F9E">
        <w:rPr>
          <w:rFonts w:ascii="Arial" w:eastAsia="SimSun" w:hAnsi="Arial" w:cs="Arial"/>
          <w:sz w:val="22"/>
          <w:szCs w:val="22"/>
        </w:rPr>
        <w:t xml:space="preserve"> domestic service position is shown in the following diagram:</w:t>
      </w:r>
    </w:p>
    <w:tbl>
      <w:tblPr>
        <w:tblW w:w="9889" w:type="dxa"/>
        <w:tblLook w:val="04A0" w:firstRow="1" w:lastRow="0" w:firstColumn="1" w:lastColumn="0" w:noHBand="0" w:noVBand="1"/>
      </w:tblPr>
      <w:tblGrid>
        <w:gridCol w:w="9889"/>
      </w:tblGrid>
      <w:tr w:rsidR="00CA7733" w:rsidTr="00C35F41">
        <w:trPr>
          <w:trHeight w:val="5699"/>
        </w:trPr>
        <w:tc>
          <w:tcPr>
            <w:tcW w:w="9889" w:type="dxa"/>
            <w:shd w:val="clear" w:color="auto" w:fill="auto"/>
          </w:tcPr>
          <w:p w:rsidR="00CA7733" w:rsidRPr="00006F97" w:rsidRDefault="00EB0738" w:rsidP="00D74E5B">
            <w:pPr>
              <w:spacing w:before="120" w:after="120"/>
              <w:jc w:val="center"/>
              <w:rPr>
                <w:rFonts w:ascii="Arial" w:hAnsi="Arial" w:cs="Arial"/>
                <w:sz w:val="22"/>
                <w:szCs w:val="22"/>
              </w:rPr>
            </w:pPr>
            <w:r>
              <w:rPr>
                <w:rFonts w:ascii="Arial" w:hAnsi="Arial" w:cs="Arial"/>
                <w:noProof/>
                <w:sz w:val="22"/>
                <w:szCs w:val="22"/>
              </w:rPr>
              <w:drawing>
                <wp:inline distT="0" distB="0" distL="0" distR="0" wp14:anchorId="342C092A" wp14:editId="18686681">
                  <wp:extent cx="5314950" cy="3524250"/>
                  <wp:effectExtent l="0" t="0" r="0" b="0"/>
                  <wp:docPr id="7" name="Picture 14" descr="07 TT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07 TT syst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4950" cy="3524250"/>
                          </a:xfrm>
                          <a:prstGeom prst="rect">
                            <a:avLst/>
                          </a:prstGeom>
                          <a:noFill/>
                          <a:ln>
                            <a:noFill/>
                          </a:ln>
                        </pic:spPr>
                      </pic:pic>
                    </a:graphicData>
                  </a:graphic>
                </wp:inline>
              </w:drawing>
            </w:r>
          </w:p>
        </w:tc>
      </w:tr>
    </w:tbl>
    <w:p w:rsidR="009F7BF4" w:rsidRDefault="009F7BF4" w:rsidP="009F7BF4">
      <w:pPr>
        <w:spacing w:after="120"/>
        <w:rPr>
          <w:sz w:val="22"/>
          <w:szCs w:val="22"/>
        </w:rPr>
      </w:pPr>
      <w:r>
        <w:rPr>
          <w:sz w:val="22"/>
          <w:szCs w:val="22"/>
        </w:rPr>
        <w:pict>
          <v:rect id="_x0000_i1025" style="width:0;height:1.5pt" o:hralign="center" o:hrstd="t" o:hr="t" fillcolor="#a0a0a0" stroked="f"/>
        </w:pict>
      </w:r>
    </w:p>
    <w:sectPr w:rsidR="009F7BF4" w:rsidSect="00C35F41">
      <w:headerReference w:type="default" r:id="rId16"/>
      <w:footerReference w:type="defaul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CE8" w:rsidRDefault="00FB6CE8">
      <w:r>
        <w:separator/>
      </w:r>
    </w:p>
  </w:endnote>
  <w:endnote w:type="continuationSeparator" w:id="0">
    <w:p w:rsidR="00FB6CE8" w:rsidRDefault="00FB6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FF3DF3" w:rsidRPr="005A76CF" w:rsidTr="001858E5">
      <w:tc>
        <w:tcPr>
          <w:tcW w:w="3250" w:type="pct"/>
          <w:shd w:val="clear" w:color="auto" w:fill="auto"/>
        </w:tcPr>
        <w:p w:rsidR="00FF3DF3" w:rsidRPr="005A76CF" w:rsidRDefault="00FF3DF3" w:rsidP="001858E5">
          <w:pPr>
            <w:pStyle w:val="Footer"/>
            <w:spacing w:before="20"/>
            <w:rPr>
              <w:rFonts w:ascii="Arial" w:hAnsi="Arial" w:cs="Arial"/>
              <w:sz w:val="18"/>
            </w:rPr>
          </w:pPr>
          <w:r w:rsidRPr="005A76CF">
            <w:rPr>
              <w:rFonts w:ascii="Arial" w:hAnsi="Arial" w:cs="Arial"/>
              <w:sz w:val="18"/>
            </w:rPr>
            <w:t xml:space="preserve">© </w:t>
          </w:r>
          <w:r w:rsidRPr="005A76CF">
            <w:rPr>
              <w:rFonts w:ascii="Arial" w:hAnsi="Arial" w:cs="Arial"/>
              <w:sz w:val="18"/>
            </w:rPr>
            <w:fldChar w:fldCharType="begin"/>
          </w:r>
          <w:r w:rsidRPr="005A76CF">
            <w:rPr>
              <w:rFonts w:ascii="Arial" w:hAnsi="Arial" w:cs="Arial"/>
              <w:sz w:val="18"/>
            </w:rPr>
            <w:instrText xml:space="preserve"> DATE \@ "yyyy" \* MERGEFORMAT </w:instrText>
          </w:r>
          <w:r w:rsidRPr="005A76CF">
            <w:rPr>
              <w:rFonts w:ascii="Arial" w:hAnsi="Arial" w:cs="Arial"/>
              <w:sz w:val="18"/>
            </w:rPr>
            <w:fldChar w:fldCharType="separate"/>
          </w:r>
          <w:r w:rsidR="00EB0738">
            <w:rPr>
              <w:rFonts w:ascii="Arial" w:hAnsi="Arial" w:cs="Arial"/>
              <w:noProof/>
              <w:sz w:val="18"/>
            </w:rPr>
            <w:t>2015</w:t>
          </w:r>
          <w:r w:rsidRPr="005A76CF">
            <w:rPr>
              <w:rFonts w:ascii="Arial" w:hAnsi="Arial" w:cs="Arial"/>
              <w:sz w:val="18"/>
            </w:rPr>
            <w:fldChar w:fldCharType="end"/>
          </w:r>
          <w:r w:rsidRPr="005A76CF">
            <w:rPr>
              <w:rFonts w:ascii="Arial" w:hAnsi="Arial" w:cs="Arial"/>
              <w:sz w:val="18"/>
            </w:rPr>
            <w:t xml:space="preserve"> City and Guilds of London Institute. All rights reserved.</w:t>
          </w:r>
        </w:p>
        <w:p w:rsidR="00FF3DF3" w:rsidRPr="005A76CF" w:rsidRDefault="00FF3DF3" w:rsidP="001858E5">
          <w:pPr>
            <w:pStyle w:val="Footer"/>
            <w:spacing w:before="20"/>
            <w:rPr>
              <w:rFonts w:ascii="Arial" w:hAnsi="Arial" w:cs="Arial"/>
              <w:sz w:val="18"/>
            </w:rPr>
          </w:pPr>
          <w:r w:rsidRPr="005A76CF">
            <w:rPr>
              <w:rFonts w:ascii="Arial" w:hAnsi="Arial" w:cs="Arial"/>
              <w:sz w:val="18"/>
            </w:rPr>
            <w:t>www.SmartScreen.co.uk</w:t>
          </w:r>
        </w:p>
      </w:tc>
      <w:tc>
        <w:tcPr>
          <w:tcW w:w="2500" w:type="pct"/>
          <w:shd w:val="clear" w:color="auto" w:fill="auto"/>
        </w:tcPr>
        <w:p w:rsidR="00FF3DF3" w:rsidRPr="005A76CF" w:rsidRDefault="00FF3DF3" w:rsidP="001858E5">
          <w:pPr>
            <w:pStyle w:val="Footer"/>
            <w:spacing w:before="20"/>
            <w:jc w:val="right"/>
            <w:rPr>
              <w:rFonts w:ascii="Arial" w:hAnsi="Arial" w:cs="Arial"/>
              <w:sz w:val="18"/>
            </w:rPr>
          </w:pPr>
          <w:r w:rsidRPr="005A76CF">
            <w:rPr>
              <w:rFonts w:ascii="Arial" w:hAnsi="Arial" w:cs="Arial"/>
              <w:sz w:val="18"/>
            </w:rPr>
            <w:t xml:space="preserve">Page </w:t>
          </w:r>
          <w:r w:rsidRPr="005A76CF">
            <w:rPr>
              <w:rFonts w:ascii="Arial" w:hAnsi="Arial" w:cs="Arial"/>
              <w:sz w:val="18"/>
            </w:rPr>
            <w:fldChar w:fldCharType="begin"/>
          </w:r>
          <w:r w:rsidRPr="005A76CF">
            <w:rPr>
              <w:rFonts w:ascii="Arial" w:hAnsi="Arial" w:cs="Arial"/>
              <w:sz w:val="18"/>
            </w:rPr>
            <w:instrText xml:space="preserve"> PAGE   \* MERGEFORMAT </w:instrText>
          </w:r>
          <w:r w:rsidRPr="005A76CF">
            <w:rPr>
              <w:rFonts w:ascii="Arial" w:hAnsi="Arial" w:cs="Arial"/>
              <w:sz w:val="18"/>
            </w:rPr>
            <w:fldChar w:fldCharType="separate"/>
          </w:r>
          <w:r w:rsidR="00C35F41">
            <w:rPr>
              <w:rFonts w:ascii="Arial" w:hAnsi="Arial" w:cs="Arial"/>
              <w:noProof/>
              <w:sz w:val="18"/>
            </w:rPr>
            <w:t>1</w:t>
          </w:r>
          <w:r w:rsidRPr="005A76CF">
            <w:rPr>
              <w:rFonts w:ascii="Arial" w:hAnsi="Arial" w:cs="Arial"/>
              <w:sz w:val="18"/>
            </w:rPr>
            <w:fldChar w:fldCharType="end"/>
          </w:r>
          <w:r w:rsidRPr="005A76CF">
            <w:rPr>
              <w:rFonts w:ascii="Arial" w:hAnsi="Arial" w:cs="Arial"/>
              <w:sz w:val="18"/>
            </w:rPr>
            <w:t xml:space="preserve"> of </w:t>
          </w:r>
          <w:r w:rsidRPr="005A76CF">
            <w:rPr>
              <w:rFonts w:ascii="Arial" w:hAnsi="Arial" w:cs="Arial"/>
              <w:sz w:val="18"/>
            </w:rPr>
            <w:fldChar w:fldCharType="begin"/>
          </w:r>
          <w:r w:rsidRPr="005A76CF">
            <w:rPr>
              <w:rFonts w:ascii="Arial" w:hAnsi="Arial" w:cs="Arial"/>
              <w:sz w:val="18"/>
            </w:rPr>
            <w:instrText xml:space="preserve"> NUMPAGES   \* MERGEFORMAT </w:instrText>
          </w:r>
          <w:r w:rsidRPr="005A76CF">
            <w:rPr>
              <w:rFonts w:ascii="Arial" w:hAnsi="Arial" w:cs="Arial"/>
              <w:sz w:val="18"/>
            </w:rPr>
            <w:fldChar w:fldCharType="separate"/>
          </w:r>
          <w:r w:rsidR="00C35F41">
            <w:rPr>
              <w:rFonts w:ascii="Arial" w:hAnsi="Arial" w:cs="Arial"/>
              <w:noProof/>
              <w:sz w:val="18"/>
            </w:rPr>
            <w:t>5</w:t>
          </w:r>
          <w:r w:rsidRPr="005A76CF">
            <w:rPr>
              <w:rFonts w:ascii="Arial" w:hAnsi="Arial" w:cs="Arial"/>
              <w:sz w:val="18"/>
            </w:rPr>
            <w:fldChar w:fldCharType="end"/>
          </w:r>
        </w:p>
      </w:tc>
    </w:tr>
  </w:tbl>
  <w:p w:rsidR="00FF3DF3" w:rsidRPr="009F7BF4" w:rsidRDefault="00FF3DF3">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CE8" w:rsidRDefault="00FB6CE8">
      <w:r>
        <w:separator/>
      </w:r>
    </w:p>
  </w:footnote>
  <w:footnote w:type="continuationSeparator" w:id="0">
    <w:p w:rsidR="00FB6CE8" w:rsidRDefault="00FB6C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1E0" w:firstRow="1" w:lastRow="1" w:firstColumn="1" w:lastColumn="1" w:noHBand="0" w:noVBand="0"/>
    </w:tblPr>
    <w:tblGrid>
      <w:gridCol w:w="6251"/>
      <w:gridCol w:w="3387"/>
    </w:tblGrid>
    <w:tr w:rsidR="008C1497" w:rsidRPr="00BE2849" w:rsidTr="007E0408">
      <w:tc>
        <w:tcPr>
          <w:tcW w:w="3243" w:type="pct"/>
          <w:shd w:val="clear" w:color="auto" w:fill="auto"/>
        </w:tcPr>
        <w:p w:rsidR="008C1497" w:rsidRPr="00BE2849" w:rsidRDefault="008C1497" w:rsidP="00BE2849">
          <w:pPr>
            <w:pStyle w:val="Header"/>
            <w:rPr>
              <w:rFonts w:ascii="Arial" w:hAnsi="Arial" w:cs="Arial"/>
              <w:sz w:val="18"/>
            </w:rPr>
          </w:pPr>
          <w:r w:rsidRPr="00BE2849">
            <w:rPr>
              <w:rFonts w:ascii="Arial" w:hAnsi="Arial" w:cs="Arial"/>
              <w:sz w:val="18"/>
            </w:rPr>
            <w:t>SmartScreen</w:t>
          </w:r>
        </w:p>
        <w:p w:rsidR="008C1497" w:rsidRPr="00BE2849" w:rsidRDefault="008C1497"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8C1497" w:rsidRPr="00BE2849" w:rsidRDefault="008C1497" w:rsidP="004805B5">
          <w:pPr>
            <w:pStyle w:val="Header"/>
            <w:jc w:val="right"/>
            <w:rPr>
              <w:rFonts w:ascii="Arial" w:hAnsi="Arial" w:cs="Arial"/>
              <w:sz w:val="18"/>
            </w:rPr>
          </w:pPr>
          <w:r w:rsidRPr="00BE2849">
            <w:rPr>
              <w:rFonts w:ascii="Arial" w:hAnsi="Arial" w:cs="Arial"/>
              <w:sz w:val="18"/>
            </w:rPr>
            <w:t>Unit 20</w:t>
          </w:r>
          <w:r w:rsidR="007A6CA5">
            <w:rPr>
              <w:rFonts w:ascii="Arial" w:hAnsi="Arial" w:cs="Arial"/>
              <w:sz w:val="18"/>
            </w:rPr>
            <w:t>3</w:t>
          </w:r>
          <w:r w:rsidRPr="00BE2849">
            <w:rPr>
              <w:rFonts w:ascii="Arial" w:hAnsi="Arial" w:cs="Arial"/>
              <w:sz w:val="18"/>
            </w:rPr>
            <w:t xml:space="preserve"> </w:t>
          </w:r>
          <w:proofErr w:type="spellStart"/>
          <w:r w:rsidRPr="00BE2849">
            <w:rPr>
              <w:rFonts w:ascii="Arial" w:hAnsi="Arial" w:cs="Arial"/>
              <w:sz w:val="18"/>
            </w:rPr>
            <w:t>Handout</w:t>
          </w:r>
          <w:proofErr w:type="spellEnd"/>
          <w:r w:rsidRPr="00BE2849">
            <w:rPr>
              <w:rFonts w:ascii="Arial" w:hAnsi="Arial" w:cs="Arial"/>
              <w:sz w:val="18"/>
            </w:rPr>
            <w:t xml:space="preserve"> </w:t>
          </w:r>
          <w:r w:rsidR="004805B5">
            <w:rPr>
              <w:rFonts w:ascii="Arial" w:hAnsi="Arial" w:cs="Arial"/>
              <w:sz w:val="18"/>
            </w:rPr>
            <w:t>22</w:t>
          </w:r>
        </w:p>
      </w:tc>
    </w:tr>
  </w:tbl>
  <w:p w:rsidR="008C1497" w:rsidRPr="009F7BF4" w:rsidRDefault="008C1497" w:rsidP="00BE2849">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21768"/>
    <w:multiLevelType w:val="hybridMultilevel"/>
    <w:tmpl w:val="5A48D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81512B"/>
    <w:multiLevelType w:val="multilevel"/>
    <w:tmpl w:val="F31895B8"/>
    <w:lvl w:ilvl="0">
      <w:start w:val="4"/>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C515F36"/>
    <w:multiLevelType w:val="hybridMultilevel"/>
    <w:tmpl w:val="B5421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21A2566"/>
    <w:multiLevelType w:val="hybridMultilevel"/>
    <w:tmpl w:val="24624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4D2"/>
    <w:rsid w:val="00005A0C"/>
    <w:rsid w:val="00006F97"/>
    <w:rsid w:val="000103F6"/>
    <w:rsid w:val="00010CD8"/>
    <w:rsid w:val="00021494"/>
    <w:rsid w:val="00023302"/>
    <w:rsid w:val="00027ED9"/>
    <w:rsid w:val="0003628C"/>
    <w:rsid w:val="000503F3"/>
    <w:rsid w:val="00052405"/>
    <w:rsid w:val="000617DC"/>
    <w:rsid w:val="00062598"/>
    <w:rsid w:val="00067A7B"/>
    <w:rsid w:val="00070D8E"/>
    <w:rsid w:val="000753B4"/>
    <w:rsid w:val="000914F1"/>
    <w:rsid w:val="00095B50"/>
    <w:rsid w:val="000A6940"/>
    <w:rsid w:val="000B2B3A"/>
    <w:rsid w:val="000E5848"/>
    <w:rsid w:val="000F6735"/>
    <w:rsid w:val="000F68F6"/>
    <w:rsid w:val="0011352A"/>
    <w:rsid w:val="00131139"/>
    <w:rsid w:val="00131E2F"/>
    <w:rsid w:val="001531DF"/>
    <w:rsid w:val="00154223"/>
    <w:rsid w:val="0016305B"/>
    <w:rsid w:val="0017291B"/>
    <w:rsid w:val="001858E5"/>
    <w:rsid w:val="00186E84"/>
    <w:rsid w:val="001924D2"/>
    <w:rsid w:val="001A46A9"/>
    <w:rsid w:val="001A4DFA"/>
    <w:rsid w:val="001A50EE"/>
    <w:rsid w:val="001B0C71"/>
    <w:rsid w:val="001B4B30"/>
    <w:rsid w:val="001B7876"/>
    <w:rsid w:val="001E3165"/>
    <w:rsid w:val="00210B99"/>
    <w:rsid w:val="00217A93"/>
    <w:rsid w:val="00220518"/>
    <w:rsid w:val="0022051A"/>
    <w:rsid w:val="00225086"/>
    <w:rsid w:val="00237BB0"/>
    <w:rsid w:val="00240A72"/>
    <w:rsid w:val="00241896"/>
    <w:rsid w:val="002465B2"/>
    <w:rsid w:val="00247F9E"/>
    <w:rsid w:val="0025798D"/>
    <w:rsid w:val="00270B24"/>
    <w:rsid w:val="00272D65"/>
    <w:rsid w:val="00285D01"/>
    <w:rsid w:val="00286008"/>
    <w:rsid w:val="002964CD"/>
    <w:rsid w:val="00296FC3"/>
    <w:rsid w:val="002A3858"/>
    <w:rsid w:val="002C3CAB"/>
    <w:rsid w:val="002E26CC"/>
    <w:rsid w:val="00306AF6"/>
    <w:rsid w:val="0031203E"/>
    <w:rsid w:val="00321F78"/>
    <w:rsid w:val="003224C2"/>
    <w:rsid w:val="00323400"/>
    <w:rsid w:val="003236F5"/>
    <w:rsid w:val="00325252"/>
    <w:rsid w:val="00336392"/>
    <w:rsid w:val="00336E82"/>
    <w:rsid w:val="0034333B"/>
    <w:rsid w:val="00345571"/>
    <w:rsid w:val="003756AF"/>
    <w:rsid w:val="003A568A"/>
    <w:rsid w:val="003D1AB0"/>
    <w:rsid w:val="003D4EB0"/>
    <w:rsid w:val="003E1063"/>
    <w:rsid w:val="00404203"/>
    <w:rsid w:val="00426F02"/>
    <w:rsid w:val="004805B5"/>
    <w:rsid w:val="00485A4E"/>
    <w:rsid w:val="00485F5C"/>
    <w:rsid w:val="0048648E"/>
    <w:rsid w:val="004A2728"/>
    <w:rsid w:val="004A5B41"/>
    <w:rsid w:val="004C6FC6"/>
    <w:rsid w:val="004D038D"/>
    <w:rsid w:val="004D6954"/>
    <w:rsid w:val="00505C63"/>
    <w:rsid w:val="005104DE"/>
    <w:rsid w:val="00537097"/>
    <w:rsid w:val="00543EE7"/>
    <w:rsid w:val="005446E0"/>
    <w:rsid w:val="0054644A"/>
    <w:rsid w:val="005467ED"/>
    <w:rsid w:val="005502AB"/>
    <w:rsid w:val="005546A4"/>
    <w:rsid w:val="00573D1C"/>
    <w:rsid w:val="00593EF1"/>
    <w:rsid w:val="005A3095"/>
    <w:rsid w:val="005C3679"/>
    <w:rsid w:val="005C65B7"/>
    <w:rsid w:val="005D215F"/>
    <w:rsid w:val="005E7EA9"/>
    <w:rsid w:val="005F3C51"/>
    <w:rsid w:val="00604E57"/>
    <w:rsid w:val="00605C9E"/>
    <w:rsid w:val="00611102"/>
    <w:rsid w:val="00621A89"/>
    <w:rsid w:val="006369E7"/>
    <w:rsid w:val="006503A8"/>
    <w:rsid w:val="0065498F"/>
    <w:rsid w:val="0066001E"/>
    <w:rsid w:val="006651B2"/>
    <w:rsid w:val="00681510"/>
    <w:rsid w:val="0068636D"/>
    <w:rsid w:val="00693925"/>
    <w:rsid w:val="006A5D9D"/>
    <w:rsid w:val="006D646C"/>
    <w:rsid w:val="006E0A82"/>
    <w:rsid w:val="00703D6B"/>
    <w:rsid w:val="0072308F"/>
    <w:rsid w:val="00730534"/>
    <w:rsid w:val="00731618"/>
    <w:rsid w:val="00752165"/>
    <w:rsid w:val="00796960"/>
    <w:rsid w:val="007A39B1"/>
    <w:rsid w:val="007A6CA5"/>
    <w:rsid w:val="007B4FCF"/>
    <w:rsid w:val="007C233A"/>
    <w:rsid w:val="007D02C7"/>
    <w:rsid w:val="007D0441"/>
    <w:rsid w:val="007E0408"/>
    <w:rsid w:val="00801C5B"/>
    <w:rsid w:val="0080459B"/>
    <w:rsid w:val="0085046A"/>
    <w:rsid w:val="00862420"/>
    <w:rsid w:val="00875881"/>
    <w:rsid w:val="008762D3"/>
    <w:rsid w:val="00876E14"/>
    <w:rsid w:val="00894B5F"/>
    <w:rsid w:val="00897C94"/>
    <w:rsid w:val="008C1497"/>
    <w:rsid w:val="008C23BA"/>
    <w:rsid w:val="008E6899"/>
    <w:rsid w:val="008F0F2C"/>
    <w:rsid w:val="008F101B"/>
    <w:rsid w:val="009375D9"/>
    <w:rsid w:val="0096594F"/>
    <w:rsid w:val="00966B72"/>
    <w:rsid w:val="00972428"/>
    <w:rsid w:val="009B5351"/>
    <w:rsid w:val="009C0C93"/>
    <w:rsid w:val="009C38EA"/>
    <w:rsid w:val="009D24C5"/>
    <w:rsid w:val="009D2A44"/>
    <w:rsid w:val="009E28A1"/>
    <w:rsid w:val="009E62A3"/>
    <w:rsid w:val="009F081F"/>
    <w:rsid w:val="009F318A"/>
    <w:rsid w:val="009F7BF4"/>
    <w:rsid w:val="00A104DF"/>
    <w:rsid w:val="00A16B1F"/>
    <w:rsid w:val="00A56779"/>
    <w:rsid w:val="00A83A16"/>
    <w:rsid w:val="00AA3095"/>
    <w:rsid w:val="00AA5133"/>
    <w:rsid w:val="00AD143A"/>
    <w:rsid w:val="00AE1BAB"/>
    <w:rsid w:val="00B128C6"/>
    <w:rsid w:val="00B24160"/>
    <w:rsid w:val="00B31427"/>
    <w:rsid w:val="00B324E7"/>
    <w:rsid w:val="00B478B7"/>
    <w:rsid w:val="00B6304E"/>
    <w:rsid w:val="00B73A34"/>
    <w:rsid w:val="00B82BEF"/>
    <w:rsid w:val="00B963E9"/>
    <w:rsid w:val="00BA257A"/>
    <w:rsid w:val="00BB350E"/>
    <w:rsid w:val="00BB4685"/>
    <w:rsid w:val="00BC69FD"/>
    <w:rsid w:val="00BD748B"/>
    <w:rsid w:val="00BE2849"/>
    <w:rsid w:val="00BF13BD"/>
    <w:rsid w:val="00C16DD0"/>
    <w:rsid w:val="00C33422"/>
    <w:rsid w:val="00C35F41"/>
    <w:rsid w:val="00C44F9C"/>
    <w:rsid w:val="00C519BC"/>
    <w:rsid w:val="00C52C79"/>
    <w:rsid w:val="00C72C1D"/>
    <w:rsid w:val="00C74991"/>
    <w:rsid w:val="00C7687B"/>
    <w:rsid w:val="00C8563B"/>
    <w:rsid w:val="00CA2B0C"/>
    <w:rsid w:val="00CA7733"/>
    <w:rsid w:val="00CA7B52"/>
    <w:rsid w:val="00CC6712"/>
    <w:rsid w:val="00CE78D3"/>
    <w:rsid w:val="00CF5D89"/>
    <w:rsid w:val="00D11D6A"/>
    <w:rsid w:val="00D26DDB"/>
    <w:rsid w:val="00D46491"/>
    <w:rsid w:val="00D537E0"/>
    <w:rsid w:val="00D60660"/>
    <w:rsid w:val="00D609DC"/>
    <w:rsid w:val="00D62257"/>
    <w:rsid w:val="00D7381C"/>
    <w:rsid w:val="00D74E5B"/>
    <w:rsid w:val="00D75E20"/>
    <w:rsid w:val="00D77334"/>
    <w:rsid w:val="00D812EA"/>
    <w:rsid w:val="00D86756"/>
    <w:rsid w:val="00D90174"/>
    <w:rsid w:val="00D936D6"/>
    <w:rsid w:val="00D97C4F"/>
    <w:rsid w:val="00DA618A"/>
    <w:rsid w:val="00DA6EDF"/>
    <w:rsid w:val="00DB5ABB"/>
    <w:rsid w:val="00DB6D1A"/>
    <w:rsid w:val="00DC0DCE"/>
    <w:rsid w:val="00DC1681"/>
    <w:rsid w:val="00DD32AF"/>
    <w:rsid w:val="00DE1F45"/>
    <w:rsid w:val="00DE60FB"/>
    <w:rsid w:val="00DE6FCF"/>
    <w:rsid w:val="00DF1BF5"/>
    <w:rsid w:val="00DF3F2F"/>
    <w:rsid w:val="00DF5749"/>
    <w:rsid w:val="00E06E67"/>
    <w:rsid w:val="00E15912"/>
    <w:rsid w:val="00E233BC"/>
    <w:rsid w:val="00E436C3"/>
    <w:rsid w:val="00E55944"/>
    <w:rsid w:val="00E60213"/>
    <w:rsid w:val="00E650AB"/>
    <w:rsid w:val="00E703F6"/>
    <w:rsid w:val="00E708AF"/>
    <w:rsid w:val="00E76FC9"/>
    <w:rsid w:val="00E86CF1"/>
    <w:rsid w:val="00EB0738"/>
    <w:rsid w:val="00EB2789"/>
    <w:rsid w:val="00EB2AFE"/>
    <w:rsid w:val="00EC17BD"/>
    <w:rsid w:val="00ED072C"/>
    <w:rsid w:val="00ED7E0E"/>
    <w:rsid w:val="00EE1B5D"/>
    <w:rsid w:val="00F100C3"/>
    <w:rsid w:val="00F12E31"/>
    <w:rsid w:val="00F162F9"/>
    <w:rsid w:val="00F26671"/>
    <w:rsid w:val="00F44EF8"/>
    <w:rsid w:val="00F56792"/>
    <w:rsid w:val="00F62453"/>
    <w:rsid w:val="00F67E87"/>
    <w:rsid w:val="00F72939"/>
    <w:rsid w:val="00FB6CE8"/>
    <w:rsid w:val="00FD5103"/>
    <w:rsid w:val="00FD63F5"/>
    <w:rsid w:val="00FE6844"/>
    <w:rsid w:val="00FF2BD9"/>
    <w:rsid w:val="00FF3DF3"/>
    <w:rsid w:val="00FF56E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uiPriority w:val="59"/>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FF3DF3"/>
    <w:rPr>
      <w:sz w:val="24"/>
      <w:szCs w:val="24"/>
      <w:lang w:eastAsia="en-US"/>
    </w:rPr>
  </w:style>
  <w:style w:type="character" w:styleId="CommentReference">
    <w:name w:val="annotation reference"/>
    <w:rsid w:val="00485F5C"/>
    <w:rPr>
      <w:sz w:val="16"/>
      <w:szCs w:val="16"/>
    </w:rPr>
  </w:style>
  <w:style w:type="paragraph" w:styleId="CommentText">
    <w:name w:val="annotation text"/>
    <w:basedOn w:val="Normal"/>
    <w:link w:val="CommentTextChar"/>
    <w:rsid w:val="00485F5C"/>
    <w:rPr>
      <w:sz w:val="20"/>
      <w:szCs w:val="20"/>
    </w:rPr>
  </w:style>
  <w:style w:type="character" w:customStyle="1" w:styleId="CommentTextChar">
    <w:name w:val="Comment Text Char"/>
    <w:basedOn w:val="DefaultParagraphFont"/>
    <w:link w:val="CommentText"/>
    <w:rsid w:val="00485F5C"/>
  </w:style>
  <w:style w:type="paragraph" w:styleId="CommentSubject">
    <w:name w:val="annotation subject"/>
    <w:basedOn w:val="CommentText"/>
    <w:next w:val="CommentText"/>
    <w:link w:val="CommentSubjectChar"/>
    <w:rsid w:val="00485F5C"/>
    <w:rPr>
      <w:b/>
      <w:bCs/>
    </w:rPr>
  </w:style>
  <w:style w:type="character" w:customStyle="1" w:styleId="CommentSubjectChar">
    <w:name w:val="Comment Subject Char"/>
    <w:link w:val="CommentSubject"/>
    <w:rsid w:val="00485F5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uiPriority w:val="59"/>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FF3DF3"/>
    <w:rPr>
      <w:sz w:val="24"/>
      <w:szCs w:val="24"/>
      <w:lang w:eastAsia="en-US"/>
    </w:rPr>
  </w:style>
  <w:style w:type="character" w:styleId="CommentReference">
    <w:name w:val="annotation reference"/>
    <w:rsid w:val="00485F5C"/>
    <w:rPr>
      <w:sz w:val="16"/>
      <w:szCs w:val="16"/>
    </w:rPr>
  </w:style>
  <w:style w:type="paragraph" w:styleId="CommentText">
    <w:name w:val="annotation text"/>
    <w:basedOn w:val="Normal"/>
    <w:link w:val="CommentTextChar"/>
    <w:rsid w:val="00485F5C"/>
    <w:rPr>
      <w:sz w:val="20"/>
      <w:szCs w:val="20"/>
    </w:rPr>
  </w:style>
  <w:style w:type="character" w:customStyle="1" w:styleId="CommentTextChar">
    <w:name w:val="Comment Text Char"/>
    <w:basedOn w:val="DefaultParagraphFont"/>
    <w:link w:val="CommentText"/>
    <w:rsid w:val="00485F5C"/>
  </w:style>
  <w:style w:type="paragraph" w:styleId="CommentSubject">
    <w:name w:val="annotation subject"/>
    <w:basedOn w:val="CommentText"/>
    <w:next w:val="CommentText"/>
    <w:link w:val="CommentSubjectChar"/>
    <w:rsid w:val="00485F5C"/>
    <w:rPr>
      <w:b/>
      <w:bCs/>
    </w:rPr>
  </w:style>
  <w:style w:type="character" w:customStyle="1" w:styleId="CommentSubjectChar">
    <w:name w:val="Comment Subject Char"/>
    <w:link w:val="CommentSubject"/>
    <w:rsid w:val="00485F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57817">
      <w:bodyDiv w:val="1"/>
      <w:marLeft w:val="0"/>
      <w:marRight w:val="0"/>
      <w:marTop w:val="0"/>
      <w:marBottom w:val="0"/>
      <w:divBdr>
        <w:top w:val="none" w:sz="0" w:space="0" w:color="auto"/>
        <w:left w:val="none" w:sz="0" w:space="0" w:color="auto"/>
        <w:bottom w:val="none" w:sz="0" w:space="0" w:color="auto"/>
        <w:right w:val="none" w:sz="0" w:space="0" w:color="auto"/>
      </w:divBdr>
    </w:div>
    <w:div w:id="413935332">
      <w:bodyDiv w:val="1"/>
      <w:marLeft w:val="0"/>
      <w:marRight w:val="0"/>
      <w:marTop w:val="0"/>
      <w:marBottom w:val="0"/>
      <w:divBdr>
        <w:top w:val="none" w:sz="0" w:space="0" w:color="auto"/>
        <w:left w:val="none" w:sz="0" w:space="0" w:color="auto"/>
        <w:bottom w:val="none" w:sz="0" w:space="0" w:color="auto"/>
        <w:right w:val="none" w:sz="0" w:space="0" w:color="auto"/>
      </w:divBdr>
    </w:div>
    <w:div w:id="1352948056">
      <w:bodyDiv w:val="1"/>
      <w:marLeft w:val="0"/>
      <w:marRight w:val="0"/>
      <w:marTop w:val="0"/>
      <w:marBottom w:val="0"/>
      <w:divBdr>
        <w:top w:val="none" w:sz="0" w:space="0" w:color="auto"/>
        <w:left w:val="none" w:sz="0" w:space="0" w:color="auto"/>
        <w:bottom w:val="none" w:sz="0" w:space="0" w:color="auto"/>
        <w:right w:val="none" w:sz="0" w:space="0" w:color="auto"/>
      </w:divBdr>
    </w:div>
    <w:div w:id="1400439151">
      <w:bodyDiv w:val="1"/>
      <w:marLeft w:val="0"/>
      <w:marRight w:val="0"/>
      <w:marTop w:val="0"/>
      <w:marBottom w:val="0"/>
      <w:divBdr>
        <w:top w:val="none" w:sz="0" w:space="0" w:color="auto"/>
        <w:left w:val="none" w:sz="0" w:space="0" w:color="auto"/>
        <w:bottom w:val="none" w:sz="0" w:space="0" w:color="auto"/>
        <w:right w:val="none" w:sz="0" w:space="0" w:color="auto"/>
      </w:divBdr>
    </w:div>
    <w:div w:id="1492064033">
      <w:bodyDiv w:val="1"/>
      <w:marLeft w:val="0"/>
      <w:marRight w:val="0"/>
      <w:marTop w:val="0"/>
      <w:marBottom w:val="0"/>
      <w:divBdr>
        <w:top w:val="none" w:sz="0" w:space="0" w:color="auto"/>
        <w:left w:val="none" w:sz="0" w:space="0" w:color="auto"/>
        <w:bottom w:val="none" w:sz="0" w:space="0" w:color="auto"/>
        <w:right w:val="none" w:sz="0" w:space="0" w:color="auto"/>
      </w:divBdr>
    </w:div>
    <w:div w:id="1525435767">
      <w:bodyDiv w:val="1"/>
      <w:marLeft w:val="0"/>
      <w:marRight w:val="0"/>
      <w:marTop w:val="0"/>
      <w:marBottom w:val="0"/>
      <w:divBdr>
        <w:top w:val="none" w:sz="0" w:space="0" w:color="auto"/>
        <w:left w:val="none" w:sz="0" w:space="0" w:color="auto"/>
        <w:bottom w:val="none" w:sz="0" w:space="0" w:color="auto"/>
        <w:right w:val="none" w:sz="0" w:space="0" w:color="auto"/>
      </w:divBdr>
    </w:div>
    <w:div w:id="183502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9BDDA2-98AF-4763-923F-BDD35C369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Richard Moore</dc:creator>
  <cp:lastModifiedBy>Bob Hibbert</cp:lastModifiedBy>
  <cp:revision>3</cp:revision>
  <cp:lastPrinted>2013-10-21T09:07:00Z</cp:lastPrinted>
  <dcterms:created xsi:type="dcterms:W3CDTF">2015-02-19T09:49:00Z</dcterms:created>
  <dcterms:modified xsi:type="dcterms:W3CDTF">2015-02-19T09:53:00Z</dcterms:modified>
</cp:coreProperties>
</file>