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The Pillar 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Témaválasztás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Olyan webáruházat készítettem, ahol a vásárlók luxusórák százai közül válogathatnak. Az oldalon számon van tartva a cég minden egyes eladott órája. Az órák közül a felhasználó bizonyos paramétereket beállítva személyre szabott ajánlatokat találhat meg. Ha egy vagy több óra is megtetszett a felhasználónak akkor a kedvencek közé mentheti el, így a későbbiekben is bármikor elérheti. Többek között van lehetősége email listára is feliratkozni, ahol értesülhet arról, ha az általa kedvelt óra eladásra került. A cégen belül több jogosultsági szint is megkülönböztethető, az adminisztrátor egy desktopos alkalmazáson keresztül láthatják a jelenlegi felhasználókat és adatbázis műveleteket végezhetnek el. Az adatbázisban jelenleg több mint 500 óra szerepel.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tábla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Az adott táblák színei külön jelentéssel rendelkeznek. A világoszöld táblák a főbb táblák, amikben a legfontosabb adatok tárolódnak. Az altáblák szürke színek láthatóak, míg a kapcsolótábla sárga színnel található meg.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Táblák leírása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 ez a főtábla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id: Az óra egyedi azonosítója. Egész szám. Elsődleges kulcs.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brandId: Az órát gyártó cég azonosítója. Egész szám. Idegen kulcs.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model: Az óra modellje. Szöveg.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price: Az óra ára. Egész szám.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dialColorId: Az óra számlapjának színének azonosítója. Egész szám. Idegen kulcs.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dateId: Az óra gyártási dátumának azonosítója. Egész szám. Idegen kulcs.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114300</wp:posOffset>
            </wp:positionV>
            <wp:extent cx="1724025" cy="2371725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box: Az óra dobozának azonosítója. </w:t>
      </w:r>
      <w:r w:rsidDel="00000000" w:rsidR="00000000" w:rsidRPr="00000000">
        <w:rPr>
          <w:rtl w:val="0"/>
        </w:rPr>
        <w:t xml:space="preserve">Egész szám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paper: Az órához tartozó dokumentáció azonosítója. </w:t>
      </w:r>
      <w:r w:rsidDel="00000000" w:rsidR="00000000" w:rsidRPr="00000000">
        <w:rPr>
          <w:rtl w:val="0"/>
        </w:rPr>
        <w:t xml:space="preserve">Egész szám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caseMaterialId: Az óratok anyagának azonosítója. Egész szám. Idegen kulcs.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strapMaterialId: Az óraszíj anyagának azonosítója. Egész szám. Idegen kulcs.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movementId: Az óra szerkezetének azonosítója. Egész szám. Idegen kulcs.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waterResistanceId: Az óra vízállóságának azonosítója. Egész szám Idegen kulcs.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caseDiameter: Az óratok átmérőjének megnevezése milliméterben kifejezve. Törtszám.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caseThickness: Az óratok vastagságának megnevezése milliméterben kifejezve . Törtszám.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bandWidthId: Az óraszíj szélességének azonosítója. Egész szám. Idegen kulcs.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dialMaterialId: A  számlap típusának azonosítója. Egész szám. Idegen kulcs.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281563</wp:posOffset>
            </wp:positionV>
            <wp:extent cx="1647825" cy="666750"/>
            <wp:effectExtent b="0" l="0" r="0" t="0"/>
            <wp:wrapSquare wrapText="bothSides" distB="114300" distT="114300" distL="114300" distR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id: A kép egyedi azonosítója. Egész szám. Elsődleges kulcs.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watchId: Az órákhoz tartozó mappa azonosítója. Egész szám.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imageId: Az órákhoz tartozó képek azonosítója. Szöveg.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233387</wp:posOffset>
            </wp:positionV>
            <wp:extent cx="2009775" cy="723900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brand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id: A gyártó/márka egyedi azonosítója. Egész szám. Elsődleges kulcs.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brand: A gyártó/márka neve. Szöveg.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description: A gyártó/márka leírása. Szöveg.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dialcolor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4933950</wp:posOffset>
            </wp:positionH>
            <wp:positionV relativeFrom="paragraph">
              <wp:posOffset>114300</wp:posOffset>
            </wp:positionV>
            <wp:extent cx="1571625" cy="542925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id: A számlap színének egyedi azonosítója. Egész szám. Elsődleges kulcs.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color: A szín megnevezése. Szöveg.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5267325</wp:posOffset>
            </wp:positionH>
            <wp:positionV relativeFrom="paragraph">
              <wp:posOffset>158162</wp:posOffset>
            </wp:positionV>
            <wp:extent cx="1285875" cy="523875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 gyártási dátum egyedi azonosítója. Egész szám. Elsődleges kulcs.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A gyártás dátuma. Egész szám.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4886325</wp:posOffset>
            </wp:positionH>
            <wp:positionV relativeFrom="paragraph">
              <wp:posOffset>186737</wp:posOffset>
            </wp:positionV>
            <wp:extent cx="1666875" cy="542925"/>
            <wp:effectExtent b="0" l="0" r="0" t="0"/>
            <wp:wrapSquare wrapText="bothSides" distB="114300" distT="114300" distL="114300" distR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casematerial: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Az óratok anyagának egyedi azonosítója. Egész szám. Elsődleges kulcs.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material: Az óratok anyagának megnevezése. Szöveg.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194263</wp:posOffset>
            </wp:positionV>
            <wp:extent cx="1695450" cy="504825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strapmaterial: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 Az óraszíj anyagának egyedi azonosítója. Egész szám. Elsődleges kulcs.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material:  Az óraszíj anyagának megnevezése. Szöveg. 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4772025</wp:posOffset>
            </wp:positionH>
            <wp:positionV relativeFrom="paragraph">
              <wp:posOffset>120062</wp:posOffset>
            </wp:positionV>
            <wp:extent cx="1781175" cy="476250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id: Az óra szerkezetének egyedi azonosítója. Egész szám. Elsődleges kulcs.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movement: Az óraszerkezet típusa. Szöveg.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209550</wp:posOffset>
            </wp:positionV>
            <wp:extent cx="1409700" cy="5334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waterresistance: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id: Az óra vízállóságának egyedi azonosítója. Egész szám. Elsődleges kulcs.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resistance: Az óra vízállóságának megnevezése méterben kifejezve. Egész szám.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234362</wp:posOffset>
            </wp:positionV>
            <wp:extent cx="1419225" cy="561975"/>
            <wp:effectExtent b="0" l="0" r="0" t="0"/>
            <wp:wrapSquare wrapText="bothSides" distB="114300" distT="11430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band: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id: Az óraszíj szélességének egyedi azonosítója. Egész szám. Elsődleges kulcs.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bandWidth: Az óraszíj szélességének megnevezése milliméterben kifejezve. Egész szám.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295275</wp:posOffset>
            </wp:positionV>
            <wp:extent cx="1714500" cy="542925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dialMaterial: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 számlap típusának egyedi azonosítója Egész szám. Elsődleges kulcs.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 számlap típusának megnevezése. Szöveg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 felhasználóhoz tartozó egyedi azonosító. Egész szám. Elsődleges kulcs.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188737</wp:posOffset>
            </wp:positionV>
            <wp:extent cx="1924050" cy="1533525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username: A felhasználóhoz tartozó felhasználónév. Szöveg.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password: A felhasználóhoz tartozó jelszó, melyet SHA2-ként titkosítva tárolunk. Szöveg.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name: A felhasználó teljes neve. Szöveg.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A felhasználó email címe. Szöveg.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userPhone: A felhasználó telefonszáma. Bigint.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userVerification: A felhasználó visszaigazolta-e a fiókját. Tinyint.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userAddress: A felhasználó teljes lakcíme. Irányítószám, város, utca és házszám. Amennyiben indokolt emelet, ajtó is megadható. Szöveg.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A felhasználó jogosultsági szintje. Egész szám.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newsletter: A felhasználó feliratkozott-e a hírlevelére. Tinyint.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favourite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224837</wp:posOffset>
            </wp:positionV>
            <wp:extent cx="1476375" cy="6477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id: A kedvenc egyedi azonosítója. Egész szám. Elsődleges kulcs.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userIdFK: A felhasználó azonosítója, akihez a kedvencek közé sorolt óra tartozik. Egész szám. Idegen kulcs.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productIdFK: Az óra azonosítója, amelyet a felhasználó a kedvencek közé rakott. Egész szám. Idegen kulcs.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4152900</wp:posOffset>
            </wp:positionH>
            <wp:positionV relativeFrom="paragraph">
              <wp:posOffset>133350</wp:posOffset>
            </wp:positionV>
            <wp:extent cx="2400300" cy="1590675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 rendelés egyedi azonosítója. Egész szám. Elsődleges kulcs.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userId. A rendelő azonosítója. Egész szám. Idegen kulcs.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orderDate: A rendelés leadásának időpontja/dátuma. Dátum.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shippingDate</w:t>
      </w:r>
      <w:r w:rsidDel="00000000" w:rsidR="00000000" w:rsidRPr="00000000">
        <w:rPr>
          <w:rtl w:val="0"/>
        </w:rPr>
        <w:t xml:space="preserve">: A kiszállítás időpontjának időpontja/dátuma. Dátum.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A rendelés feldolgozásának státusza.Tinyint.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paymentId:  A rendelés fizetésének módja. Tinyint.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userAddress: A rendelés pontos címe. Szöveg.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205787</wp:posOffset>
            </wp:positionV>
            <wp:extent cx="1733550" cy="828675"/>
            <wp:effectExtent b="0" l="0" r="0" t="0"/>
            <wp:wrapSquare wrapText="bothSides" distB="114300" distT="11430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orderconnbase (kapcsolótábla)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productId: A termék azonosítója. Egész szám. Elsődleges kulcs.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orderId: A rendelés azonosítója. Egész szám. Elsődleges kulcs.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 A rendelés mennyisége. Egész szám.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Relációk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Tábla neve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Tábla neve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Kapcsolat típusa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images.watchId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favourite.productIdFK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orderconnbase.productId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base.brandId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base.dialColor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dialcolor.id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base.dateId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base.caseMaterialId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casematerial.id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base.strapMaterialId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strapmaterial.id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base.movementId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movement.id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base.waterResistanceId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waterresistance.id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base.bandWidthId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basewidth.id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base.dialMaterialId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dialmaterial.id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favourite.userIdFK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 a többhöz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users.role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Egy az egyhez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orderconnbase.orderId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 API végpontok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http://localhost:8080/allwatches/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http://localhost:8080/allwatches/sort/asc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http://localhost:8080/allwatches/sort/desc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http://localhost:8080/allwatches/filter/date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://localhost:8080/allwatches/" TargetMode="External"/><Relationship Id="rId21" Type="http://schemas.openxmlformats.org/officeDocument/2006/relationships/image" Target="media/image14.png"/><Relationship Id="rId24" Type="http://schemas.openxmlformats.org/officeDocument/2006/relationships/hyperlink" Target="http://localhost:8080/allwatches/sort/desc" TargetMode="External"/><Relationship Id="rId23" Type="http://schemas.openxmlformats.org/officeDocument/2006/relationships/hyperlink" Target="http://localhost:8080/allwatches/sort/as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hyperlink" Target="http://localhost:8080/allwatches/filter/date" TargetMode="Externa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6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