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Interview test exercise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52f"/>
        </w:rPr>
        <w:drawing>
          <wp:inline distB="114300" distT="114300" distL="114300" distR="114300">
            <wp:extent cx="5731200" cy="269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color w:val="37352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52f"/>
          <w:sz w:val="30"/>
          <w:szCs w:val="30"/>
          <w:rtl w:val="0"/>
        </w:rPr>
        <w:t xml:space="preserve">01 Tech stack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color w:val="37352f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52f"/>
          <w:rtl w:val="0"/>
        </w:rPr>
        <w:t xml:space="preserve">My mentor emphasized the importance of focusing on programming concepts, algorithms, and models over frameworks or libraries. Although I'm familiar with the MERN stack and have used NEXT.js once, I can produce more professional, cleaner and more functional code in the MERN environment. Despite my familiarity with MERN, I decided to demonstrate my ability to write clean code in NEXT.js at the job interview to demonstrate versatility and competence beyond my primary framework preferences.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color w:val="37352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52f"/>
          <w:sz w:val="30"/>
          <w:szCs w:val="30"/>
          <w:rtl w:val="0"/>
        </w:rPr>
        <w:t xml:space="preserve">02 Validation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color w:val="37352f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52f"/>
          <w:rtl w:val="0"/>
        </w:rPr>
        <w:t xml:space="preserve">If users leave a mandatory field blank or type a string format into a numeric input, an error message is displayed prompting them to correct the error before proceeding. The validation process acts as a checkpoint to ensure that all input matches the expected format before users can proceed.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03 Dynamic Rendering of Employee Data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color w:val="37352f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52f"/>
          <w:rtl w:val="0"/>
        </w:rPr>
        <w:t xml:space="preserve">The CompanyForm component generates a form for entering company data and dynamically generates employee forms based on the number of employees. The data is stored locally and can be sent to a backend service. Users can easily navigate between company and employee data using the dashboard provided by the application.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24292e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30"/>
          <w:szCs w:val="30"/>
          <w:rtl w:val="0"/>
        </w:rPr>
        <w:t xml:space="preserve">04 Consequences if the user changes the number of employees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24292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rtl w:val="0"/>
        </w:rPr>
        <w:t xml:space="preserve">If users want to change the number of an employee in the company, a warning message will be displayed to warn them that the employee's details will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color w:val="37352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52f"/>
          <w:sz w:val="30"/>
          <w:szCs w:val="30"/>
          <w:rtl w:val="0"/>
        </w:rPr>
        <w:t xml:space="preserve">05 Handle PDF files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color w:val="37352f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52f"/>
          <w:rtl w:val="0"/>
        </w:rPr>
        <w:t xml:space="preserve">When employees upload their CVs, the system stores the URL in localStorage.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color w:val="37352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