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Containerisierung und Docker Compose</w:t>
      </w:r>
    </w:p>
    <w:p>
      <w:pPr>
        <w:jc w:val="center"/>
      </w:pPr>
      <w:r>
        <w:rPr>
          <w:b/>
          <w:sz w:val="24"/>
        </w:rPr>
        <w:t>Pacman DevOps-/GitOps-Abschlussprojekt</w:t>
        <w:br/>
        <w:t>Konsolidierter Gesamtprojektstand</w:t>
      </w:r>
    </w:p>
    <w:p>
      <w:pPr>
        <w:pStyle w:val="Heading1"/>
      </w:pPr>
      <w:r>
        <w:t>1. Zweck und Einordnung</w:t>
      </w:r>
    </w:p>
    <w:p>
      <w:r>
        <w:t>Dieses Dokument konsolidiert die Containerisierung und den lokalen Integrationsstack des gesamten Pacman-Projekts. Es umfasst insbesondere das reproduzierbare Pacman-Image und den Docker-Compose-Stack mit MongoDB. Die Darstellung berücksichtigt außerdem die spätere Nutzung derselben Artefakte in GitHub Actions, GHCR und Kubernetes, ohne Inhalte der nachfolgenden CI/CD- und Kubernetes-Dokumente vorwegzunehmen.</w:t>
      </w:r>
    </w:p>
    <w:p>
      <w:pPr>
        <w:pStyle w:val="Heading1"/>
      </w:pPr>
      <w:r>
        <w:t>2. Ausgangssituation und Ziel</w:t>
      </w:r>
    </w:p>
    <w:p>
      <w:r>
        <w:t>Die Codeanalyse dokumentiert als Ausgangszustand ein veraltetes Node.js-Basisimage node:boron, keinen expliziten nicht privilegierten Laufzeitbenutzer und einen unzureichend kontrollierten Build-Kontext. Für reproduzierbare Builds müssen package.json und package-lock.json konsistent sein. Die Anwendung stellt HTTP-Funktionen auf Port 8080 bereit und benötigt MongoDB für datenbankabhängige Funktionen.</w:t>
      </w:r>
    </w:p>
    <w:p>
      <w:r>
        <w:t>Der Zielzustand ist ein reproduzierbares, nicht privilegiertes Pacman-Image mit fester Node.js-Basisversion sowie ein lokaler Zwei-Service-Stack, in dem Pacman und MongoDB reproduzierbar gestartet, auf Health geprüft und mit persistenter Datenhaltung getestet werden können.</w:t>
      </w:r>
    </w:p>
    <w:p>
      <w:pPr>
        <w:pStyle w:val="Heading1"/>
      </w:pPr>
      <w:r>
        <w:t>3. Reproduzierbares Pacman-Image</w:t>
      </w:r>
    </w:p>
    <w:p>
      <w:pPr>
        <w:pStyle w:val="Heading2"/>
      </w:pPr>
      <w:r>
        <w:t>3.1 Verbindliche technische Eigenschaften</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F4E78"/>
          </w:tcPr>
          <w:p>
            <w:r>
              <w:rPr>
                <w:b/>
                <w:color w:val="FFFFFF"/>
                <w:sz w:val="16"/>
              </w:rPr>
              <w:t>Merkmal</w:t>
            </w:r>
          </w:p>
        </w:tc>
        <w:tc>
          <w:tcPr>
            <w:tcW w:type="dxa" w:w="3400"/>
            <w:shd w:fill="1F4E78"/>
          </w:tcPr>
          <w:p>
            <w:r>
              <w:rPr>
                <w:b/>
                <w:color w:val="FFFFFF"/>
                <w:sz w:val="16"/>
              </w:rPr>
              <w:t>Projektstand / Entscheidung</w:t>
            </w:r>
          </w:p>
        </w:tc>
        <w:tc>
          <w:tcPr>
            <w:tcW w:type="dxa" w:w="3400"/>
            <w:shd w:fill="1F4E78"/>
          </w:tcPr>
          <w:p>
            <w:r>
              <w:rPr>
                <w:b/>
                <w:color w:val="FFFFFF"/>
                <w:sz w:val="16"/>
              </w:rPr>
              <w:t>Nutzen</w:t>
            </w:r>
          </w:p>
        </w:tc>
      </w:tr>
      <w:tr>
        <w:tc>
          <w:tcPr>
            <w:tcW w:type="dxa" w:w="3400"/>
            <w:vAlign w:val="top"/>
          </w:tcPr>
          <w:p>
            <w:r>
              <w:rPr>
                <w:sz w:val="16"/>
              </w:rPr>
              <w:t>Basisimage</w:t>
            </w:r>
          </w:p>
        </w:tc>
        <w:tc>
          <w:tcPr>
            <w:tcW w:type="dxa" w:w="3400"/>
            <w:vAlign w:val="top"/>
          </w:tcPr>
          <w:p>
            <w:r>
              <w:rPr>
                <w:sz w:val="16"/>
              </w:rPr>
              <w:t>node:16.19.0-bullseye-slim</w:t>
            </w:r>
          </w:p>
        </w:tc>
        <w:tc>
          <w:tcPr>
            <w:tcW w:type="dxa" w:w="3400"/>
            <w:vAlign w:val="top"/>
          </w:tcPr>
          <w:p>
            <w:r>
              <w:rPr>
                <w:sz w:val="16"/>
              </w:rPr>
              <w:t>Feste Laufzeitbasis statt node:boron; reproduzierbarer Build</w:t>
            </w:r>
          </w:p>
        </w:tc>
      </w:tr>
      <w:tr>
        <w:tc>
          <w:tcPr>
            <w:tcW w:type="dxa" w:w="3400"/>
            <w:vAlign w:val="top"/>
          </w:tcPr>
          <w:p>
            <w:r>
              <w:rPr>
                <w:sz w:val="16"/>
              </w:rPr>
              <w:t>Build-Kontext</w:t>
            </w:r>
          </w:p>
        </w:tc>
        <w:tc>
          <w:tcPr>
            <w:tcW w:type="dxa" w:w="3400"/>
            <w:vAlign w:val="top"/>
          </w:tcPr>
          <w:p>
            <w:r>
              <w:rPr>
                <w:sz w:val="16"/>
              </w:rPr>
              <w:t>Lokaler Quellcode aus pacman-app; kein git clone im Docker-Build</w:t>
            </w:r>
          </w:p>
        </w:tc>
        <w:tc>
          <w:tcPr>
            <w:tcW w:type="dxa" w:w="3400"/>
            <w:vAlign w:val="top"/>
          </w:tcPr>
          <w:p>
            <w:r>
              <w:rPr>
                <w:sz w:val="16"/>
              </w:rPr>
              <w:t>Build entspricht exakt dem ausgecheckten Repository-Stand</w:t>
            </w:r>
          </w:p>
        </w:tc>
      </w:tr>
      <w:tr>
        <w:tc>
          <w:tcPr>
            <w:tcW w:type="dxa" w:w="3400"/>
            <w:vAlign w:val="top"/>
          </w:tcPr>
          <w:p>
            <w:r>
              <w:rPr>
                <w:sz w:val="16"/>
              </w:rPr>
              <w:t>Abhängigkeiten</w:t>
            </w:r>
          </w:p>
        </w:tc>
        <w:tc>
          <w:tcPr>
            <w:tcW w:type="dxa" w:w="3400"/>
            <w:vAlign w:val="top"/>
          </w:tcPr>
          <w:p>
            <w:r>
              <w:rPr>
                <w:sz w:val="16"/>
              </w:rPr>
              <w:t>package-lock.json + npm ci</w:t>
            </w:r>
          </w:p>
        </w:tc>
        <w:tc>
          <w:tcPr>
            <w:tcW w:type="dxa" w:w="3400"/>
            <w:vAlign w:val="top"/>
          </w:tcPr>
          <w:p>
            <w:r>
              <w:rPr>
                <w:sz w:val="16"/>
              </w:rPr>
              <w:t>Deterministische Installation der festgeschriebenen Paketversionen</w:t>
            </w:r>
          </w:p>
        </w:tc>
      </w:tr>
      <w:tr>
        <w:tc>
          <w:tcPr>
            <w:tcW w:type="dxa" w:w="3400"/>
            <w:vAlign w:val="top"/>
          </w:tcPr>
          <w:p>
            <w:r>
              <w:rPr>
                <w:sz w:val="16"/>
              </w:rPr>
              <w:t>Cache-Nutzung</w:t>
            </w:r>
          </w:p>
        </w:tc>
        <w:tc>
          <w:tcPr>
            <w:tcW w:type="dxa" w:w="3400"/>
            <w:vAlign w:val="top"/>
          </w:tcPr>
          <w:p>
            <w:r>
              <w:rPr>
                <w:sz w:val="16"/>
              </w:rPr>
              <w:t>Abhängigkeitsdateien vor dem restlichen Quellcode kopieren</w:t>
            </w:r>
          </w:p>
        </w:tc>
        <w:tc>
          <w:tcPr>
            <w:tcW w:type="dxa" w:w="3400"/>
            <w:vAlign w:val="top"/>
          </w:tcPr>
          <w:p>
            <w:r>
              <w:rPr>
                <w:sz w:val="16"/>
              </w:rPr>
              <w:t>Dependency-Layer kann bei unveränderten Paketdateien wiederverwendet werden</w:t>
            </w:r>
          </w:p>
        </w:tc>
      </w:tr>
      <w:tr>
        <w:tc>
          <w:tcPr>
            <w:tcW w:type="dxa" w:w="3400"/>
            <w:vAlign w:val="top"/>
          </w:tcPr>
          <w:p>
            <w:r>
              <w:rPr>
                <w:sz w:val="16"/>
              </w:rPr>
              <w:t>Laufzeitbenutzer</w:t>
            </w:r>
          </w:p>
        </w:tc>
        <w:tc>
          <w:tcPr>
            <w:tcW w:type="dxa" w:w="3400"/>
            <w:vAlign w:val="top"/>
          </w:tcPr>
          <w:p>
            <w:r>
              <w:rPr>
                <w:sz w:val="16"/>
              </w:rPr>
              <w:t>node</w:t>
            </w:r>
          </w:p>
        </w:tc>
        <w:tc>
          <w:tcPr>
            <w:tcW w:type="dxa" w:w="3400"/>
            <w:vAlign w:val="top"/>
          </w:tcPr>
          <w:p>
            <w:r>
              <w:rPr>
                <w:sz w:val="16"/>
              </w:rPr>
              <w:t>Reduziert das Schadenspotenzial gegenüber einem Root-Prozess</w:t>
            </w:r>
          </w:p>
        </w:tc>
      </w:tr>
      <w:tr>
        <w:tc>
          <w:tcPr>
            <w:tcW w:type="dxa" w:w="3400"/>
            <w:vAlign w:val="top"/>
          </w:tcPr>
          <w:p>
            <w:r>
              <w:rPr>
                <w:sz w:val="16"/>
              </w:rPr>
              <w:t>Anwendungsport</w:t>
            </w:r>
          </w:p>
        </w:tc>
        <w:tc>
          <w:tcPr>
            <w:tcW w:type="dxa" w:w="3400"/>
            <w:vAlign w:val="top"/>
          </w:tcPr>
          <w:p>
            <w:r>
              <w:rPr>
                <w:sz w:val="16"/>
              </w:rPr>
              <w:t>8080</w:t>
            </w:r>
          </w:p>
        </w:tc>
        <w:tc>
          <w:tcPr>
            <w:tcW w:type="dxa" w:w="3400"/>
            <w:vAlign w:val="top"/>
          </w:tcPr>
          <w:p>
            <w:r>
              <w:rPr>
                <w:sz w:val="16"/>
              </w:rPr>
              <w:t>Einheitlicher HTTP-Port für Container, Compose und spätere Kubernetes-Nutzung</w:t>
            </w:r>
          </w:p>
        </w:tc>
      </w:tr>
      <w:tr>
        <w:tc>
          <w:tcPr>
            <w:tcW w:type="dxa" w:w="3400"/>
            <w:vAlign w:val="top"/>
          </w:tcPr>
          <w:p>
            <w:r>
              <w:rPr>
                <w:sz w:val="16"/>
              </w:rPr>
              <w:t>Start</w:t>
            </w:r>
          </w:p>
        </w:tc>
        <w:tc>
          <w:tcPr>
            <w:tcW w:type="dxa" w:w="3400"/>
            <w:vAlign w:val="top"/>
          </w:tcPr>
          <w:p>
            <w:r>
              <w:rPr>
                <w:sz w:val="16"/>
              </w:rPr>
              <w:t>Produktionsgeeigneter Node-/npm-Start; kein nodemon</w:t>
            </w:r>
          </w:p>
        </w:tc>
        <w:tc>
          <w:tcPr>
            <w:tcW w:type="dxa" w:w="3400"/>
            <w:vAlign w:val="top"/>
          </w:tcPr>
          <w:p>
            <w:r>
              <w:rPr>
                <w:sz w:val="16"/>
              </w:rPr>
              <w:t>Kein Entwicklungs-Watcher im finalen Runtime-Container</w:t>
            </w:r>
          </w:p>
        </w:tc>
      </w:tr>
      <w:tr>
        <w:tc>
          <w:tcPr>
            <w:tcW w:type="dxa" w:w="3400"/>
            <w:vAlign w:val="top"/>
          </w:tcPr>
          <w:p>
            <w:r>
              <w:rPr>
                <w:sz w:val="16"/>
              </w:rPr>
              <w:t>Health</w:t>
            </w:r>
          </w:p>
        </w:tc>
        <w:tc>
          <w:tcPr>
            <w:tcW w:type="dxa" w:w="3400"/>
            <w:vAlign w:val="top"/>
          </w:tcPr>
          <w:p>
            <w:r>
              <w:rPr>
                <w:sz w:val="16"/>
              </w:rPr>
              <w:t>HTTP-basierte Laufzeitprüfung</w:t>
            </w:r>
          </w:p>
        </w:tc>
        <w:tc>
          <w:tcPr>
            <w:tcW w:type="dxa" w:w="3400"/>
            <w:vAlign w:val="top"/>
          </w:tcPr>
          <w:p>
            <w:r>
              <w:rPr>
                <w:sz w:val="16"/>
              </w:rPr>
              <w:t>Erkennt einen gestarteten, aber nicht funktionsfähigen Container</w:t>
            </w:r>
          </w:p>
        </w:tc>
      </w:tr>
    </w:tbl>
    <w:p/>
    <w:p>
      <w:pPr>
        <w:pStyle w:val="Heading2"/>
      </w:pPr>
      <w:r>
        <w:t>3.2 .dockerignore und Build-Kontext</w:t>
      </w:r>
    </w:p>
    <w:p>
      <w:r>
        <w:t>Die .dockerignore reduziert den Build-Kontext und verhindert, dass lokale Abhängigkeiten, Git-Metadaten, Logs oder Umgebungsdateien unnötig in den Docker-Build gelangen. Besonders .env-Dateien und andere lokale Konfigurationen dürfen nicht unbeabsichtigt Bestandteil eines Images werden. Diese Maßnahme verbessert sowohl Build-Zeit als auch Sicherheit.</w:t>
      </w:r>
    </w:p>
    <w:p>
      <w:pPr>
        <w:pStyle w:val="Heading2"/>
      </w:pPr>
      <w:r>
        <w:t>3.3 Reproduzierbarkeit und npm ci</w:t>
      </w:r>
    </w:p>
    <w:p>
      <w:r>
        <w:t>Im Projekt wird npm ci anstelle eines unkontrollierten npm install verwendet. npm ci installiert anhand der vorhandenen Lockdatei und bricht bei einer inkonsistenten package.json/package-lock.json-Kombination ab. Ein solcher Lockdatei-Fehler wurde später im Projekt bewusst als Fehlerfall nachgestellt; damit ist die Bedeutung der Lockdatei auch für die Qualitätssicherung nachvollziehbar.</w:t>
      </w:r>
    </w:p>
    <w:p>
      <w:r>
        <w:t>Ein lokaler npm-ci-Nachweis vom Projektstand zeigte die erfolgreiche Installation von 321 Paketen und Exit-Code 0. Die Ausgabe meldete gleichzeitig 15 bekannte Schwachstellen (5 moderate, 10 high). Das ist kein Installationsfehler, sondern ein Security-Befund der Legacy-Abhängigkeiten und wird getrennt von der erfolgreichen Reproduzierbarkeit bewertet.</w:t>
      </w:r>
    </w:p>
    <w:p>
      <w:pPr>
        <w:pStyle w:val="Heading1"/>
      </w:pPr>
      <w:r>
        <w:t>4. Docker-Compose-Integrationsstack</w:t>
      </w:r>
    </w:p>
    <w:p>
      <w:r>
        <w:t>Für die lokale Integration werden zwei Services verwendet: pacman und mongodb. Der Pacman-Service wird aus dem lokalen Dockerfile gebaut. MongoDB läuft mit dem festen Image mongo:4.4.30-focal. Beide Services kommunizieren über das Compose-Netzwerk; der Datenbankport 27017 wird nicht an den Windows-Host veröffentlicht.</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rPr>
          <w:tblHeader w:val="true"/>
        </w:trPr>
        <w:tc>
          <w:tcPr>
            <w:tcW w:type="dxa" w:w="1700"/>
            <w:shd w:fill="1F4E78"/>
          </w:tcPr>
          <w:p>
            <w:r>
              <w:rPr>
                <w:b/>
                <w:color w:val="FFFFFF"/>
                <w:sz w:val="16"/>
              </w:rPr>
              <w:t>Service</w:t>
            </w:r>
          </w:p>
        </w:tc>
        <w:tc>
          <w:tcPr>
            <w:tcW w:type="dxa" w:w="1700"/>
            <w:shd w:fill="1F4E78"/>
          </w:tcPr>
          <w:p>
            <w:r>
              <w:rPr>
                <w:b/>
                <w:color w:val="FFFFFF"/>
                <w:sz w:val="16"/>
              </w:rPr>
              <w:t>Image / Build</w:t>
            </w:r>
          </w:p>
        </w:tc>
        <w:tc>
          <w:tcPr>
            <w:tcW w:type="dxa" w:w="1700"/>
            <w:shd w:fill="1F4E78"/>
          </w:tcPr>
          <w:p>
            <w:r>
              <w:rPr>
                <w:b/>
                <w:color w:val="FFFFFF"/>
                <w:sz w:val="16"/>
              </w:rPr>
              <w:t>Port</w:t>
            </w:r>
          </w:p>
        </w:tc>
        <w:tc>
          <w:tcPr>
            <w:tcW w:type="dxa" w:w="1700"/>
            <w:shd w:fill="1F4E78"/>
          </w:tcPr>
          <w:p>
            <w:r>
              <w:rPr>
                <w:b/>
                <w:color w:val="FFFFFF"/>
                <w:sz w:val="16"/>
              </w:rPr>
              <w:t>Persistenz</w:t>
            </w:r>
          </w:p>
        </w:tc>
        <w:tc>
          <w:tcPr>
            <w:tcW w:type="dxa" w:w="1700"/>
            <w:shd w:fill="1F4E78"/>
          </w:tcPr>
          <w:p>
            <w:r>
              <w:rPr>
                <w:b/>
                <w:color w:val="FFFFFF"/>
                <w:sz w:val="16"/>
              </w:rPr>
              <w:t>Konfiguration</w:t>
            </w:r>
          </w:p>
        </w:tc>
        <w:tc>
          <w:tcPr>
            <w:tcW w:type="dxa" w:w="1700"/>
            <w:shd w:fill="1F4E78"/>
          </w:tcPr>
          <w:p>
            <w:r>
              <w:rPr>
                <w:b/>
                <w:color w:val="FFFFFF"/>
                <w:sz w:val="16"/>
              </w:rPr>
              <w:t>Health / Sicherheit</w:t>
            </w:r>
          </w:p>
        </w:tc>
      </w:tr>
      <w:tr>
        <w:tc>
          <w:tcPr>
            <w:tcW w:type="dxa" w:w="1700"/>
            <w:vAlign w:val="top"/>
          </w:tcPr>
          <w:p>
            <w:r>
              <w:rPr>
                <w:sz w:val="16"/>
              </w:rPr>
              <w:t>pacman</w:t>
            </w:r>
          </w:p>
        </w:tc>
        <w:tc>
          <w:tcPr>
            <w:tcW w:type="dxa" w:w="1700"/>
            <w:vAlign w:val="top"/>
          </w:tcPr>
          <w:p>
            <w:r>
              <w:rPr>
                <w:sz w:val="16"/>
              </w:rPr>
              <w:t>Build aus lokalem Dockerfile; im dokumentierten lokalen Stand als pacman-app:v1.0 bezeichnet</w:t>
            </w:r>
          </w:p>
        </w:tc>
        <w:tc>
          <w:tcPr>
            <w:tcW w:type="dxa" w:w="1700"/>
            <w:vAlign w:val="top"/>
          </w:tcPr>
          <w:p>
            <w:r>
              <w:rPr>
                <w:sz w:val="16"/>
              </w:rPr>
              <w:t>Hostzugriff auf Anwendung über Port 8080</w:t>
            </w:r>
          </w:p>
        </w:tc>
        <w:tc>
          <w:tcPr>
            <w:tcW w:type="dxa" w:w="1700"/>
            <w:vAlign w:val="top"/>
          </w:tcPr>
          <w:p>
            <w:r>
              <w:rPr>
                <w:sz w:val="16"/>
              </w:rPr>
              <w:t>keine zustandsbehaftete Anwendungsablage</w:t>
            </w:r>
          </w:p>
        </w:tc>
        <w:tc>
          <w:tcPr>
            <w:tcW w:type="dxa" w:w="1700"/>
            <w:vAlign w:val="top"/>
          </w:tcPr>
          <w:p>
            <w:r>
              <w:rPr>
                <w:sz w:val="16"/>
              </w:rPr>
              <w:t>MONGO_SERVICE_HOST=mongodb; MONGO_DATABASE=pacman; MY_MONGO_PORT=27017</w:t>
            </w:r>
          </w:p>
        </w:tc>
        <w:tc>
          <w:tcPr>
            <w:tcW w:type="dxa" w:w="1700"/>
            <w:vAlign w:val="top"/>
          </w:tcPr>
          <w:p>
            <w:r>
              <w:rPr>
                <w:sz w:val="16"/>
              </w:rPr>
              <w:t>Healthcheck; Runtime als nicht privilegierter Benutzer im finalen Image</w:t>
            </w:r>
          </w:p>
        </w:tc>
      </w:tr>
      <w:tr>
        <w:tc>
          <w:tcPr>
            <w:tcW w:type="dxa" w:w="1700"/>
            <w:vAlign w:val="top"/>
          </w:tcPr>
          <w:p>
            <w:r>
              <w:rPr>
                <w:sz w:val="16"/>
              </w:rPr>
              <w:t>mongodb</w:t>
            </w:r>
          </w:p>
        </w:tc>
        <w:tc>
          <w:tcPr>
            <w:tcW w:type="dxa" w:w="1700"/>
            <w:vAlign w:val="top"/>
          </w:tcPr>
          <w:p>
            <w:r>
              <w:rPr>
                <w:sz w:val="16"/>
              </w:rPr>
              <w:t>mongo:4.4.30-focal</w:t>
            </w:r>
          </w:p>
        </w:tc>
        <w:tc>
          <w:tcPr>
            <w:tcW w:type="dxa" w:w="1700"/>
            <w:vAlign w:val="top"/>
          </w:tcPr>
          <w:p>
            <w:r>
              <w:rPr>
                <w:sz w:val="16"/>
              </w:rPr>
              <w:t>27017 nur intern im Compose-Netzwerk; kein Host-Port</w:t>
            </w:r>
          </w:p>
        </w:tc>
        <w:tc>
          <w:tcPr>
            <w:tcW w:type="dxa" w:w="1700"/>
            <w:vAlign w:val="top"/>
          </w:tcPr>
          <w:p>
            <w:r>
              <w:rPr>
                <w:sz w:val="16"/>
              </w:rPr>
              <w:t>benanntes Volume mongodb-data nach /data/db</w:t>
            </w:r>
          </w:p>
        </w:tc>
        <w:tc>
          <w:tcPr>
            <w:tcW w:type="dxa" w:w="1700"/>
            <w:vAlign w:val="top"/>
          </w:tcPr>
          <w:p>
            <w:r>
              <w:rPr>
                <w:sz w:val="16"/>
              </w:rPr>
              <w:t>Datenbankparameter für die Anwendung; Zugangsdaten nicht in Nachweisen offenlegen</w:t>
            </w:r>
          </w:p>
        </w:tc>
        <w:tc>
          <w:tcPr>
            <w:tcW w:type="dxa" w:w="1700"/>
            <w:vAlign w:val="top"/>
          </w:tcPr>
          <w:p>
            <w:r>
              <w:rPr>
                <w:sz w:val="16"/>
              </w:rPr>
              <w:t>Datenbank-Healthcheck; keine externe Veröffentlichung des DB-Ports</w:t>
            </w:r>
          </w:p>
        </w:tc>
      </w:tr>
    </w:tbl>
    <w:p/>
    <w:p>
      <w:pPr>
        <w:pStyle w:val="Heading2"/>
      </w:pPr>
      <w:r>
        <w:t>4.1 Service-DNS und Umgebungsvariablen</w:t>
      </w:r>
    </w:p>
    <w:p>
      <w:r>
        <w:t>Pacman verwendet den Compose-Servicenamen mongodb als MONGO_SERVICE_HOST. Dadurch ist keine feste Container-IP nötig. Die dokumentierte .env.example enthält MONGO_SERVICE_HOST=mongodb, MONGO_DATABASE=pacman und MY_MONGO_PORT=27017. Konfigurationswerte werden damit von der Anwendung getrennt. Echte Zugangsdaten gehören nicht in .env.example, Git, Logs oder Screenshots.</w:t>
      </w:r>
    </w:p>
    <w:p>
      <w:pPr>
        <w:pStyle w:val="Heading2"/>
      </w:pPr>
      <w:r>
        <w:t>4.2 Healthchecks und Abhängigkeiten</w:t>
      </w:r>
    </w:p>
    <w:p>
      <w:r>
        <w:t>Für Anwendung und Datenbank sind Healthchecks Bestandteil des Ziel- und Projektkonzepts. Ein reines depends_on ersetzt keine Funktionsprüfung: Ein Prozess kann gestartet sein, obwohl der Dienst noch nicht betriebsbereit ist. Der Servicezustand wird mit docker compose ps kontrolliert; im Hauptdokument ist der Soll-/Erfolgszustand für beide Services als Up (healthy) beschrieben.</w:t>
      </w:r>
    </w:p>
    <w:p>
      <w:pPr>
        <w:pStyle w:val="Heading2"/>
      </w:pPr>
      <w:r>
        <w:t>4.3 Persistente MongoDB-Daten</w:t>
      </w:r>
    </w:p>
    <w:p>
      <w:r>
        <w:t>MongoDB verwendet das benannte Docker-Volume mongodb-data, das nach /data/db in den Container eingebunden wird. Container und Datenhaltung sind damit getrennt. Der dokumentierte Persistenztest kontrollierte das Volume, beendete den Stack mit docker compose down und startete ihn anschließend erneut. Da local-stop.sh standardmäßig keine Volumes entfernt, bleibt mongodb-data bei der Containerneuerstellung erhalten.</w:t>
      </w:r>
    </w:p>
    <w:p>
      <w:pPr>
        <w:pStyle w:val="Heading1"/>
      </w:pPr>
      <w:r>
        <w:t>5. Lokale Start-, Stop- und Testabläufe</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F4E78"/>
          </w:tcPr>
          <w:p>
            <w:r>
              <w:rPr>
                <w:b/>
                <w:color w:val="FFFFFF"/>
                <w:sz w:val="16"/>
              </w:rPr>
              <w:t>Artefakt / Befehl</w:t>
            </w:r>
          </w:p>
        </w:tc>
        <w:tc>
          <w:tcPr>
            <w:tcW w:type="dxa" w:w="3400"/>
            <w:shd w:fill="1F4E78"/>
          </w:tcPr>
          <w:p>
            <w:r>
              <w:rPr>
                <w:b/>
                <w:color w:val="FFFFFF"/>
                <w:sz w:val="16"/>
              </w:rPr>
              <w:t>Aufgabe</w:t>
            </w:r>
          </w:p>
        </w:tc>
        <w:tc>
          <w:tcPr>
            <w:tcW w:type="dxa" w:w="3400"/>
            <w:shd w:fill="1F4E78"/>
          </w:tcPr>
          <w:p>
            <w:r>
              <w:rPr>
                <w:b/>
                <w:color w:val="FFFFFF"/>
                <w:sz w:val="16"/>
              </w:rPr>
              <w:t>Bedeutung</w:t>
            </w:r>
          </w:p>
        </w:tc>
      </w:tr>
      <w:tr>
        <w:tc>
          <w:tcPr>
            <w:tcW w:type="dxa" w:w="3400"/>
            <w:vAlign w:val="top"/>
          </w:tcPr>
          <w:p>
            <w:r>
              <w:rPr>
                <w:sz w:val="16"/>
              </w:rPr>
              <w:t>scripts/local-start.sh</w:t>
            </w:r>
          </w:p>
        </w:tc>
        <w:tc>
          <w:tcPr>
            <w:tcW w:type="dxa" w:w="3400"/>
            <w:vAlign w:val="top"/>
          </w:tcPr>
          <w:p>
            <w:r>
              <w:rPr>
                <w:sz w:val="16"/>
              </w:rPr>
              <w:t>docker compose up -d und anschließende Statusausgabe</w:t>
            </w:r>
          </w:p>
        </w:tc>
        <w:tc>
          <w:tcPr>
            <w:tcW w:type="dxa" w:w="3400"/>
            <w:vAlign w:val="top"/>
          </w:tcPr>
          <w:p>
            <w:r>
              <w:rPr>
                <w:sz w:val="16"/>
              </w:rPr>
              <w:t>Standardisierter Start des vollständigen lokalen Stacks</w:t>
            </w:r>
          </w:p>
        </w:tc>
      </w:tr>
      <w:tr>
        <w:tc>
          <w:tcPr>
            <w:tcW w:type="dxa" w:w="3400"/>
            <w:vAlign w:val="top"/>
          </w:tcPr>
          <w:p>
            <w:r>
              <w:rPr>
                <w:sz w:val="16"/>
              </w:rPr>
              <w:t>scripts/local-stop.sh</w:t>
            </w:r>
          </w:p>
        </w:tc>
        <w:tc>
          <w:tcPr>
            <w:tcW w:type="dxa" w:w="3400"/>
            <w:vAlign w:val="top"/>
          </w:tcPr>
          <w:p>
            <w:r>
              <w:rPr>
                <w:sz w:val="16"/>
              </w:rPr>
              <w:t>docker compose down</w:t>
            </w:r>
          </w:p>
        </w:tc>
        <w:tc>
          <w:tcPr>
            <w:tcW w:type="dxa" w:w="3400"/>
            <w:vAlign w:val="top"/>
          </w:tcPr>
          <w:p>
            <w:r>
              <w:rPr>
                <w:sz w:val="16"/>
              </w:rPr>
              <w:t>Kontrolliertes Beenden ohne standardmäßiges Löschen der Volumes</w:t>
            </w:r>
          </w:p>
        </w:tc>
      </w:tr>
      <w:tr>
        <w:tc>
          <w:tcPr>
            <w:tcW w:type="dxa" w:w="3400"/>
            <w:vAlign w:val="top"/>
          </w:tcPr>
          <w:p>
            <w:r>
              <w:rPr>
                <w:sz w:val="16"/>
              </w:rPr>
              <w:t>docker compose config</w:t>
            </w:r>
          </w:p>
        </w:tc>
        <w:tc>
          <w:tcPr>
            <w:tcW w:type="dxa" w:w="3400"/>
            <w:vAlign w:val="top"/>
          </w:tcPr>
          <w:p>
            <w:r>
              <w:rPr>
                <w:sz w:val="16"/>
              </w:rPr>
              <w:t>Aufgelöste Compose-Konfiguration validieren</w:t>
            </w:r>
          </w:p>
        </w:tc>
        <w:tc>
          <w:tcPr>
            <w:tcW w:type="dxa" w:w="3400"/>
            <w:vAlign w:val="top"/>
          </w:tcPr>
          <w:p>
            <w:r>
              <w:rPr>
                <w:sz w:val="16"/>
              </w:rPr>
              <w:t>Frühe Erkennung von YAML-/Service-/Netzwerk-/Volume-/Variablenfehlern</w:t>
            </w:r>
          </w:p>
        </w:tc>
      </w:tr>
      <w:tr>
        <w:tc>
          <w:tcPr>
            <w:tcW w:type="dxa" w:w="3400"/>
            <w:vAlign w:val="top"/>
          </w:tcPr>
          <w:p>
            <w:r>
              <w:rPr>
                <w:sz w:val="16"/>
              </w:rPr>
              <w:t>docker compose ps</w:t>
            </w:r>
          </w:p>
        </w:tc>
        <w:tc>
          <w:tcPr>
            <w:tcW w:type="dxa" w:w="3400"/>
            <w:vAlign w:val="top"/>
          </w:tcPr>
          <w:p>
            <w:r>
              <w:rPr>
                <w:sz w:val="16"/>
              </w:rPr>
              <w:t>Status und Health der Services prüfen</w:t>
            </w:r>
          </w:p>
        </w:tc>
        <w:tc>
          <w:tcPr>
            <w:tcW w:type="dxa" w:w="3400"/>
            <w:vAlign w:val="top"/>
          </w:tcPr>
          <w:p>
            <w:r>
              <w:rPr>
                <w:sz w:val="16"/>
              </w:rPr>
              <w:t>Technischer Betriebsnachweis für Pacman und MongoDB</w:t>
            </w:r>
          </w:p>
        </w:tc>
      </w:tr>
      <w:tr>
        <w:tc>
          <w:tcPr>
            <w:tcW w:type="dxa" w:w="3400"/>
            <w:vAlign w:val="top"/>
          </w:tcPr>
          <w:p>
            <w:r>
              <w:rPr>
                <w:sz w:val="16"/>
              </w:rPr>
              <w:t>tests/smoke-test.sh</w:t>
            </w:r>
          </w:p>
        </w:tc>
        <w:tc>
          <w:tcPr>
            <w:tcW w:type="dxa" w:w="3400"/>
            <w:vAlign w:val="top"/>
          </w:tcPr>
          <w:p>
            <w:r>
              <w:rPr>
                <w:sz w:val="16"/>
              </w:rPr>
              <w:t>HTTP- und Integrationsprüfung des lokalen Stacks</w:t>
            </w:r>
          </w:p>
        </w:tc>
        <w:tc>
          <w:tcPr>
            <w:tcW w:type="dxa" w:w="3400"/>
            <w:vAlign w:val="top"/>
          </w:tcPr>
          <w:p>
            <w:r>
              <w:rPr>
                <w:sz w:val="16"/>
              </w:rPr>
              <w:t>Prüft Anwendung und datenbankabhängige Funktion; gemäß Prüfungsrahmen auch Schreiben/Lesen eines Testdatensatzes</w:t>
            </w:r>
          </w:p>
        </w:tc>
      </w:tr>
      <w:tr>
        <w:tc>
          <w:tcPr>
            <w:tcW w:type="dxa" w:w="3400"/>
            <w:vAlign w:val="top"/>
          </w:tcPr>
          <w:p>
            <w:r>
              <w:rPr>
                <w:sz w:val="16"/>
              </w:rPr>
              <w:t>docker volume inspect mongodb-data</w:t>
            </w:r>
          </w:p>
        </w:tc>
        <w:tc>
          <w:tcPr>
            <w:tcW w:type="dxa" w:w="3400"/>
            <w:vAlign w:val="top"/>
          </w:tcPr>
          <w:p>
            <w:r>
              <w:rPr>
                <w:sz w:val="16"/>
              </w:rPr>
              <w:t>Persistenzspeicher prüfen</w:t>
            </w:r>
          </w:p>
        </w:tc>
        <w:tc>
          <w:tcPr>
            <w:tcW w:type="dxa" w:w="3400"/>
            <w:vAlign w:val="top"/>
          </w:tcPr>
          <w:p>
            <w:r>
              <w:rPr>
                <w:sz w:val="16"/>
              </w:rPr>
              <w:t>Belegt Trennung von Container-Lebenszyklus und Datenhaltung</w:t>
            </w:r>
          </w:p>
        </w:tc>
      </w:tr>
    </w:tbl>
    <w:p/>
    <w:p>
      <w:pPr>
        <w:pStyle w:val="Heading1"/>
      </w:pPr>
      <w:r>
        <w:t>6. Einbindung in die CI-Pipeline</w:t>
      </w:r>
    </w:p>
    <w:p>
      <w:r>
        <w:t>Die lokale Container- und Compose-Lösung wird später als Quality Gate in GitHub Actions wiederverwendet. Der dokumentierte CI-Ablauf checkt das Repository aus, richtet Node.js 16.19.0 ein, führt npm ci aus, validiert compose.yaml mit docker compose config, startet die Integrationsumgebung und führt automatisierte Prüfungen durch. Erst danach wird das Docker-Image erstellt und im Release-Prozess in GHCR veröffentlicht.</w:t>
      </w:r>
    </w:p>
    <w:p>
      <w:r>
        <w:t>Diese Wiederverwendung ist architektonisch wichtig: Lokale Entwicklung und CI verwenden dieselben Docker-/Compose-Artefakte. Abweichungen zwischen Entwicklerrechner und Pipeline werden dadurch reduziert.</w:t>
      </w:r>
    </w:p>
    <w:p>
      <w:pPr>
        <w:pStyle w:val="Heading1"/>
      </w:pPr>
      <w:r>
        <w:t>7. Übergang von lokalem Image zu GHCR und Kubernetes</w:t>
      </w:r>
    </w:p>
    <w:p>
      <w:r>
        <w:t>Das lokal gebaute Image dient als Vorstufe des später in GHCR veröffentlichten Anwendungsimages. Für die finale Release-/GitOps-Kette ist nicht ein veränderliches latest-Tag maßgeblich, sondern eine unveränderliche Referenz auf Basis des Commit-SHA. Das GitOps-Repository referenziert den gewünschten Anwendungsstand; Argo CD synchronisiert diesen anschließend nach Kubernetes. Damit bleibt die Containerisierung aus diesem Arbeitspaket die technische Basis für CI/CD und GitOps.</w:t>
      </w:r>
    </w:p>
    <w:p>
      <w:pPr>
        <w:pStyle w:val="Heading1"/>
      </w:pPr>
      <w:r>
        <w:t>8. Security- und Qualitätsbewertung</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F4E78"/>
          </w:tcPr>
          <w:p>
            <w:r>
              <w:rPr>
                <w:b/>
                <w:color w:val="FFFFFF"/>
                <w:sz w:val="16"/>
              </w:rPr>
              <w:t>Thema</w:t>
            </w:r>
          </w:p>
        </w:tc>
        <w:tc>
          <w:tcPr>
            <w:tcW w:type="dxa" w:w="3400"/>
            <w:shd w:fill="1F4E78"/>
          </w:tcPr>
          <w:p>
            <w:r>
              <w:rPr>
                <w:b/>
                <w:color w:val="FFFFFF"/>
                <w:sz w:val="16"/>
              </w:rPr>
              <w:t>Umgesetzte / dokumentierte Maßnahme</w:t>
            </w:r>
          </w:p>
        </w:tc>
        <w:tc>
          <w:tcPr>
            <w:tcW w:type="dxa" w:w="3400"/>
            <w:shd w:fill="1F4E78"/>
          </w:tcPr>
          <w:p>
            <w:r>
              <w:rPr>
                <w:b/>
                <w:color w:val="FFFFFF"/>
                <w:sz w:val="16"/>
              </w:rPr>
              <w:t>Bewertung</w:t>
            </w:r>
          </w:p>
        </w:tc>
      </w:tr>
      <w:tr>
        <w:tc>
          <w:tcPr>
            <w:tcW w:type="dxa" w:w="3400"/>
            <w:vAlign w:val="top"/>
          </w:tcPr>
          <w:p>
            <w:r>
              <w:rPr>
                <w:sz w:val="16"/>
              </w:rPr>
              <w:t>Basisimage</w:t>
            </w:r>
          </w:p>
        </w:tc>
        <w:tc>
          <w:tcPr>
            <w:tcW w:type="dxa" w:w="3400"/>
            <w:vAlign w:val="top"/>
          </w:tcPr>
          <w:p>
            <w:r>
              <w:rPr>
                <w:sz w:val="16"/>
              </w:rPr>
              <w:t>Feste Version node:16.19.0-bullseye-slim</w:t>
            </w:r>
          </w:p>
        </w:tc>
        <w:tc>
          <w:tcPr>
            <w:tcW w:type="dxa" w:w="3400"/>
            <w:vAlign w:val="top"/>
          </w:tcPr>
          <w:p>
            <w:r>
              <w:rPr>
                <w:sz w:val="16"/>
              </w:rPr>
              <w:t>Reproduzierbarer als ein unversioniertes bzw. historisches node:boron</w:t>
            </w:r>
          </w:p>
        </w:tc>
      </w:tr>
      <w:tr>
        <w:tc>
          <w:tcPr>
            <w:tcW w:type="dxa" w:w="3400"/>
            <w:vAlign w:val="top"/>
          </w:tcPr>
          <w:p>
            <w:r>
              <w:rPr>
                <w:sz w:val="16"/>
              </w:rPr>
              <w:t>Benutzer</w:t>
            </w:r>
          </w:p>
        </w:tc>
        <w:tc>
          <w:tcPr>
            <w:tcW w:type="dxa" w:w="3400"/>
            <w:vAlign w:val="top"/>
          </w:tcPr>
          <w:p>
            <w:r>
              <w:rPr>
                <w:sz w:val="16"/>
              </w:rPr>
              <w:t>node statt Root</w:t>
            </w:r>
          </w:p>
        </w:tc>
        <w:tc>
          <w:tcPr>
            <w:tcW w:type="dxa" w:w="3400"/>
            <w:vAlign w:val="top"/>
          </w:tcPr>
          <w:p>
            <w:r>
              <w:rPr>
                <w:sz w:val="16"/>
              </w:rPr>
              <w:t>Least-Privilege-Prinzip im Container</w:t>
            </w:r>
          </w:p>
        </w:tc>
      </w:tr>
      <w:tr>
        <w:tc>
          <w:tcPr>
            <w:tcW w:type="dxa" w:w="3400"/>
            <w:vAlign w:val="top"/>
          </w:tcPr>
          <w:p>
            <w:r>
              <w:rPr>
                <w:sz w:val="16"/>
              </w:rPr>
              <w:t>Build-Kontext</w:t>
            </w:r>
          </w:p>
        </w:tc>
        <w:tc>
          <w:tcPr>
            <w:tcW w:type="dxa" w:w="3400"/>
            <w:vAlign w:val="top"/>
          </w:tcPr>
          <w:p>
            <w:r>
              <w:rPr>
                <w:sz w:val="16"/>
              </w:rPr>
              <w:t>.dockerignore</w:t>
            </w:r>
          </w:p>
        </w:tc>
        <w:tc>
          <w:tcPr>
            <w:tcW w:type="dxa" w:w="3400"/>
            <w:vAlign w:val="top"/>
          </w:tcPr>
          <w:p>
            <w:r>
              <w:rPr>
                <w:sz w:val="16"/>
              </w:rPr>
              <w:t>Reduziert unnötige und potenziell sensible Dateien</w:t>
            </w:r>
          </w:p>
        </w:tc>
      </w:tr>
      <w:tr>
        <w:tc>
          <w:tcPr>
            <w:tcW w:type="dxa" w:w="3400"/>
            <w:vAlign w:val="top"/>
          </w:tcPr>
          <w:p>
            <w:r>
              <w:rPr>
                <w:sz w:val="16"/>
              </w:rPr>
              <w:t>Dependencies</w:t>
            </w:r>
          </w:p>
        </w:tc>
        <w:tc>
          <w:tcPr>
            <w:tcW w:type="dxa" w:w="3400"/>
            <w:vAlign w:val="top"/>
          </w:tcPr>
          <w:p>
            <w:r>
              <w:rPr>
                <w:sz w:val="16"/>
              </w:rPr>
              <w:t>npm ci + Lockdatei</w:t>
            </w:r>
          </w:p>
        </w:tc>
        <w:tc>
          <w:tcPr>
            <w:tcW w:type="dxa" w:w="3400"/>
            <w:vAlign w:val="top"/>
          </w:tcPr>
          <w:p>
            <w:r>
              <w:rPr>
                <w:sz w:val="16"/>
              </w:rPr>
              <w:t>Reproduzierbarkeit; bekannte Dependency-Schwachstellen werden separat gescannt</w:t>
            </w:r>
          </w:p>
        </w:tc>
      </w:tr>
      <w:tr>
        <w:tc>
          <w:tcPr>
            <w:tcW w:type="dxa" w:w="3400"/>
            <w:vAlign w:val="top"/>
          </w:tcPr>
          <w:p>
            <w:r>
              <w:rPr>
                <w:sz w:val="16"/>
              </w:rPr>
              <w:t>MongoDB-Netzwerk</w:t>
            </w:r>
          </w:p>
        </w:tc>
        <w:tc>
          <w:tcPr>
            <w:tcW w:type="dxa" w:w="3400"/>
            <w:vAlign w:val="top"/>
          </w:tcPr>
          <w:p>
            <w:r>
              <w:rPr>
                <w:sz w:val="16"/>
              </w:rPr>
              <w:t>Kein Host-Port für 27017</w:t>
            </w:r>
          </w:p>
        </w:tc>
        <w:tc>
          <w:tcPr>
            <w:tcW w:type="dxa" w:w="3400"/>
            <w:vAlign w:val="top"/>
          </w:tcPr>
          <w:p>
            <w:r>
              <w:rPr>
                <w:sz w:val="16"/>
              </w:rPr>
              <w:t>Reduziert unnötige Angriffsfläche</w:t>
            </w:r>
          </w:p>
        </w:tc>
      </w:tr>
      <w:tr>
        <w:tc>
          <w:tcPr>
            <w:tcW w:type="dxa" w:w="3400"/>
            <w:vAlign w:val="top"/>
          </w:tcPr>
          <w:p>
            <w:r>
              <w:rPr>
                <w:sz w:val="16"/>
              </w:rPr>
              <w:t>Persistenz</w:t>
            </w:r>
          </w:p>
        </w:tc>
        <w:tc>
          <w:tcPr>
            <w:tcW w:type="dxa" w:w="3400"/>
            <w:vAlign w:val="top"/>
          </w:tcPr>
          <w:p>
            <w:r>
              <w:rPr>
                <w:sz w:val="16"/>
              </w:rPr>
              <w:t>Benanntes Volume mongodb-data</w:t>
            </w:r>
          </w:p>
        </w:tc>
        <w:tc>
          <w:tcPr>
            <w:tcW w:type="dxa" w:w="3400"/>
            <w:vAlign w:val="top"/>
          </w:tcPr>
          <w:p>
            <w:r>
              <w:rPr>
                <w:sz w:val="16"/>
              </w:rPr>
              <w:t>Daten überleben Containerneuerstellung</w:t>
            </w:r>
          </w:p>
        </w:tc>
      </w:tr>
      <w:tr>
        <w:tc>
          <w:tcPr>
            <w:tcW w:type="dxa" w:w="3400"/>
            <w:vAlign w:val="top"/>
          </w:tcPr>
          <w:p>
            <w:r>
              <w:rPr>
                <w:sz w:val="16"/>
              </w:rPr>
              <w:t>Health</w:t>
            </w:r>
          </w:p>
        </w:tc>
        <w:tc>
          <w:tcPr>
            <w:tcW w:type="dxa" w:w="3400"/>
            <w:vAlign w:val="top"/>
          </w:tcPr>
          <w:p>
            <w:r>
              <w:rPr>
                <w:sz w:val="16"/>
              </w:rPr>
              <w:t>Healthchecks für beide Services</w:t>
            </w:r>
          </w:p>
        </w:tc>
        <w:tc>
          <w:tcPr>
            <w:tcW w:type="dxa" w:w="3400"/>
            <w:vAlign w:val="top"/>
          </w:tcPr>
          <w:p>
            <w:r>
              <w:rPr>
                <w:sz w:val="16"/>
              </w:rPr>
              <w:t>Betriebsbereitschaft wird statt bloßem Prozessstart geprüft</w:t>
            </w:r>
          </w:p>
        </w:tc>
      </w:tr>
      <w:tr>
        <w:tc>
          <w:tcPr>
            <w:tcW w:type="dxa" w:w="3400"/>
            <w:vAlign w:val="top"/>
          </w:tcPr>
          <w:p>
            <w:r>
              <w:rPr>
                <w:sz w:val="16"/>
              </w:rPr>
              <w:t>Secrets</w:t>
            </w:r>
          </w:p>
        </w:tc>
        <w:tc>
          <w:tcPr>
            <w:tcW w:type="dxa" w:w="3400"/>
            <w:vAlign w:val="top"/>
          </w:tcPr>
          <w:p>
            <w:r>
              <w:rPr>
                <w:sz w:val="16"/>
              </w:rPr>
              <w:t>Keine echten Kennwörter/Tokens in Dokumentation oder Screenshots</w:t>
            </w:r>
          </w:p>
        </w:tc>
        <w:tc>
          <w:tcPr>
            <w:tcW w:type="dxa" w:w="3400"/>
            <w:vAlign w:val="top"/>
          </w:tcPr>
          <w:p>
            <w:r>
              <w:rPr>
                <w:sz w:val="16"/>
              </w:rPr>
              <w:t>Verhindert Credential-Leaks</w:t>
            </w:r>
          </w:p>
        </w:tc>
      </w:tr>
      <w:tr>
        <w:tc>
          <w:tcPr>
            <w:tcW w:type="dxa" w:w="3400"/>
            <w:vAlign w:val="top"/>
          </w:tcPr>
          <w:p>
            <w:r>
              <w:rPr>
                <w:sz w:val="16"/>
              </w:rPr>
              <w:t>Image-Referenz</w:t>
            </w:r>
          </w:p>
        </w:tc>
        <w:tc>
          <w:tcPr>
            <w:tcW w:type="dxa" w:w="3400"/>
            <w:vAlign w:val="top"/>
          </w:tcPr>
          <w:p>
            <w:r>
              <w:rPr>
                <w:sz w:val="16"/>
              </w:rPr>
              <w:t>Commit-SHA für finale Release-/GitOps-Kette</w:t>
            </w:r>
          </w:p>
        </w:tc>
        <w:tc>
          <w:tcPr>
            <w:tcW w:type="dxa" w:w="3400"/>
            <w:vAlign w:val="top"/>
          </w:tcPr>
          <w:p>
            <w:r>
              <w:rPr>
                <w:sz w:val="16"/>
              </w:rPr>
              <w:t>Unveränderliche Zuordnung von Quellcode und Image</w:t>
            </w:r>
          </w:p>
        </w:tc>
      </w:tr>
    </w:tbl>
    <w:p/>
    <w:p>
      <w:pPr>
        <w:pStyle w:val="Heading1"/>
      </w:pPr>
      <w:r>
        <w:t>9. IHK-Abgleich und Nachweisstatus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F4E78"/>
          </w:tcPr>
          <w:p>
            <w:r>
              <w:rPr>
                <w:b/>
                <w:color w:val="FFFFFF"/>
                <w:sz w:val="16"/>
              </w:rPr>
              <w:t>Prüfpunkt</w:t>
            </w:r>
          </w:p>
        </w:tc>
        <w:tc>
          <w:tcPr>
            <w:tcW w:type="dxa" w:w="3400"/>
            <w:shd w:fill="1F4E78"/>
          </w:tcPr>
          <w:p>
            <w:r>
              <w:rPr>
                <w:b/>
                <w:color w:val="FFFFFF"/>
                <w:sz w:val="16"/>
              </w:rPr>
              <w:t>Stand auf Basis der vorliegenden Daten</w:t>
            </w:r>
          </w:p>
        </w:tc>
        <w:tc>
          <w:tcPr>
            <w:tcW w:type="dxa" w:w="3400"/>
            <w:shd w:fill="1F4E78"/>
          </w:tcPr>
          <w:p>
            <w:r>
              <w:rPr>
                <w:b/>
                <w:color w:val="FFFFFF"/>
                <w:sz w:val="16"/>
              </w:rPr>
              <w:t>Nachweis / Hinweis</w:t>
            </w:r>
          </w:p>
        </w:tc>
      </w:tr>
      <w:tr>
        <w:tc>
          <w:tcPr>
            <w:tcW w:type="dxa" w:w="3400"/>
            <w:vAlign w:val="top"/>
          </w:tcPr>
          <w:p>
            <w:r>
              <w:rPr>
                <w:sz w:val="16"/>
              </w:rPr>
              <w:t>Feste Pacman-Basisversion</w:t>
            </w:r>
          </w:p>
        </w:tc>
        <w:tc>
          <w:tcPr>
            <w:tcW w:type="dxa" w:w="3400"/>
            <w:vAlign w:val="top"/>
          </w:tcPr>
          <w:p>
            <w:r>
              <w:rPr>
                <w:sz w:val="16"/>
              </w:rPr>
              <w:t>node:16.19.0-bullseye-slim dokumentiert</w:t>
            </w:r>
          </w:p>
        </w:tc>
        <w:tc>
          <w:tcPr>
            <w:tcW w:type="dxa" w:w="3400"/>
            <w:vAlign w:val="top"/>
          </w:tcPr>
          <w:p>
            <w:r>
              <w:rPr>
                <w:sz w:val="16"/>
              </w:rPr>
              <w:t>Dockerfile + image_und_build_plan.csv</w:t>
            </w:r>
          </w:p>
        </w:tc>
      </w:tr>
      <w:tr>
        <w:tc>
          <w:tcPr>
            <w:tcW w:type="dxa" w:w="3400"/>
            <w:vAlign w:val="top"/>
          </w:tcPr>
          <w:p>
            <w:r>
              <w:rPr>
                <w:sz w:val="16"/>
              </w:rPr>
              <w:t>Lokaler Quellcode im Build</w:t>
            </w:r>
          </w:p>
        </w:tc>
        <w:tc>
          <w:tcPr>
            <w:tcW w:type="dxa" w:w="3400"/>
            <w:vAlign w:val="top"/>
          </w:tcPr>
          <w:p>
            <w:r>
              <w:rPr>
                <w:sz w:val="16"/>
              </w:rPr>
              <w:t>Ziel-/Projektkonzept dokumentiert</w:t>
            </w:r>
          </w:p>
        </w:tc>
        <w:tc>
          <w:tcPr>
            <w:tcW w:type="dxa" w:w="3400"/>
            <w:vAlign w:val="top"/>
          </w:tcPr>
          <w:p>
            <w:r>
              <w:rPr>
                <w:sz w:val="16"/>
              </w:rPr>
              <w:t>Dockerfile prüfen; kein git clone</w:t>
            </w:r>
          </w:p>
        </w:tc>
      </w:tr>
      <w:tr>
        <w:tc>
          <w:tcPr>
            <w:tcW w:type="dxa" w:w="3400"/>
            <w:vAlign w:val="top"/>
          </w:tcPr>
          <w:p>
            <w:r>
              <w:rPr>
                <w:sz w:val="16"/>
              </w:rPr>
              <w:t>package-lock.json / npm ci</w:t>
            </w:r>
          </w:p>
        </w:tc>
        <w:tc>
          <w:tcPr>
            <w:tcW w:type="dxa" w:w="3400"/>
            <w:vAlign w:val="top"/>
          </w:tcPr>
          <w:p>
            <w:r>
              <w:rPr>
                <w:sz w:val="16"/>
              </w:rPr>
              <w:t>Verwendet; npm ci mit Exit-Code 0 nachgewiesen</w:t>
            </w:r>
          </w:p>
        </w:tc>
        <w:tc>
          <w:tcPr>
            <w:tcW w:type="dxa" w:w="3400"/>
            <w:vAlign w:val="top"/>
          </w:tcPr>
          <w:p>
            <w:r>
              <w:rPr>
                <w:sz w:val="16"/>
              </w:rPr>
              <w:t>package-lock.json + docker_build_nachweis.txt / Terminalnachweis</w:t>
            </w:r>
          </w:p>
        </w:tc>
      </w:tr>
      <w:tr>
        <w:tc>
          <w:tcPr>
            <w:tcW w:type="dxa" w:w="3400"/>
            <w:vAlign w:val="top"/>
          </w:tcPr>
          <w:p>
            <w:r>
              <w:rPr>
                <w:sz w:val="16"/>
              </w:rPr>
              <w:t>Nicht privilegierter Benutzer</w:t>
            </w:r>
          </w:p>
        </w:tc>
        <w:tc>
          <w:tcPr>
            <w:tcW w:type="dxa" w:w="3400"/>
            <w:vAlign w:val="top"/>
          </w:tcPr>
          <w:p>
            <w:r>
              <w:rPr>
                <w:sz w:val="16"/>
              </w:rPr>
              <w:t>node als Ziel-/Projektstand dokumentiert</w:t>
            </w:r>
          </w:p>
        </w:tc>
        <w:tc>
          <w:tcPr>
            <w:tcW w:type="dxa" w:w="3400"/>
            <w:vAlign w:val="top"/>
          </w:tcPr>
          <w:p>
            <w:r>
              <w:rPr>
                <w:sz w:val="16"/>
              </w:rPr>
              <w:t>docker inspect bzw. id im Container</w:t>
            </w:r>
          </w:p>
        </w:tc>
      </w:tr>
      <w:tr>
        <w:tc>
          <w:tcPr>
            <w:tcW w:type="dxa" w:w="3400"/>
            <w:vAlign w:val="top"/>
          </w:tcPr>
          <w:p>
            <w:r>
              <w:rPr>
                <w:sz w:val="16"/>
              </w:rPr>
              <w:t>Port / Startverfahren</w:t>
            </w:r>
          </w:p>
        </w:tc>
        <w:tc>
          <w:tcPr>
            <w:tcW w:type="dxa" w:w="3400"/>
            <w:vAlign w:val="top"/>
          </w:tcPr>
          <w:p>
            <w:r>
              <w:rPr>
                <w:sz w:val="16"/>
              </w:rPr>
              <w:t>Port 8080; kein nodemon im finalen Produktionsstart</w:t>
            </w:r>
          </w:p>
        </w:tc>
        <w:tc>
          <w:tcPr>
            <w:tcW w:type="dxa" w:w="3400"/>
            <w:vAlign w:val="top"/>
          </w:tcPr>
          <w:p>
            <w:r>
              <w:rPr>
                <w:sz w:val="16"/>
              </w:rPr>
              <w:t>Dockerfile + docker inspect</w:t>
            </w:r>
          </w:p>
        </w:tc>
      </w:tr>
      <w:tr>
        <w:tc>
          <w:tcPr>
            <w:tcW w:type="dxa" w:w="3400"/>
            <w:vAlign w:val="top"/>
          </w:tcPr>
          <w:p>
            <w:r>
              <w:rPr>
                <w:sz w:val="16"/>
              </w:rPr>
              <w:t>Image-Größe / Layer / Digest</w:t>
            </w:r>
          </w:p>
        </w:tc>
        <w:tc>
          <w:tcPr>
            <w:tcW w:type="dxa" w:w="3400"/>
            <w:vAlign w:val="top"/>
          </w:tcPr>
          <w:p>
            <w:r>
              <w:rPr>
                <w:sz w:val="16"/>
              </w:rPr>
              <w:t>Pflichtfelder des Buildplans</w:t>
            </w:r>
          </w:p>
        </w:tc>
        <w:tc>
          <w:tcPr>
            <w:tcW w:type="dxa" w:w="3400"/>
            <w:vAlign w:val="top"/>
          </w:tcPr>
          <w:p>
            <w:r>
              <w:rPr>
                <w:sz w:val="16"/>
              </w:rPr>
              <w:t>Nur als abgeschlossen werten, wenn image_und_build_plan.csv bzw. docker_build_nachweis.txt konkrete Werte enthält</w:t>
            </w:r>
          </w:p>
        </w:tc>
      </w:tr>
      <w:tr>
        <w:tc>
          <w:tcPr>
            <w:tcW w:type="dxa" w:w="3400"/>
            <w:vAlign w:val="top"/>
          </w:tcPr>
          <w:p>
            <w:r>
              <w:rPr>
                <w:sz w:val="16"/>
              </w:rPr>
              <w:t>Container-Smoke-Test</w:t>
            </w:r>
          </w:p>
        </w:tc>
        <w:tc>
          <w:tcPr>
            <w:tcW w:type="dxa" w:w="3400"/>
            <w:vAlign w:val="top"/>
          </w:tcPr>
          <w:p>
            <w:r>
              <w:rPr>
                <w:sz w:val="16"/>
              </w:rPr>
              <w:t>Im Projekt als Bestandteil der Prüfungen dokumentiert</w:t>
            </w:r>
          </w:p>
        </w:tc>
        <w:tc>
          <w:tcPr>
            <w:tcW w:type="dxa" w:w="3400"/>
            <w:vAlign w:val="top"/>
          </w:tcPr>
          <w:p>
            <w:r>
              <w:rPr>
                <w:sz w:val="16"/>
              </w:rPr>
              <w:t>Startseite und datenbankabhängigen Endpunkt im Testlog belegen</w:t>
            </w:r>
          </w:p>
        </w:tc>
      </w:tr>
      <w:tr>
        <w:tc>
          <w:tcPr>
            <w:tcW w:type="dxa" w:w="3400"/>
            <w:vAlign w:val="top"/>
          </w:tcPr>
          <w:p>
            <w:r>
              <w:rPr>
                <w:sz w:val="16"/>
              </w:rPr>
              <w:t>Compose Services</w:t>
            </w:r>
          </w:p>
        </w:tc>
        <w:tc>
          <w:tcPr>
            <w:tcW w:type="dxa" w:w="3400"/>
            <w:vAlign w:val="top"/>
          </w:tcPr>
          <w:p>
            <w:r>
              <w:rPr>
                <w:sz w:val="16"/>
              </w:rPr>
              <w:t>pacman + mongodb</w:t>
            </w:r>
          </w:p>
        </w:tc>
        <w:tc>
          <w:tcPr>
            <w:tcW w:type="dxa" w:w="3400"/>
            <w:vAlign w:val="top"/>
          </w:tcPr>
          <w:p>
            <w:r>
              <w:rPr>
                <w:sz w:val="16"/>
              </w:rPr>
              <w:t>compose.yaml / docker compose config</w:t>
            </w:r>
          </w:p>
        </w:tc>
      </w:tr>
      <w:tr>
        <w:tc>
          <w:tcPr>
            <w:tcW w:type="dxa" w:w="3400"/>
            <w:vAlign w:val="top"/>
          </w:tcPr>
          <w:p>
            <w:r>
              <w:rPr>
                <w:sz w:val="16"/>
              </w:rPr>
              <w:t>MongoDB Image</w:t>
            </w:r>
          </w:p>
        </w:tc>
        <w:tc>
          <w:tcPr>
            <w:tcW w:type="dxa" w:w="3400"/>
            <w:vAlign w:val="top"/>
          </w:tcPr>
          <w:p>
            <w:r>
              <w:rPr>
                <w:sz w:val="16"/>
              </w:rPr>
              <w:t>mongo:4.4.30-focal</w:t>
            </w:r>
          </w:p>
        </w:tc>
        <w:tc>
          <w:tcPr>
            <w:tcW w:type="dxa" w:w="3400"/>
            <w:vAlign w:val="top"/>
          </w:tcPr>
          <w:p>
            <w:r>
              <w:rPr>
                <w:sz w:val="16"/>
              </w:rPr>
              <w:t>compose.yaml</w:t>
            </w:r>
          </w:p>
        </w:tc>
      </w:tr>
      <w:tr>
        <w:tc>
          <w:tcPr>
            <w:tcW w:type="dxa" w:w="3400"/>
            <w:vAlign w:val="top"/>
          </w:tcPr>
          <w:p>
            <w:r>
              <w:rPr>
                <w:sz w:val="16"/>
              </w:rPr>
              <w:t>MongoDB Persistenz</w:t>
            </w:r>
          </w:p>
        </w:tc>
        <w:tc>
          <w:tcPr>
            <w:tcW w:type="dxa" w:w="3400"/>
            <w:vAlign w:val="top"/>
          </w:tcPr>
          <w:p>
            <w:r>
              <w:rPr>
                <w:sz w:val="16"/>
              </w:rPr>
              <w:t>mongodb-data → /data/db; Persistenztest dokumentiert</w:t>
            </w:r>
          </w:p>
        </w:tc>
        <w:tc>
          <w:tcPr>
            <w:tcW w:type="dxa" w:w="3400"/>
            <w:vAlign w:val="top"/>
          </w:tcPr>
          <w:p>
            <w:r>
              <w:rPr>
                <w:sz w:val="16"/>
              </w:rPr>
              <w:t>Volume- und Neustartnachweis</w:t>
            </w:r>
          </w:p>
        </w:tc>
      </w:tr>
      <w:tr>
        <w:tc>
          <w:tcPr>
            <w:tcW w:type="dxa" w:w="3400"/>
            <w:vAlign w:val="top"/>
          </w:tcPr>
          <w:p>
            <w:r>
              <w:rPr>
                <w:sz w:val="16"/>
              </w:rPr>
              <w:t>Nur Anwendungsport extern</w:t>
            </w:r>
          </w:p>
        </w:tc>
        <w:tc>
          <w:tcPr>
            <w:tcW w:type="dxa" w:w="3400"/>
            <w:vAlign w:val="top"/>
          </w:tcPr>
          <w:p>
            <w:r>
              <w:rPr>
                <w:sz w:val="16"/>
              </w:rPr>
              <w:t>MongoDB 27017 bleibt intern</w:t>
            </w:r>
          </w:p>
        </w:tc>
        <w:tc>
          <w:tcPr>
            <w:tcW w:type="dxa" w:w="3400"/>
            <w:vAlign w:val="top"/>
          </w:tcPr>
          <w:p>
            <w:r>
              <w:rPr>
                <w:sz w:val="16"/>
              </w:rPr>
              <w:t>docker compose config / docker compose ps</w:t>
            </w:r>
          </w:p>
        </w:tc>
      </w:tr>
      <w:tr>
        <w:tc>
          <w:tcPr>
            <w:tcW w:type="dxa" w:w="3400"/>
            <w:vAlign w:val="top"/>
          </w:tcPr>
          <w:p>
            <w:r>
              <w:rPr>
                <w:sz w:val="16"/>
              </w:rPr>
              <w:t>Healthchecks</w:t>
            </w:r>
          </w:p>
        </w:tc>
        <w:tc>
          <w:tcPr>
            <w:tcW w:type="dxa" w:w="3400"/>
            <w:vAlign w:val="top"/>
          </w:tcPr>
          <w:p>
            <w:r>
              <w:rPr>
                <w:sz w:val="16"/>
              </w:rPr>
              <w:t>Für Pacman und MongoDB dokumentiert</w:t>
            </w:r>
          </w:p>
        </w:tc>
        <w:tc>
          <w:tcPr>
            <w:tcW w:type="dxa" w:w="3400"/>
            <w:vAlign w:val="top"/>
          </w:tcPr>
          <w:p>
            <w:r>
              <w:rPr>
                <w:sz w:val="16"/>
              </w:rPr>
              <w:t>compose.yaml / docker compose ps</w:t>
            </w:r>
          </w:p>
        </w:tc>
      </w:tr>
      <w:tr>
        <w:tc>
          <w:tcPr>
            <w:tcW w:type="dxa" w:w="3400"/>
            <w:vAlign w:val="top"/>
          </w:tcPr>
          <w:p>
            <w:r>
              <w:rPr>
                <w:sz w:val="16"/>
              </w:rPr>
              <w:t>Start/Stop-Skripte</w:t>
            </w:r>
          </w:p>
        </w:tc>
        <w:tc>
          <w:tcPr>
            <w:tcW w:type="dxa" w:w="3400"/>
            <w:vAlign w:val="top"/>
          </w:tcPr>
          <w:p>
            <w:r>
              <w:rPr>
                <w:sz w:val="16"/>
              </w:rPr>
              <w:t>local-start.sh und local-stop.sh dokumentiert</w:t>
            </w:r>
          </w:p>
        </w:tc>
        <w:tc>
          <w:tcPr>
            <w:tcW w:type="dxa" w:w="3400"/>
            <w:vAlign w:val="top"/>
          </w:tcPr>
          <w:p>
            <w:r>
              <w:rPr>
                <w:sz w:val="16"/>
              </w:rPr>
              <w:t>Skripte; Stop ohne -v</w:t>
            </w:r>
          </w:p>
        </w:tc>
      </w:tr>
      <w:tr>
        <w:tc>
          <w:tcPr>
            <w:tcW w:type="dxa" w:w="3400"/>
            <w:vAlign w:val="top"/>
          </w:tcPr>
          <w:p>
            <w:r>
              <w:rPr>
                <w:sz w:val="16"/>
              </w:rPr>
              <w:t>Compose-Smoke-Test</w:t>
            </w:r>
          </w:p>
        </w:tc>
        <w:tc>
          <w:tcPr>
            <w:tcW w:type="dxa" w:w="3400"/>
            <w:vAlign w:val="top"/>
          </w:tcPr>
          <w:p>
            <w:r>
              <w:rPr>
                <w:sz w:val="16"/>
              </w:rPr>
              <w:t>tests/smoke-test.sh vorgesehen und in CI-Konzept eingebunden</w:t>
            </w:r>
          </w:p>
        </w:tc>
        <w:tc>
          <w:tcPr>
            <w:tcW w:type="dxa" w:w="3400"/>
            <w:vAlign w:val="top"/>
          </w:tcPr>
          <w:p>
            <w:r>
              <w:rPr>
                <w:sz w:val="16"/>
              </w:rPr>
              <w:t>Testlog muss HTTP sowie Schreib-/Leseprüfung nachvollziehbar zeigen</w:t>
            </w:r>
          </w:p>
        </w:tc>
      </w:tr>
      <w:tr>
        <w:tc>
          <w:tcPr>
            <w:tcW w:type="dxa" w:w="3400"/>
            <w:vAlign w:val="top"/>
          </w:tcPr>
          <w:p>
            <w:r>
              <w:rPr>
                <w:sz w:val="16"/>
              </w:rPr>
              <w:t>Bereinigte Compose-Ausgabe</w:t>
            </w:r>
          </w:p>
        </w:tc>
        <w:tc>
          <w:tcPr>
            <w:tcW w:type="dxa" w:w="3400"/>
            <w:vAlign w:val="top"/>
          </w:tcPr>
          <w:p>
            <w:r>
              <w:rPr>
                <w:sz w:val="16"/>
              </w:rPr>
              <w:t>Prüfung verbindlich</w:t>
            </w:r>
          </w:p>
        </w:tc>
        <w:tc>
          <w:tcPr>
            <w:tcW w:type="dxa" w:w="3400"/>
            <w:vAlign w:val="top"/>
          </w:tcPr>
          <w:p>
            <w:r>
              <w:rPr>
                <w:sz w:val="16"/>
              </w:rPr>
              <w:t>docker compose config ohne Secret-Werte als Nachweis archivieren</w:t>
            </w:r>
          </w:p>
        </w:tc>
      </w:tr>
    </w:tbl>
    <w:p/>
    <w:p>
      <w:pPr>
        <w:pStyle w:val="Heading1"/>
      </w:pPr>
      <w:r>
        <w:t>10. Verbindliche Begleitdateien</w:t>
      </w:r>
    </w:p>
    <w:p>
      <w:pPr>
        <w:pStyle w:val="ListBullet"/>
      </w:pPr>
      <w:r>
        <w:t>pacman-app/Dockerfile</w:t>
      </w:r>
    </w:p>
    <w:p>
      <w:pPr>
        <w:pStyle w:val="ListBullet"/>
      </w:pPr>
      <w:r>
        <w:t>pacman-app/.dockerignore</w:t>
      </w:r>
    </w:p>
    <w:p>
      <w:pPr>
        <w:pStyle w:val="ListBullet"/>
      </w:pPr>
      <w:r>
        <w:t>pacman-app/package-lock.json</w:t>
      </w:r>
    </w:p>
    <w:p>
      <w:pPr>
        <w:pStyle w:val="ListBullet"/>
      </w:pPr>
      <w:r>
        <w:t>pacman-app/compose.yaml</w:t>
      </w:r>
    </w:p>
    <w:p>
      <w:pPr>
        <w:pStyle w:val="ListBullet"/>
      </w:pPr>
      <w:r>
        <w:t>pacman-app/.env.example</w:t>
      </w:r>
    </w:p>
    <w:p>
      <w:pPr>
        <w:pStyle w:val="ListBullet"/>
      </w:pPr>
      <w:r>
        <w:t>pacman-app/tests/smoke-test.sh</w:t>
      </w:r>
    </w:p>
    <w:p>
      <w:pPr>
        <w:pStyle w:val="ListBullet"/>
      </w:pPr>
      <w:r>
        <w:t>pacman-app/scripts/local-start.sh</w:t>
      </w:r>
    </w:p>
    <w:p>
      <w:pPr>
        <w:pStyle w:val="ListBullet"/>
      </w:pPr>
      <w:r>
        <w:t>pacman-app/scripts/local-stop.sh</w:t>
      </w:r>
    </w:p>
    <w:p>
      <w:pPr>
        <w:pStyle w:val="ListBullet"/>
      </w:pPr>
      <w:r>
        <w:t>daten/image_und_build_plan.csv</w:t>
      </w:r>
    </w:p>
    <w:p>
      <w:pPr>
        <w:pStyle w:val="ListBullet"/>
      </w:pPr>
      <w:r>
        <w:t>daten/compose_serviceplan.csv</w:t>
      </w:r>
    </w:p>
    <w:p>
      <w:pPr>
        <w:pStyle w:val="ListBullet"/>
      </w:pPr>
      <w:r>
        <w:t>textdateien/docker_build_nachweis.txt</w:t>
      </w:r>
    </w:p>
    <w:p>
      <w:pPr>
        <w:pStyle w:val="ListBullet"/>
      </w:pPr>
      <w:r>
        <w:t>screenshots/04_docker_image/</w:t>
      </w:r>
    </w:p>
    <w:p>
      <w:pPr>
        <w:pStyle w:val="ListBullet"/>
      </w:pPr>
      <w:r>
        <w:t>screenshots/05_compose/</w:t>
      </w:r>
    </w:p>
    <w:p>
      <w:pPr>
        <w:pStyle w:val="Heading1"/>
      </w:pPr>
      <w:r>
        <w:t>11. Ergebnis</w:t>
      </w:r>
    </w:p>
    <w:p>
      <w:r>
        <w:t>Die Containerisierung ersetzt den historischen, wenig reproduzierbaren Ausgangszustand durch ein fest versioniertes Node.js-Image, eine Lockdatei-basierte Installation, einen nicht privilegierten Laufzeitbenutzer und einen kontrollierten Build-Kontext. Docker Compose bildet Pacman und MongoDB als reproduzierbaren lokalen Integrationsstack ab. Interne Service-Namensauflösung, Healthchecks und das persistente MongoDB-Volume schaffen eine belastbare Testbasis. Dieselben Artefakte werden in der CI wiederverwendet und bilden die Grundlage für GHCR und die spätere Kubernetes-/GitOps-Bereitstellung.</w:t>
      </w:r>
    </w:p>
    <w:p>
      <w:r>
        <w:t>Offene Pflichtwerte wie konkrete Image-Größe, Layer-/Digest-Nachweis oder ein vollständiger aktueller Smoke-Test werden in diesem Gesamtdokument bewusst nicht erfunden. Sie gelten nur dann als abgeschlossen, wenn die zugehörigen CSV-/TXT- oder Screenshot-Nachweise die Werte tatsächlich enthalten.</w:t>
      </w:r>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Pacman DevOps-Abschlussprojekt - Containerisierung und Docker Compose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Containerisierung und Docker Compose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