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Kubernetes-Architektur</w:t>
      </w:r>
    </w:p>
    <w:p>
      <w:pPr>
        <w:jc w:val="center"/>
      </w:pPr>
      <w:r>
        <w:rPr>
          <w:b/>
          <w:sz w:val="24"/>
        </w:rPr>
        <w:t>Pacman DevOps-/GitOps-Abschlussprojekt</w:t>
        <w:br/>
        <w:t>Konsolidierter Gesamtprojektstand</w:t>
      </w:r>
    </w:p>
    <w:p>
      <w:pPr>
        <w:pStyle w:val="Heading1"/>
      </w:pPr>
      <w:r>
        <w:t>1. Zweck und Einordnung</w:t>
      </w:r>
    </w:p>
    <w:p>
      <w:r>
        <w:t>Dieses Dokument beschreibt die Kubernetes-Grundarchitektur des gesamten Pacman-Projekts. Es konsolidiert die Kustomize-Struktur, die getrennten Dev-/Prod-Namespaces, Pacman Deployment und Service, MongoDB StatefulSet und Persistenz, ConfigMap/Secret sowie Ingress. Sicherheits- und Zuverlässigkeitsthemen wie Probes, SecurityContext, NetworkPolicy, HPA, PDB, LimitRange und ResourceQuota werden hier architektonisch eingeordnet und im Dokument 06_kubernetes_sicherheit_und_betrieb.docx vertieft.</w:t>
      </w:r>
    </w:p>
    <w:p>
      <w:pPr>
        <w:pStyle w:val="Heading1"/>
      </w:pPr>
      <w:r>
        <w:t>2. Zielplattform und Umgebungen</w:t>
      </w:r>
    </w:p>
    <w:p>
      <w:r>
        <w:t>Der verbindliche Projektcluster ist der lokale Kubernetes-Cluster von Docker Desktop. Minikube ist zwar auf dem Arbeitsgerät installiert, wird aber nicht als Zielcluster des Projekts verwendet. Entwicklungs- und Produktionsumgebung laufen auf demselben Cluster, sind jedoch über die Namespaces pacman-dev und pacman-prod logisch getrennt.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Bereich</w:t>
            </w:r>
          </w:p>
        </w:tc>
        <w:tc>
          <w:tcPr>
            <w:tcW w:type="dxa" w:w="3400"/>
            <w:shd w:fill="1F4E78"/>
          </w:tcPr>
          <w:p>
            <w:r>
              <w:rPr>
                <w:b/>
                <w:color w:val="FFFFFF"/>
                <w:sz w:val="16"/>
              </w:rPr>
              <w:t>Projektstand</w:t>
            </w:r>
          </w:p>
        </w:tc>
        <w:tc>
          <w:tcPr>
            <w:tcW w:type="dxa" w:w="3400"/>
            <w:shd w:fill="1F4E78"/>
          </w:tcPr>
          <w:p>
            <w:r>
              <w:rPr>
                <w:b/>
                <w:color w:val="FFFFFF"/>
                <w:sz w:val="16"/>
              </w:rPr>
              <w:t>Begründung</w:t>
            </w:r>
          </w:p>
        </w:tc>
      </w:tr>
      <w:tr>
        <w:tc>
          <w:tcPr>
            <w:tcW w:type="dxa" w:w="3400"/>
            <w:vAlign w:val="top"/>
          </w:tcPr>
          <w:p>
            <w:r>
              <w:rPr>
                <w:sz w:val="16"/>
              </w:rPr>
              <w:t>Cluster</w:t>
            </w:r>
          </w:p>
        </w:tc>
        <w:tc>
          <w:tcPr>
            <w:tcW w:type="dxa" w:w="3400"/>
            <w:vAlign w:val="top"/>
          </w:tcPr>
          <w:p>
            <w:r>
              <w:rPr>
                <w:sz w:val="16"/>
              </w:rPr>
              <w:t>Docker Desktop Kubernetes</w:t>
            </w:r>
          </w:p>
        </w:tc>
        <w:tc>
          <w:tcPr>
            <w:tcW w:type="dxa" w:w="3400"/>
            <w:vAlign w:val="top"/>
          </w:tcPr>
          <w:p>
            <w:r>
              <w:rPr>
                <w:sz w:val="16"/>
              </w:rPr>
              <w:t>Entspricht dem verbindlichen lokalen Prüfungsrahmen.</w:t>
            </w:r>
          </w:p>
        </w:tc>
      </w:tr>
      <w:tr>
        <w:tc>
          <w:tcPr>
            <w:tcW w:type="dxa" w:w="3400"/>
            <w:vAlign w:val="top"/>
          </w:tcPr>
          <w:p>
            <w:r>
              <w:rPr>
                <w:sz w:val="16"/>
              </w:rPr>
              <w:t>Kontext</w:t>
            </w:r>
          </w:p>
        </w:tc>
        <w:tc>
          <w:tcPr>
            <w:tcW w:type="dxa" w:w="3400"/>
            <w:vAlign w:val="top"/>
          </w:tcPr>
          <w:p>
            <w:r>
              <w:rPr>
                <w:sz w:val="16"/>
              </w:rPr>
              <w:t>docker-desktop</w:t>
            </w:r>
          </w:p>
        </w:tc>
        <w:tc>
          <w:tcPr>
            <w:tcW w:type="dxa" w:w="3400"/>
            <w:vAlign w:val="top"/>
          </w:tcPr>
          <w:p>
            <w:r>
              <w:rPr>
                <w:sz w:val="16"/>
              </w:rPr>
              <w:t>Aktiver Projektkontext; in der Werkzeug-/Arbeitsumgebungsprüfung dokumentiert.</w:t>
            </w:r>
          </w:p>
        </w:tc>
      </w:tr>
      <w:tr>
        <w:tc>
          <w:tcPr>
            <w:tcW w:type="dxa" w:w="3400"/>
            <w:vAlign w:val="top"/>
          </w:tcPr>
          <w:p>
            <w:r>
              <w:rPr>
                <w:sz w:val="16"/>
              </w:rPr>
              <w:t>Dev</w:t>
            </w:r>
          </w:p>
        </w:tc>
        <w:tc>
          <w:tcPr>
            <w:tcW w:type="dxa" w:w="3400"/>
            <w:vAlign w:val="top"/>
          </w:tcPr>
          <w:p>
            <w:r>
              <w:rPr>
                <w:sz w:val="16"/>
              </w:rPr>
              <w:t>Namespace pacman-dev</w:t>
            </w:r>
          </w:p>
        </w:tc>
        <w:tc>
          <w:tcPr>
            <w:tcW w:type="dxa" w:w="3400"/>
            <w:vAlign w:val="top"/>
          </w:tcPr>
          <w:p>
            <w:r>
              <w:rPr>
                <w:sz w:val="16"/>
              </w:rPr>
              <w:t>Frühe GitOps-Synchronisierung, Tests und kontrollierte Fehlerfälle.</w:t>
            </w:r>
          </w:p>
        </w:tc>
      </w:tr>
      <w:tr>
        <w:tc>
          <w:tcPr>
            <w:tcW w:type="dxa" w:w="3400"/>
            <w:vAlign w:val="top"/>
          </w:tcPr>
          <w:p>
            <w:r>
              <w:rPr>
                <w:sz w:val="16"/>
              </w:rPr>
              <w:t>Prod</w:t>
            </w:r>
          </w:p>
        </w:tc>
        <w:tc>
          <w:tcPr>
            <w:tcW w:type="dxa" w:w="3400"/>
            <w:vAlign w:val="top"/>
          </w:tcPr>
          <w:p>
            <w:r>
              <w:rPr>
                <w:sz w:val="16"/>
              </w:rPr>
              <w:t>Namespace pacman-prod</w:t>
            </w:r>
          </w:p>
        </w:tc>
        <w:tc>
          <w:tcPr>
            <w:tcW w:type="dxa" w:w="3400"/>
            <w:vAlign w:val="top"/>
          </w:tcPr>
          <w:p>
            <w:r>
              <w:rPr>
                <w:sz w:val="16"/>
              </w:rPr>
              <w:t>Getrennte Produktionskonfiguration und kontrollierte Freigabe.</w:t>
            </w:r>
          </w:p>
        </w:tc>
      </w:tr>
      <w:tr>
        <w:tc>
          <w:tcPr>
            <w:tcW w:type="dxa" w:w="3400"/>
            <w:vAlign w:val="top"/>
          </w:tcPr>
          <w:p>
            <w:r>
              <w:rPr>
                <w:sz w:val="16"/>
              </w:rPr>
              <w:t>Monitoring</w:t>
            </w:r>
          </w:p>
        </w:tc>
        <w:tc>
          <w:tcPr>
            <w:tcW w:type="dxa" w:w="3400"/>
            <w:vAlign w:val="top"/>
          </w:tcPr>
          <w:p>
            <w:r>
              <w:rPr>
                <w:sz w:val="16"/>
              </w:rPr>
              <w:t>Namespace monitoring</w:t>
            </w:r>
          </w:p>
        </w:tc>
        <w:tc>
          <w:tcPr>
            <w:tcW w:type="dxa" w:w="3400"/>
            <w:vAlign w:val="top"/>
          </w:tcPr>
          <w:p>
            <w:r>
              <w:rPr>
                <w:sz w:val="16"/>
              </w:rPr>
              <w:t>Trennung der Betriebswerkzeuge Prometheus/Grafana von den Anwendungsnamespaces.</w:t>
            </w:r>
          </w:p>
        </w:tc>
      </w:tr>
    </w:tbl>
    <w:p/>
    <w:p>
      <w:pPr>
        <w:pStyle w:val="Heading1"/>
      </w:pPr>
      <w:r>
        <w:t>3. Kustomize-Struktur und GitOps-Repository</w:t>
      </w:r>
    </w:p>
    <w:p>
      <w:r>
        <w:t>Die Kubernetes-Manifeste liegen im separaten Repository pacman-gitops. Gemeinsame Ressourcen werden unter apps/pacman/base gepflegt; umgebungsspezifische Abweichungen liegen unter apps/pacman/overlays/dev und apps/pacman/overlays/prod. Dadurch wird Konfigurationsduplizierung reduziert und Dev/Prod bleiben dennoch getrennt steuerbar.</w:t>
      </w:r>
    </w:p>
    <w:p>
      <w:r>
        <w:t>pacman-gitops/</w:t>
        <w:br/>
        <w:t>├── apps/pacman/base/</w:t>
        <w:br/>
        <w:t>├── apps/pacman/overlays/dev/</w:t>
        <w:br/>
        <w:t>├── apps/pacman/overlays/prod/</w:t>
        <w:br/>
        <w:t>├── clusters/docker-desktop/argocd/</w:t>
        <w:br/>
        <w:t>├── platform/ingress-nginx/</w:t>
        <w:br/>
        <w:t>├── platform/metrics-server/</w:t>
        <w:br/>
        <w:t>└── platform/monitoring/</w:t>
      </w:r>
    </w:p>
    <w:p>
      <w:r>
        <w:t>Die Struktur wurde mit kubectl kustomize für beide Overlays gerendert und zusätzlich mit kubectl apply --dry-run=client -k ... clientseitig validiert. Dieser Nachweis bestätigt die technische Verarbeitbarkeit der Manifeste; der spätere Betriebsnachweis erfolgt separat anhand der tatsächlich laufenden Ressourcen.</w:t>
      </w:r>
    </w:p>
    <w:p>
      <w:pPr>
        <w:pStyle w:val="Heading1"/>
      </w:pPr>
      <w:r>
        <w:t>4. Ressourcenmodell des Gesamtprojekts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Ressource</w:t>
            </w:r>
          </w:p>
        </w:tc>
        <w:tc>
          <w:tcPr>
            <w:tcW w:type="dxa" w:w="3400"/>
            <w:shd w:fill="1F4E78"/>
          </w:tcPr>
          <w:p>
            <w:r>
              <w:rPr>
                <w:b/>
                <w:color w:val="FFFFFF"/>
                <w:sz w:val="16"/>
              </w:rPr>
              <w:t>Dev/Prod-Funktion</w:t>
            </w:r>
          </w:p>
        </w:tc>
        <w:tc>
          <w:tcPr>
            <w:tcW w:type="dxa" w:w="3400"/>
            <w:shd w:fill="1F4E78"/>
          </w:tcPr>
          <w:p>
            <w:r>
              <w:rPr>
                <w:b/>
                <w:color w:val="FFFFFF"/>
                <w:sz w:val="16"/>
              </w:rPr>
              <w:t>Technischer Zusammenhang</w:t>
            </w:r>
          </w:p>
        </w:tc>
      </w:tr>
      <w:tr>
        <w:tc>
          <w:tcPr>
            <w:tcW w:type="dxa" w:w="3400"/>
            <w:vAlign w:val="top"/>
          </w:tcPr>
          <w:p>
            <w:r>
              <w:rPr>
                <w:sz w:val="16"/>
              </w:rPr>
              <w:t>Namespace</w:t>
            </w:r>
          </w:p>
        </w:tc>
        <w:tc>
          <w:tcPr>
            <w:tcW w:type="dxa" w:w="3400"/>
            <w:vAlign w:val="top"/>
          </w:tcPr>
          <w:p>
            <w:r>
              <w:rPr>
                <w:sz w:val="16"/>
              </w:rPr>
              <w:t>pacman-dev / pacman-prod</w:t>
            </w:r>
          </w:p>
        </w:tc>
        <w:tc>
          <w:tcPr>
            <w:tcW w:type="dxa" w:w="3400"/>
            <w:vAlign w:val="top"/>
          </w:tcPr>
          <w:p>
            <w:r>
              <w:rPr>
                <w:sz w:val="16"/>
              </w:rPr>
              <w:t>Logische Trennung der beiden Umgebungen.</w:t>
            </w:r>
          </w:p>
        </w:tc>
      </w:tr>
      <w:tr>
        <w:tc>
          <w:tcPr>
            <w:tcW w:type="dxa" w:w="3400"/>
            <w:vAlign w:val="top"/>
          </w:tcPr>
          <w:p>
            <w:r>
              <w:rPr>
                <w:sz w:val="16"/>
              </w:rPr>
              <w:t>Deployment pacman</w:t>
            </w:r>
          </w:p>
        </w:tc>
        <w:tc>
          <w:tcPr>
            <w:tcW w:type="dxa" w:w="3400"/>
            <w:vAlign w:val="top"/>
          </w:tcPr>
          <w:p>
            <w:r>
              <w:rPr>
                <w:sz w:val="16"/>
              </w:rPr>
              <w:t>Stateless Pacman-Anwendung</w:t>
            </w:r>
          </w:p>
        </w:tc>
        <w:tc>
          <w:tcPr>
            <w:tcW w:type="dxa" w:w="3400"/>
            <w:vAlign w:val="top"/>
          </w:tcPr>
          <w:p>
            <w:r>
              <w:rPr>
                <w:sz w:val="16"/>
              </w:rPr>
              <w:t>Verwendet GHCR-Image, Service, ConfigMap und Secret-Referenzen.</w:t>
            </w:r>
          </w:p>
        </w:tc>
      </w:tr>
      <w:tr>
        <w:tc>
          <w:tcPr>
            <w:tcW w:type="dxa" w:w="3400"/>
            <w:vAlign w:val="top"/>
          </w:tcPr>
          <w:p>
            <w:r>
              <w:rPr>
                <w:sz w:val="16"/>
              </w:rPr>
              <w:t>Service pacman</w:t>
            </w:r>
          </w:p>
        </w:tc>
        <w:tc>
          <w:tcPr>
            <w:tcW w:type="dxa" w:w="3400"/>
            <w:vAlign w:val="top"/>
          </w:tcPr>
          <w:p>
            <w:r>
              <w:rPr>
                <w:sz w:val="16"/>
              </w:rPr>
              <w:t>Stabile ClusterIP für Pacman</w:t>
            </w:r>
          </w:p>
        </w:tc>
        <w:tc>
          <w:tcPr>
            <w:tcW w:type="dxa" w:w="3400"/>
            <w:vAlign w:val="top"/>
          </w:tcPr>
          <w:p>
            <w:r>
              <w:rPr>
                <w:sz w:val="16"/>
              </w:rPr>
              <w:t>Leitet Port 80 auf den Container-Zielport 8080.</w:t>
            </w:r>
          </w:p>
        </w:tc>
      </w:tr>
      <w:tr>
        <w:tc>
          <w:tcPr>
            <w:tcW w:type="dxa" w:w="3400"/>
            <w:vAlign w:val="top"/>
          </w:tcPr>
          <w:p>
            <w:r>
              <w:rPr>
                <w:sz w:val="16"/>
              </w:rPr>
              <w:t>Ingress</w:t>
            </w:r>
          </w:p>
        </w:tc>
        <w:tc>
          <w:tcPr>
            <w:tcW w:type="dxa" w:w="3400"/>
            <w:vAlign w:val="top"/>
          </w:tcPr>
          <w:p>
            <w:r>
              <w:rPr>
                <w:sz w:val="16"/>
              </w:rPr>
              <w:t>Externer HTTP-Zugriff</w:t>
            </w:r>
          </w:p>
        </w:tc>
        <w:tc>
          <w:tcPr>
            <w:tcW w:type="dxa" w:w="3400"/>
            <w:vAlign w:val="top"/>
          </w:tcPr>
          <w:p>
            <w:r>
              <w:rPr>
                <w:sz w:val="16"/>
              </w:rPr>
              <w:t>Leitet Hostnamen der jeweiligen Umgebung an den Pacman-Service.</w:t>
            </w:r>
          </w:p>
        </w:tc>
      </w:tr>
      <w:tr>
        <w:tc>
          <w:tcPr>
            <w:tcW w:type="dxa" w:w="3400"/>
            <w:vAlign w:val="top"/>
          </w:tcPr>
          <w:p>
            <w:r>
              <w:rPr>
                <w:sz w:val="16"/>
              </w:rPr>
              <w:t>StatefulSet mongodb</w:t>
            </w:r>
          </w:p>
        </w:tc>
        <w:tc>
          <w:tcPr>
            <w:tcW w:type="dxa" w:w="3400"/>
            <w:vAlign w:val="top"/>
          </w:tcPr>
          <w:p>
            <w:r>
              <w:rPr>
                <w:sz w:val="16"/>
              </w:rPr>
              <w:t>Zustandsbehaftete MongoDB</w:t>
            </w:r>
          </w:p>
        </w:tc>
        <w:tc>
          <w:tcPr>
            <w:tcW w:type="dxa" w:w="3400"/>
            <w:vAlign w:val="top"/>
          </w:tcPr>
          <w:p>
            <w:r>
              <w:rPr>
                <w:sz w:val="16"/>
              </w:rPr>
              <w:t>Feste Identität und persistenter Datenspeicher.</w:t>
            </w:r>
          </w:p>
        </w:tc>
      </w:tr>
      <w:tr>
        <w:tc>
          <w:tcPr>
            <w:tcW w:type="dxa" w:w="3400"/>
            <w:vAlign w:val="top"/>
          </w:tcPr>
          <w:p>
            <w:r>
              <w:rPr>
                <w:sz w:val="16"/>
              </w:rPr>
              <w:t>Headless Service mongodb</w:t>
            </w:r>
          </w:p>
        </w:tc>
        <w:tc>
          <w:tcPr>
            <w:tcW w:type="dxa" w:w="3400"/>
            <w:vAlign w:val="top"/>
          </w:tcPr>
          <w:p>
            <w:r>
              <w:rPr>
                <w:sz w:val="16"/>
              </w:rPr>
              <w:t>Stabile DNS-/Netzwerkidentität</w:t>
            </w:r>
          </w:p>
        </w:tc>
        <w:tc>
          <w:tcPr>
            <w:tcW w:type="dxa" w:w="3400"/>
            <w:vAlign w:val="top"/>
          </w:tcPr>
          <w:p>
            <w:r>
              <w:rPr>
                <w:sz w:val="16"/>
              </w:rPr>
              <w:t>Unterstützt die StatefulSet-Kommunikation.</w:t>
            </w:r>
          </w:p>
        </w:tc>
      </w:tr>
      <w:tr>
        <w:tc>
          <w:tcPr>
            <w:tcW w:type="dxa" w:w="3400"/>
            <w:vAlign w:val="top"/>
          </w:tcPr>
          <w:p>
            <w:r>
              <w:rPr>
                <w:sz w:val="16"/>
              </w:rPr>
              <w:t>PVC</w:t>
            </w:r>
          </w:p>
        </w:tc>
        <w:tc>
          <w:tcPr>
            <w:tcW w:type="dxa" w:w="3400"/>
            <w:vAlign w:val="top"/>
          </w:tcPr>
          <w:p>
            <w:r>
              <w:rPr>
                <w:sz w:val="16"/>
              </w:rPr>
              <w:t>Persistenter MongoDB-Speicher</w:t>
            </w:r>
          </w:p>
        </w:tc>
        <w:tc>
          <w:tcPr>
            <w:tcW w:type="dxa" w:w="3400"/>
            <w:vAlign w:val="top"/>
          </w:tcPr>
          <w:p>
            <w:r>
              <w:rPr>
                <w:sz w:val="16"/>
              </w:rPr>
              <w:t>Daten bleiben vom Pod-Lebenszyklus getrennt.</w:t>
            </w:r>
          </w:p>
        </w:tc>
      </w:tr>
      <w:tr>
        <w:tc>
          <w:tcPr>
            <w:tcW w:type="dxa" w:w="3400"/>
            <w:vAlign w:val="top"/>
          </w:tcPr>
          <w:p>
            <w:r>
              <w:rPr>
                <w:sz w:val="16"/>
              </w:rPr>
              <w:t>ConfigMap pacman-config</w:t>
            </w:r>
          </w:p>
        </w:tc>
        <w:tc>
          <w:tcPr>
            <w:tcW w:type="dxa" w:w="3400"/>
            <w:vAlign w:val="top"/>
          </w:tcPr>
          <w:p>
            <w:r>
              <w:rPr>
                <w:sz w:val="16"/>
              </w:rPr>
              <w:t>Nicht vertrauliche MongoDB-Konfiguration</w:t>
            </w:r>
          </w:p>
        </w:tc>
        <w:tc>
          <w:tcPr>
            <w:tcW w:type="dxa" w:w="3400"/>
            <w:vAlign w:val="top"/>
          </w:tcPr>
          <w:p>
            <w:r>
              <w:rPr>
                <w:sz w:val="16"/>
              </w:rPr>
              <w:t>Host, Datenbank und Port werden vom Image getrennt.</w:t>
            </w:r>
          </w:p>
        </w:tc>
      </w:tr>
      <w:tr>
        <w:tc>
          <w:tcPr>
            <w:tcW w:type="dxa" w:w="3400"/>
            <w:vAlign w:val="top"/>
          </w:tcPr>
          <w:p>
            <w:r>
              <w:rPr>
                <w:sz w:val="16"/>
              </w:rPr>
              <w:t>Secret mongodb-credentials</w:t>
            </w:r>
          </w:p>
        </w:tc>
        <w:tc>
          <w:tcPr>
            <w:tcW w:type="dxa" w:w="3400"/>
            <w:vAlign w:val="top"/>
          </w:tcPr>
          <w:p>
            <w:r>
              <w:rPr>
                <w:sz w:val="16"/>
              </w:rPr>
              <w:t>MongoDB-Zugangsdaten</w:t>
            </w:r>
          </w:p>
        </w:tc>
        <w:tc>
          <w:tcPr>
            <w:tcW w:type="dxa" w:w="3400"/>
            <w:vAlign w:val="top"/>
          </w:tcPr>
          <w:p>
            <w:r>
              <w:rPr>
                <w:sz w:val="16"/>
              </w:rPr>
              <w:t>Pacman und MongoDB referenzieren Secret-Schlüssel; Werte bleiben außerhalb der Dokumentation.</w:t>
            </w:r>
          </w:p>
        </w:tc>
      </w:tr>
      <w:tr>
        <w:tc>
          <w:tcPr>
            <w:tcW w:type="dxa" w:w="3400"/>
            <w:vAlign w:val="top"/>
          </w:tcPr>
          <w:p>
            <w:r>
              <w:rPr>
                <w:sz w:val="16"/>
              </w:rPr>
              <w:t>Argo-CD Application</w:t>
            </w:r>
          </w:p>
        </w:tc>
        <w:tc>
          <w:tcPr>
            <w:tcW w:type="dxa" w:w="3400"/>
            <w:vAlign w:val="top"/>
          </w:tcPr>
          <w:p>
            <w:r>
              <w:rPr>
                <w:sz w:val="16"/>
              </w:rPr>
              <w:t>GitOps-Synchronisierung</w:t>
            </w:r>
          </w:p>
        </w:tc>
        <w:tc>
          <w:tcPr>
            <w:tcW w:type="dxa" w:w="3400"/>
            <w:vAlign w:val="top"/>
          </w:tcPr>
          <w:p>
            <w:r>
              <w:rPr>
                <w:sz w:val="16"/>
              </w:rPr>
              <w:t>Verknüpft Git-Sollzustand mit Zielnamespace.</w:t>
            </w:r>
          </w:p>
        </w:tc>
      </w:tr>
    </w:tbl>
    <w:p/>
    <w:p>
      <w:pPr>
        <w:pStyle w:val="Heading1"/>
      </w:pPr>
      <w:r>
        <w:t>5. Pacman Deployment</w:t>
      </w:r>
    </w:p>
    <w:p>
      <w:r>
        <w:t>Pacman wird als Kubernetes Deployment betrieben. Das Deployment ist für den zustandslosen Anwendungsteil geeignet, weil einzelne Pods ersetzt oder skaliert werden können, ohne dass Anwendungsdaten im Container-Dateisystem dauerhaft gespeichert werden müssen. Das Image stammt aus GHCR und wird im GitOps-Overlay auf einen konkreten Commit-SHA-Stand gesetzt.</w:t>
      </w:r>
    </w:p>
    <w:p>
      <w:r>
        <w:t>Ein späterer technischer Nachweis zeigte im Namespace pacman-dev das Image ghcr.io/isangare-ux/pacman-app:a4c49abd81d9f5c4472b90110cb3fca5ae0348c2. Derselbe Nachweis zeigte einen Pacman-Pod im Zustand Running, Ready=true und mit 0 Restarts. Dieser Wert wird als konkreter Dev-Nachweis verwendet, nicht als pauschale Aussage für jeden früheren Projektzeitpunkt.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F4E78"/>
          </w:tcPr>
          <w:p>
            <w:r>
              <w:rPr>
                <w:b/>
                <w:color w:val="FFFFFF"/>
                <w:sz w:val="16"/>
              </w:rPr>
              <w:t>Deployment-Aspekt</w:t>
            </w:r>
          </w:p>
        </w:tc>
        <w:tc>
          <w:tcPr>
            <w:tcW w:type="dxa" w:w="5100"/>
            <w:shd w:fill="1F4E78"/>
          </w:tcPr>
          <w:p>
            <w:r>
              <w:rPr>
                <w:b/>
                <w:color w:val="FFFFFF"/>
                <w:sz w:val="16"/>
              </w:rPr>
              <w:t>Projektkonzept / nachgewiesener Stand</w:t>
            </w:r>
          </w:p>
        </w:tc>
      </w:tr>
      <w:tr>
        <w:tc>
          <w:tcPr>
            <w:tcW w:type="dxa" w:w="5100"/>
            <w:vAlign w:val="top"/>
          </w:tcPr>
          <w:p>
            <w:r>
              <w:rPr>
                <w:sz w:val="16"/>
              </w:rPr>
              <w:t>Container-Port</w:t>
            </w:r>
          </w:p>
        </w:tc>
        <w:tc>
          <w:tcPr>
            <w:tcW w:type="dxa" w:w="5100"/>
            <w:vAlign w:val="top"/>
          </w:tcPr>
          <w:p>
            <w:r>
              <w:rPr>
                <w:sz w:val="16"/>
              </w:rPr>
              <w:t>8080</w:t>
            </w:r>
          </w:p>
        </w:tc>
      </w:tr>
      <w:tr>
        <w:tc>
          <w:tcPr>
            <w:tcW w:type="dxa" w:w="5100"/>
            <w:vAlign w:val="top"/>
          </w:tcPr>
          <w:p>
            <w:r>
              <w:rPr>
                <w:sz w:val="16"/>
              </w:rPr>
              <w:t>Image-Strategie</w:t>
            </w:r>
          </w:p>
        </w:tc>
        <w:tc>
          <w:tcPr>
            <w:tcW w:type="dxa" w:w="5100"/>
            <w:vAlign w:val="top"/>
          </w:tcPr>
          <w:p>
            <w:r>
              <w:rPr>
                <w:sz w:val="16"/>
              </w:rPr>
              <w:t>GHCR + unveränderliche Commit-SHA-Referenz</w:t>
            </w:r>
          </w:p>
        </w:tc>
      </w:tr>
      <w:tr>
        <w:tc>
          <w:tcPr>
            <w:tcW w:type="dxa" w:w="5100"/>
            <w:vAlign w:val="top"/>
          </w:tcPr>
          <w:p>
            <w:r>
              <w:rPr>
                <w:sz w:val="16"/>
              </w:rPr>
              <w:t>Dev-Nachweis</w:t>
            </w:r>
          </w:p>
        </w:tc>
        <w:tc>
          <w:tcPr>
            <w:tcW w:type="dxa" w:w="5100"/>
            <w:vAlign w:val="top"/>
          </w:tcPr>
          <w:p>
            <w:r>
              <w:rPr>
                <w:sz w:val="16"/>
              </w:rPr>
              <w:t>Image a4c49abd81d9f5c4472b90110cb3fca5ae0348c2; Pod Running/Ready, 0 Restarts</w:t>
            </w:r>
          </w:p>
        </w:tc>
      </w:tr>
      <w:tr>
        <w:tc>
          <w:tcPr>
            <w:tcW w:type="dxa" w:w="5100"/>
            <w:vAlign w:val="top"/>
          </w:tcPr>
          <w:p>
            <w:r>
              <w:rPr>
                <w:sz w:val="16"/>
              </w:rPr>
              <w:t>Konfiguration</w:t>
            </w:r>
          </w:p>
        </w:tc>
        <w:tc>
          <w:tcPr>
            <w:tcW w:type="dxa" w:w="5100"/>
            <w:vAlign w:val="top"/>
          </w:tcPr>
          <w:p>
            <w:r>
              <w:rPr>
                <w:sz w:val="16"/>
              </w:rPr>
              <w:t>Nicht vertrauliche Werte aus pacman-config</w:t>
            </w:r>
          </w:p>
        </w:tc>
      </w:tr>
      <w:tr>
        <w:tc>
          <w:tcPr>
            <w:tcW w:type="dxa" w:w="5100"/>
            <w:vAlign w:val="top"/>
          </w:tcPr>
          <w:p>
            <w:r>
              <w:rPr>
                <w:sz w:val="16"/>
              </w:rPr>
              <w:t>Zugangsdaten</w:t>
            </w:r>
          </w:p>
        </w:tc>
        <w:tc>
          <w:tcPr>
            <w:tcW w:type="dxa" w:w="5100"/>
            <w:vAlign w:val="top"/>
          </w:tcPr>
          <w:p>
            <w:r>
              <w:rPr>
                <w:sz w:val="16"/>
              </w:rPr>
              <w:t>MONGO_AUTH_USER und MONGO_AUTH_PWD über mongodb-credentials</w:t>
            </w:r>
          </w:p>
        </w:tc>
      </w:tr>
      <w:tr>
        <w:tc>
          <w:tcPr>
            <w:tcW w:type="dxa" w:w="5100"/>
            <w:vAlign w:val="top"/>
          </w:tcPr>
          <w:p>
            <w:r>
              <w:rPr>
                <w:sz w:val="16"/>
              </w:rPr>
              <w:t>Updates</w:t>
            </w:r>
          </w:p>
        </w:tc>
        <w:tc>
          <w:tcPr>
            <w:tcW w:type="dxa" w:w="5100"/>
            <w:vAlign w:val="top"/>
          </w:tcPr>
          <w:p>
            <w:r>
              <w:rPr>
                <w:sz w:val="16"/>
              </w:rPr>
              <w:t>RollingUpdate; konkreter Ablauf/Nachweis wird mit Betriebs-/Zuverlässigkeitsdaten bewertet</w:t>
            </w:r>
          </w:p>
        </w:tc>
      </w:tr>
      <w:tr>
        <w:tc>
          <w:tcPr>
            <w:tcW w:type="dxa" w:w="5100"/>
            <w:vAlign w:val="top"/>
          </w:tcPr>
          <w:p>
            <w:r>
              <w:rPr>
                <w:sz w:val="16"/>
              </w:rPr>
              <w:t>Skalierung</w:t>
            </w:r>
          </w:p>
        </w:tc>
        <w:tc>
          <w:tcPr>
            <w:tcW w:type="dxa" w:w="5100"/>
            <w:vAlign w:val="top"/>
          </w:tcPr>
          <w:p>
            <w:r>
              <w:rPr>
                <w:sz w:val="16"/>
              </w:rPr>
              <w:t>HPA-fähig; ein dokumentierter Dev-Stand zeigte 1 aktuelle Replica</w:t>
            </w:r>
          </w:p>
        </w:tc>
      </w:tr>
    </w:tbl>
    <w:p/>
    <w:p>
      <w:pPr>
        <w:pStyle w:val="Heading1"/>
      </w:pPr>
      <w:r>
        <w:t>6. Pacman Service und interne Erreichbarkeit</w:t>
      </w:r>
    </w:p>
    <w:p>
      <w:r>
        <w:t>Der Pacman-Service stellt eine stabile ClusterIP vor den austauschbaren Deployment-Pods bereit. Ein realer Nachweis aus dem Fehler-/Nachtestbereich zeigte PORT=80 und TARGETPORT=8080. Ein temporärer curl-Testpod rief http://pacman/ im Namespace pacman-dev auf und erhielt HTTP 200. Damit sind Service-Routing und Anwendungsantwort für diesen Nachtest belegt.</w:t>
      </w:r>
    </w:p>
    <w:p>
      <w:r>
        <w:t>Der kontrollierte Fehlerfall F04 setzte zuvor absichtlich einen falschen Service-targetPort. Der Fehler-Commit d5e0f9e wurde durch Fix-Commit d6b8339 korrigiert. Der anschließende HTTP-200-Nachtest zeigt fachlich, warum Service-Port, targetPort und Container-Port gemeinsam geprüft werden müssen.</w:t>
      </w:r>
    </w:p>
    <w:p>
      <w:pPr>
        <w:pStyle w:val="Heading1"/>
      </w:pPr>
      <w:r>
        <w:t>7. Ingress und externer Zugriff</w:t>
      </w:r>
    </w:p>
    <w:p>
      <w:r>
        <w:t>Der Ingress bildet die externe HTTP-Schicht vor dem Pacman-Service. Der Projektaufbau sieht getrennte Hostnamen für Dev und Prod vor; in der Prüfungs-/Demo-Vorgabe werden pacman-dev.local und pacman.local verwendet. Der Ingress-Controller läuft als Plattformkomponente im lokalen Cluster. Ingress → Service → Pacman-Pod ist damit die vorgesehene Request-Kette.</w:t>
      </w:r>
    </w:p>
    <w:p>
      <w:r>
        <w:t>Ein HTTP-502-/Routingfehler kann sowohl aus Ingress-Konfiguration als auch aus einem nicht erreichbaren Service-Backend resultieren. Im Projekt wurde der Service-targetPort als kontrollierter Fehlerfall praktisch untersucht.</w:t>
      </w:r>
    </w:p>
    <w:p>
      <w:pPr>
        <w:pStyle w:val="Heading1"/>
      </w:pPr>
      <w:r>
        <w:t>8. MongoDB StatefulSet und Headless Service</w:t>
      </w:r>
    </w:p>
    <w:p>
      <w:r>
        <w:t>MongoDB wird mit dem festen Image mongo:4.4.30-focal als StatefulSet betrieben. Im Gegensatz zum Pacman Deployment benötigt die Datenbank eine stabile Identität und persistenten Speicher. Der Headless Service mongodb stellt die stabile interne Netzwerkidentität bereit. Für die Anwendung ist mongodb gleichzeitig der dokumentierte Datenbank-Hostname.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F4E78"/>
          </w:tcPr>
          <w:p>
            <w:r>
              <w:rPr>
                <w:b/>
                <w:color w:val="FFFFFF"/>
                <w:sz w:val="16"/>
              </w:rPr>
              <w:t>Merkmal</w:t>
            </w:r>
          </w:p>
        </w:tc>
        <w:tc>
          <w:tcPr>
            <w:tcW w:type="dxa" w:w="5100"/>
            <w:shd w:fill="1F4E78"/>
          </w:tcPr>
          <w:p>
            <w:r>
              <w:rPr>
                <w:b/>
                <w:color w:val="FFFFFF"/>
                <w:sz w:val="16"/>
              </w:rPr>
              <w:t>Projektvorgabe / Projektstand</w:t>
            </w:r>
          </w:p>
        </w:tc>
      </w:tr>
      <w:tr>
        <w:tc>
          <w:tcPr>
            <w:tcW w:type="dxa" w:w="5100"/>
            <w:vAlign w:val="top"/>
          </w:tcPr>
          <w:p>
            <w:r>
              <w:rPr>
                <w:sz w:val="16"/>
              </w:rPr>
              <w:t>Workload</w:t>
            </w:r>
          </w:p>
        </w:tc>
        <w:tc>
          <w:tcPr>
            <w:tcW w:type="dxa" w:w="5100"/>
            <w:vAlign w:val="top"/>
          </w:tcPr>
          <w:p>
            <w:r>
              <w:rPr>
                <w:sz w:val="16"/>
              </w:rPr>
              <w:t>StatefulSet mongodb</w:t>
            </w:r>
          </w:p>
        </w:tc>
      </w:tr>
      <w:tr>
        <w:tc>
          <w:tcPr>
            <w:tcW w:type="dxa" w:w="5100"/>
            <w:vAlign w:val="top"/>
          </w:tcPr>
          <w:p>
            <w:r>
              <w:rPr>
                <w:sz w:val="16"/>
              </w:rPr>
              <w:t>Replikation im Prüfungsumfang</w:t>
            </w:r>
          </w:p>
        </w:tc>
        <w:tc>
          <w:tcPr>
            <w:tcW w:type="dxa" w:w="5100"/>
            <w:vAlign w:val="top"/>
          </w:tcPr>
          <w:p>
            <w:r>
              <w:rPr>
                <w:sz w:val="16"/>
              </w:rPr>
              <w:t>Eine MongoDB-Replik je Umgebung</w:t>
            </w:r>
          </w:p>
        </w:tc>
      </w:tr>
      <w:tr>
        <w:tc>
          <w:tcPr>
            <w:tcW w:type="dxa" w:w="5100"/>
            <w:vAlign w:val="top"/>
          </w:tcPr>
          <w:p>
            <w:r>
              <w:rPr>
                <w:sz w:val="16"/>
              </w:rPr>
              <w:t>Image</w:t>
            </w:r>
          </w:p>
        </w:tc>
        <w:tc>
          <w:tcPr>
            <w:tcW w:type="dxa" w:w="5100"/>
            <w:vAlign w:val="top"/>
          </w:tcPr>
          <w:p>
            <w:r>
              <w:rPr>
                <w:sz w:val="16"/>
              </w:rPr>
              <w:t>mongo:4.4.30-focal</w:t>
            </w:r>
          </w:p>
        </w:tc>
      </w:tr>
      <w:tr>
        <w:tc>
          <w:tcPr>
            <w:tcW w:type="dxa" w:w="5100"/>
            <w:vAlign w:val="top"/>
          </w:tcPr>
          <w:p>
            <w:r>
              <w:rPr>
                <w:sz w:val="16"/>
              </w:rPr>
              <w:t>Service</w:t>
            </w:r>
          </w:p>
        </w:tc>
        <w:tc>
          <w:tcPr>
            <w:tcW w:type="dxa" w:w="5100"/>
            <w:vAlign w:val="top"/>
          </w:tcPr>
          <w:p>
            <w:r>
              <w:rPr>
                <w:sz w:val="16"/>
              </w:rPr>
              <w:t>Headless Service mongodb</w:t>
            </w:r>
          </w:p>
        </w:tc>
      </w:tr>
      <w:tr>
        <w:tc>
          <w:tcPr>
            <w:tcW w:type="dxa" w:w="5100"/>
            <w:vAlign w:val="top"/>
          </w:tcPr>
          <w:p>
            <w:r>
              <w:rPr>
                <w:sz w:val="16"/>
              </w:rPr>
              <w:t>Datenbank</w:t>
            </w:r>
          </w:p>
        </w:tc>
        <w:tc>
          <w:tcPr>
            <w:tcW w:type="dxa" w:w="5100"/>
            <w:vAlign w:val="top"/>
          </w:tcPr>
          <w:p>
            <w:r>
              <w:rPr>
                <w:sz w:val="16"/>
              </w:rPr>
              <w:t>pacman</w:t>
            </w:r>
          </w:p>
        </w:tc>
      </w:tr>
      <w:tr>
        <w:tc>
          <w:tcPr>
            <w:tcW w:type="dxa" w:w="5100"/>
            <w:vAlign w:val="top"/>
          </w:tcPr>
          <w:p>
            <w:r>
              <w:rPr>
                <w:sz w:val="16"/>
              </w:rPr>
              <w:t>Anwendungsbenutzer</w:t>
            </w:r>
          </w:p>
        </w:tc>
        <w:tc>
          <w:tcPr>
            <w:tcW w:type="dxa" w:w="5100"/>
            <w:vAlign w:val="top"/>
          </w:tcPr>
          <w:p>
            <w:r>
              <w:rPr>
                <w:sz w:val="16"/>
              </w:rPr>
              <w:t>Dedizierter App-Benutzer; Root-Zugang nicht für Pacman verwenden</w:t>
            </w:r>
          </w:p>
        </w:tc>
      </w:tr>
      <w:tr>
        <w:tc>
          <w:tcPr>
            <w:tcW w:type="dxa" w:w="5100"/>
            <w:vAlign w:val="top"/>
          </w:tcPr>
          <w:p>
            <w:r>
              <w:rPr>
                <w:sz w:val="16"/>
              </w:rPr>
              <w:t>Initialisierung</w:t>
            </w:r>
          </w:p>
        </w:tc>
        <w:tc>
          <w:tcPr>
            <w:tcW w:type="dxa" w:w="5100"/>
            <w:vAlign w:val="top"/>
          </w:tcPr>
          <w:p>
            <w:r>
              <w:rPr>
                <w:sz w:val="16"/>
              </w:rPr>
              <w:t>Init-Konfiguration liest Zugangsdaten aus Umgebungsvariablen; keine Klartextkennwörter im Skript</w:t>
            </w:r>
          </w:p>
        </w:tc>
      </w:tr>
      <w:tr>
        <w:tc>
          <w:tcPr>
            <w:tcW w:type="dxa" w:w="5100"/>
            <w:vAlign w:val="top"/>
          </w:tcPr>
          <w:p>
            <w:r>
              <w:rPr>
                <w:sz w:val="16"/>
              </w:rPr>
              <w:t>Speicher</w:t>
            </w:r>
          </w:p>
        </w:tc>
        <w:tc>
          <w:tcPr>
            <w:tcW w:type="dxa" w:w="5100"/>
            <w:vAlign w:val="top"/>
          </w:tcPr>
          <w:p>
            <w:r>
              <w:rPr>
                <w:sz w:val="16"/>
              </w:rPr>
              <w:t>PVC / VolumeClaimTemplate bzw. fachlich gleichwertige persistente Lösung</w:t>
            </w:r>
          </w:p>
        </w:tc>
      </w:tr>
    </w:tbl>
    <w:p/>
    <w:p>
      <w:pPr>
        <w:pStyle w:val="Heading1"/>
      </w:pPr>
      <w:r>
        <w:t>9. Persistenz und Datenlebenszyklus</w:t>
      </w:r>
    </w:p>
    <w:p>
      <w:r>
        <w:t>MongoDB-Daten dürfen nicht vom Lebenszyklus eines Pods abhängen. Deshalb wird der Datenpfad über einen PersistentVolumeClaim gesichert. Die Projektanforderung sieht Persistenztests nach Pod-Löschung, StatefulSet-Neustart und Anwendungsupdate vor. Zusätzlich existieren Backup- und Restore-Verfahren, die im Betriebsdokument 08_monitoring_backup_restore.docx vertieft werden.</w:t>
      </w:r>
    </w:p>
    <w:p>
      <w:r>
        <w:t>Ein kontrollierter AP28-Fehlerfall setzte das MongoDB-Datenvolume absichtlich schreibgeschützt. Fehler-Commit dca37fe und Fix-Commit dbe2b93 dokumentieren die Wiederherstellung eines beschreibbaren Datenmounts. Dieser Fall belegt die Bedeutung korrekter Volume-Mount-Eigenschaften für den Datenbankstart.</w:t>
      </w:r>
    </w:p>
    <w:p>
      <w:pPr>
        <w:pStyle w:val="Heading1"/>
      </w:pPr>
      <w:r>
        <w:t>10. ConfigMap und Secrets</w:t>
      </w:r>
    </w:p>
    <w:p>
      <w:r>
        <w:t>Nicht vertrauliche Verbindungsparameter werden in der ConfigMap pacman-config abgelegt. Dazu gehören Datenbank-Host, Datenbankname und Port. Sensible Zugangsdaten werden dagegen über das Kubernetes Secret mongodb-credentials bereitgestellt.</w:t>
      </w:r>
    </w:p>
    <w:p>
      <w:r>
        <w:t>Das Secret wurde in pacman-dev und pacman-prod als Typ Opaque mit vier Datenfeldern nachgewiesen. Bei der Prüfung wurden ausschließlich die Schlüsselnamen app-password, app-username, root-password und root-username ausgegeben; die eigentlichen Werte wurden bewusst nicht angezeigt. Im Deployment wurden für den Anwendungszugriff konkret MONGO_AUTH_USER → mongodb-credentials/app-username und MONGO_AUTH_PWD → mongodb-credentials/app-password nachgewiesen.</w:t>
      </w:r>
    </w:p>
    <w:p>
      <w:r>
        <w:t>Der erfolgreiche F05-Nachtest rief anschließend den datenbankabhängigen Endpunkt /highscores/list über den Pacman-Service auf und erhielt HTTP 200. Damit sind korrekte Secret-Referenz und funktionsfähiger Datenbankzugriff für diesen Nachtest belegt.</w:t>
      </w:r>
    </w:p>
    <w:p>
      <w:pPr>
        <w:pStyle w:val="Heading1"/>
      </w:pPr>
      <w:r>
        <w:t>11. Zuverlässigkeit und Skalierung – architektonische Einordnung</w:t>
      </w:r>
    </w:p>
    <w:p>
      <w:r>
        <w:t>Startup-, Readiness- und Liveness-Probes, Ressourcenanforderungen, SecurityContext, HPA, PDB, NetworkPolicies, LimitRange und ResourceQuota gehören zum verbindlichen Gesamtprojekt. Sie beeinflussen die Kubernetes-Architektur, werden aber im Dokument 06_kubernetes_sicherheit_und_betrieb.docx detailliert begründet und nachgewiesen.</w:t>
      </w:r>
    </w:p>
    <w:p>
      <w:r>
        <w:t>Aus dem realen Dev-Stand sind bereits konkrete Betriebsdaten vorhanden: Die Liveness-Probe verwendete nach dem Fix wieder den Pfad '/', der Pacman-Pod war Running und Ready bei 0 Restarts. Der HPA zeigte cpu: 5%/60%, MINPODS=1, MAXPODS=3 und eine aktuelle Replica. Für HPA-verwaltete Replicas wurde in Argo CD ignoreDifferences auf /spec/replicas konfiguriert, damit GitOps und Autoscaling nicht gegeneinander arbeiten.</w:t>
      </w:r>
    </w:p>
    <w:p>
      <w:pPr>
        <w:pStyle w:val="Heading1"/>
      </w:pPr>
      <w:r>
        <w:t>12. GitOps- und Argo-CD-Einbindung</w:t>
      </w:r>
    </w:p>
    <w:p>
      <w:r>
        <w:t>Git ist die Quelle des gewünschten Kubernetes-Zustands. Argo CD überwacht das GitOps-Repository und synchronisiert Änderungen in den Cluster. Ein dokumentierter Dev-Nachweis zeigte die Application pacman-dev mit SYNC=Synced und HEALTH=Healthy. Damit ist der Zusammenhang zwischen versioniertem Sollzustand und laufender Dev-Umgebung praktisch belegt.</w:t>
      </w:r>
    </w:p>
    <w:p>
      <w:r>
        <w:t>Direkte manuelle Clusteränderungen sind für den regulären Bereitstellungsweg nicht vorgesehen. Kontrollierte Drift- und Fehlertests werden gezielt durchgeführt und anschließend über den versionierten Sollzustand wieder korrigiert. Promotion und Rollback werden im Dokument 07_argocd_gitops_und_promotion.docx vertieft.</w:t>
      </w:r>
    </w:p>
    <w:p>
      <w:pPr>
        <w:pStyle w:val="Heading1"/>
      </w:pPr>
      <w:r>
        <w:t>13. Architekturbezogene Fehler- und Nachtestfälle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Fall</w:t>
            </w:r>
          </w:p>
        </w:tc>
        <w:tc>
          <w:tcPr>
            <w:tcW w:type="dxa" w:w="3400"/>
            <w:shd w:fill="1F4E78"/>
          </w:tcPr>
          <w:p>
            <w:r>
              <w:rPr>
                <w:b/>
                <w:color w:val="FFFFFF"/>
                <w:sz w:val="16"/>
              </w:rPr>
              <w:t>Fehler / Ursache</w:t>
            </w:r>
          </w:p>
        </w:tc>
        <w:tc>
          <w:tcPr>
            <w:tcW w:type="dxa" w:w="3400"/>
            <w:shd w:fill="1F4E78"/>
          </w:tcPr>
          <w:p>
            <w:r>
              <w:rPr>
                <w:b/>
                <w:color w:val="FFFFFF"/>
                <w:sz w:val="16"/>
              </w:rPr>
              <w:t>Fix / realer Nachtest</w:t>
            </w:r>
          </w:p>
        </w:tc>
      </w:tr>
      <w:tr>
        <w:tc>
          <w:tcPr>
            <w:tcW w:type="dxa" w:w="3400"/>
            <w:vAlign w:val="top"/>
          </w:tcPr>
          <w:p>
            <w:r>
              <w:rPr>
                <w:sz w:val="16"/>
              </w:rPr>
              <w:t>F03 / AP28 D02</w:t>
            </w:r>
          </w:p>
        </w:tc>
        <w:tc>
          <w:tcPr>
            <w:tcW w:type="dxa" w:w="3400"/>
            <w:vAlign w:val="top"/>
          </w:tcPr>
          <w:p>
            <w:r>
              <w:rPr>
                <w:sz w:val="16"/>
              </w:rPr>
              <w:t>Ungültiger GHCR-Image-Tag; Image konnte nicht geladen werden</w:t>
            </w:r>
          </w:p>
        </w:tc>
        <w:tc>
          <w:tcPr>
            <w:tcW w:type="dxa" w:w="3400"/>
            <w:vAlign w:val="top"/>
          </w:tcPr>
          <w:p>
            <w:r>
              <w:rPr>
                <w:sz w:val="16"/>
              </w:rPr>
              <w:t>99ac6e1 → 03561ce; danach gültiges SHA-Image, Pacman-Pod Running/Ready, 0 Restarts.</w:t>
            </w:r>
          </w:p>
        </w:tc>
      </w:tr>
      <w:tr>
        <w:tc>
          <w:tcPr>
            <w:tcW w:type="dxa" w:w="3400"/>
            <w:vAlign w:val="top"/>
          </w:tcPr>
          <w:p>
            <w:r>
              <w:rPr>
                <w:sz w:val="16"/>
              </w:rPr>
              <w:t>F04 / AP28 D04</w:t>
            </w:r>
          </w:p>
        </w:tc>
        <w:tc>
          <w:tcPr>
            <w:tcW w:type="dxa" w:w="3400"/>
            <w:vAlign w:val="top"/>
          </w:tcPr>
          <w:p>
            <w:r>
              <w:rPr>
                <w:sz w:val="16"/>
              </w:rPr>
              <w:t>Falscher Service-targetPort</w:t>
            </w:r>
          </w:p>
        </w:tc>
        <w:tc>
          <w:tcPr>
            <w:tcW w:type="dxa" w:w="3400"/>
            <w:vAlign w:val="top"/>
          </w:tcPr>
          <w:p>
            <w:r>
              <w:rPr>
                <w:sz w:val="16"/>
              </w:rPr>
              <w:t>d5e0f9e → d6b8339; Service Port 80 → targetPort 8080; HTTP 200 über http://pacman/.</w:t>
            </w:r>
          </w:p>
        </w:tc>
      </w:tr>
      <w:tr>
        <w:tc>
          <w:tcPr>
            <w:tcW w:type="dxa" w:w="3400"/>
            <w:vAlign w:val="top"/>
          </w:tcPr>
          <w:p>
            <w:r>
              <w:rPr>
                <w:sz w:val="16"/>
              </w:rPr>
              <w:t>F05 / AP28 D11</w:t>
            </w:r>
          </w:p>
        </w:tc>
        <w:tc>
          <w:tcPr>
            <w:tcW w:type="dxa" w:w="3400"/>
            <w:vAlign w:val="top"/>
          </w:tcPr>
          <w:p>
            <w:r>
              <w:rPr>
                <w:sz w:val="16"/>
              </w:rPr>
              <w:t>Pacman auf Test-Secret mit falschen MongoDB-Zugangsdaten umgestellt</w:t>
            </w:r>
          </w:p>
        </w:tc>
        <w:tc>
          <w:tcPr>
            <w:tcW w:type="dxa" w:w="3400"/>
            <w:vAlign w:val="top"/>
          </w:tcPr>
          <w:p>
            <w:r>
              <w:rPr>
                <w:sz w:val="16"/>
              </w:rPr>
              <w:t>0b20165 → cd71e2c; korrekte Secret-Key-Referenzen; /highscores/list liefert HTTP 200.</w:t>
            </w:r>
          </w:p>
        </w:tc>
      </w:tr>
      <w:tr>
        <w:tc>
          <w:tcPr>
            <w:tcW w:type="dxa" w:w="3400"/>
            <w:vAlign w:val="top"/>
          </w:tcPr>
          <w:p>
            <w:r>
              <w:rPr>
                <w:sz w:val="16"/>
              </w:rPr>
              <w:t>F06 / AP28 D10</w:t>
            </w:r>
          </w:p>
        </w:tc>
        <w:tc>
          <w:tcPr>
            <w:tcW w:type="dxa" w:w="3400"/>
            <w:vAlign w:val="top"/>
          </w:tcPr>
          <w:p>
            <w:r>
              <w:rPr>
                <w:sz w:val="16"/>
              </w:rPr>
              <w:t>Ungültiger Liveness-Probe-Pfad</w:t>
            </w:r>
          </w:p>
        </w:tc>
        <w:tc>
          <w:tcPr>
            <w:tcW w:type="dxa" w:w="3400"/>
            <w:vAlign w:val="top"/>
          </w:tcPr>
          <w:p>
            <w:r>
              <w:rPr>
                <w:sz w:val="16"/>
              </w:rPr>
              <w:t>bb4e38c → 93e24a2; LIVENESS_PATH=/; Pod Running/Ready, 0 Restarts; Argo CD Synced/Healthy.</w:t>
            </w:r>
          </w:p>
        </w:tc>
      </w:tr>
      <w:tr>
        <w:tc>
          <w:tcPr>
            <w:tcW w:type="dxa" w:w="3400"/>
            <w:vAlign w:val="top"/>
          </w:tcPr>
          <w:p>
            <w:r>
              <w:rPr>
                <w:sz w:val="16"/>
              </w:rPr>
              <w:t>F07 / AP28 D07</w:t>
            </w:r>
          </w:p>
        </w:tc>
        <w:tc>
          <w:tcPr>
            <w:tcW w:type="dxa" w:w="3400"/>
            <w:vAlign w:val="top"/>
          </w:tcPr>
          <w:p>
            <w:r>
              <w:rPr>
                <w:sz w:val="16"/>
              </w:rPr>
              <w:t>HPA-/Argo-CD-Replicas-Konflikt bzw. unrealistischer HPA-Zielwert</w:t>
            </w:r>
          </w:p>
        </w:tc>
        <w:tc>
          <w:tcPr>
            <w:tcW w:type="dxa" w:w="3400"/>
            <w:vAlign w:val="top"/>
          </w:tcPr>
          <w:p>
            <w:r>
              <w:rPr>
                <w:sz w:val="16"/>
              </w:rPr>
              <w:t>32e3911 / e7a4f4a / 13ddb74; HPA 1–3, Ziel 60%; ignoreDifferences für /spec/replicas.</w:t>
            </w:r>
          </w:p>
        </w:tc>
      </w:tr>
      <w:tr>
        <w:tc>
          <w:tcPr>
            <w:tcW w:type="dxa" w:w="3400"/>
            <w:vAlign w:val="top"/>
          </w:tcPr>
          <w:p>
            <w:r>
              <w:rPr>
                <w:sz w:val="16"/>
              </w:rPr>
              <w:t>F08 / AP28 D09</w:t>
            </w:r>
          </w:p>
        </w:tc>
        <w:tc>
          <w:tcPr>
            <w:tcW w:type="dxa" w:w="3400"/>
            <w:vAlign w:val="top"/>
          </w:tcPr>
          <w:p>
            <w:r>
              <w:rPr>
                <w:sz w:val="16"/>
              </w:rPr>
              <w:t>Falscher MongoDB-Hostname im Backup-CronJob</w:t>
            </w:r>
          </w:p>
        </w:tc>
        <w:tc>
          <w:tcPr>
            <w:tcW w:type="dxa" w:w="3400"/>
            <w:vAlign w:val="top"/>
          </w:tcPr>
          <w:p>
            <w:r>
              <w:rPr>
                <w:sz w:val="16"/>
              </w:rPr>
              <w:t>374dbfe → a3c4118; MONGO_HOST=mongodb; spätere Backup-Jobs erfolgreich. Betriebsdetails in Dokument 08.</w:t>
            </w:r>
          </w:p>
        </w:tc>
      </w:tr>
    </w:tbl>
    <w:p/>
    <w:p>
      <w:pPr>
        <w:pStyle w:val="Heading1"/>
      </w:pPr>
      <w:r>
        <w:t>14. IHK-Abgleich und Nachweisstatus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Prüfpunkt</w:t>
            </w:r>
          </w:p>
        </w:tc>
        <w:tc>
          <w:tcPr>
            <w:tcW w:type="dxa" w:w="3400"/>
            <w:shd w:fill="1F4E78"/>
          </w:tcPr>
          <w:p>
            <w:r>
              <w:rPr>
                <w:b/>
                <w:color w:val="FFFFFF"/>
                <w:sz w:val="16"/>
              </w:rPr>
              <w:t>Stand aus den vorliegenden Projektdaten</w:t>
            </w:r>
          </w:p>
        </w:tc>
        <w:tc>
          <w:tcPr>
            <w:tcW w:type="dxa" w:w="3400"/>
            <w:shd w:fill="1F4E78"/>
          </w:tcPr>
          <w:p>
            <w:r>
              <w:rPr>
                <w:b/>
                <w:color w:val="FFFFFF"/>
                <w:sz w:val="16"/>
              </w:rPr>
              <w:t>Geeigneter Primärnachweis</w:t>
            </w:r>
          </w:p>
        </w:tc>
      </w:tr>
      <w:tr>
        <w:tc>
          <w:tcPr>
            <w:tcW w:type="dxa" w:w="3400"/>
            <w:vAlign w:val="top"/>
          </w:tcPr>
          <w:p>
            <w:r>
              <w:rPr>
                <w:sz w:val="16"/>
              </w:rPr>
              <w:t>Kustomize Base + Dev/Prod Overlays</w:t>
            </w:r>
          </w:p>
        </w:tc>
        <w:tc>
          <w:tcPr>
            <w:tcW w:type="dxa" w:w="3400"/>
            <w:vAlign w:val="top"/>
          </w:tcPr>
          <w:p>
            <w:r>
              <w:rPr>
                <w:sz w:val="16"/>
              </w:rPr>
              <w:t>Struktur dokumentiert und gerendert</w:t>
            </w:r>
          </w:p>
        </w:tc>
        <w:tc>
          <w:tcPr>
            <w:tcW w:type="dxa" w:w="3400"/>
            <w:vAlign w:val="top"/>
          </w:tcPr>
          <w:p>
            <w:r>
              <w:rPr>
                <w:sz w:val="16"/>
              </w:rPr>
              <w:t>kubectl kustomize + Client Dry Run; screenshots/08_kubernetes_architektur/</w:t>
            </w:r>
          </w:p>
        </w:tc>
      </w:tr>
      <w:tr>
        <w:tc>
          <w:tcPr>
            <w:tcW w:type="dxa" w:w="3400"/>
            <w:vAlign w:val="top"/>
          </w:tcPr>
          <w:p>
            <w:r>
              <w:rPr>
                <w:sz w:val="16"/>
              </w:rPr>
              <w:t>Namespaces</w:t>
            </w:r>
          </w:p>
        </w:tc>
        <w:tc>
          <w:tcPr>
            <w:tcW w:type="dxa" w:w="3400"/>
            <w:vAlign w:val="top"/>
          </w:tcPr>
          <w:p>
            <w:r>
              <w:rPr>
                <w:sz w:val="16"/>
              </w:rPr>
              <w:t>pacman-dev und pacman-prod verbindlich</w:t>
            </w:r>
          </w:p>
        </w:tc>
        <w:tc>
          <w:tcPr>
            <w:tcW w:type="dxa" w:w="3400"/>
            <w:vAlign w:val="top"/>
          </w:tcPr>
          <w:p>
            <w:r>
              <w:rPr>
                <w:sz w:val="16"/>
              </w:rPr>
              <w:t>kubectl get ns</w:t>
            </w:r>
          </w:p>
        </w:tc>
      </w:tr>
      <w:tr>
        <w:tc>
          <w:tcPr>
            <w:tcW w:type="dxa" w:w="3400"/>
            <w:vAlign w:val="top"/>
          </w:tcPr>
          <w:p>
            <w:r>
              <w:rPr>
                <w:sz w:val="16"/>
              </w:rPr>
              <w:t>Pacman Deployment</w:t>
            </w:r>
          </w:p>
        </w:tc>
        <w:tc>
          <w:tcPr>
            <w:tcW w:type="dxa" w:w="3400"/>
            <w:vAlign w:val="top"/>
          </w:tcPr>
          <w:p>
            <w:r>
              <w:rPr>
                <w:sz w:val="16"/>
              </w:rPr>
              <w:t>Dev konkret mit SHA-Image und Running/Ready-Pod nachgewiesen</w:t>
            </w:r>
          </w:p>
        </w:tc>
        <w:tc>
          <w:tcPr>
            <w:tcW w:type="dxa" w:w="3400"/>
            <w:vAlign w:val="top"/>
          </w:tcPr>
          <w:p>
            <w:r>
              <w:rPr>
                <w:sz w:val="16"/>
              </w:rPr>
              <w:t>kubectl get deployment/pods -n pacman-dev</w:t>
            </w:r>
          </w:p>
        </w:tc>
      </w:tr>
      <w:tr>
        <w:tc>
          <w:tcPr>
            <w:tcW w:type="dxa" w:w="3400"/>
            <w:vAlign w:val="top"/>
          </w:tcPr>
          <w:p>
            <w:r>
              <w:rPr>
                <w:sz w:val="16"/>
              </w:rPr>
              <w:t>Pacman Service</w:t>
            </w:r>
          </w:p>
        </w:tc>
        <w:tc>
          <w:tcPr>
            <w:tcW w:type="dxa" w:w="3400"/>
            <w:vAlign w:val="top"/>
          </w:tcPr>
          <w:p>
            <w:r>
              <w:rPr>
                <w:sz w:val="16"/>
              </w:rPr>
              <w:t>Port 80 → targetPort 8080; HTTP 200 nachgewiesen</w:t>
            </w:r>
          </w:p>
        </w:tc>
        <w:tc>
          <w:tcPr>
            <w:tcW w:type="dxa" w:w="3400"/>
            <w:vAlign w:val="top"/>
          </w:tcPr>
          <w:p>
            <w:r>
              <w:rPr>
                <w:sz w:val="16"/>
              </w:rPr>
              <w:t>kubectl get service + temporärer curl-Pod</w:t>
            </w:r>
          </w:p>
        </w:tc>
      </w:tr>
      <w:tr>
        <w:tc>
          <w:tcPr>
            <w:tcW w:type="dxa" w:w="3400"/>
            <w:vAlign w:val="top"/>
          </w:tcPr>
          <w:p>
            <w:r>
              <w:rPr>
                <w:sz w:val="16"/>
              </w:rPr>
              <w:t>Ingress</w:t>
            </w:r>
          </w:p>
        </w:tc>
        <w:tc>
          <w:tcPr>
            <w:tcW w:type="dxa" w:w="3400"/>
            <w:vAlign w:val="top"/>
          </w:tcPr>
          <w:p>
            <w:r>
              <w:rPr>
                <w:sz w:val="16"/>
              </w:rPr>
              <w:t>Bestandteil der Ziel-/Gesamtarchitektur</w:t>
            </w:r>
          </w:p>
        </w:tc>
        <w:tc>
          <w:tcPr>
            <w:tcW w:type="dxa" w:w="3400"/>
            <w:vAlign w:val="top"/>
          </w:tcPr>
          <w:p>
            <w:r>
              <w:rPr>
                <w:sz w:val="16"/>
              </w:rPr>
              <w:t>Ingress-Ressource und HTTP-Aufruf der Dev-/Prod-Hosts als finalen Primärnachweis verwenden</w:t>
            </w:r>
          </w:p>
        </w:tc>
      </w:tr>
      <w:tr>
        <w:tc>
          <w:tcPr>
            <w:tcW w:type="dxa" w:w="3400"/>
            <w:vAlign w:val="top"/>
          </w:tcPr>
          <w:p>
            <w:r>
              <w:rPr>
                <w:sz w:val="16"/>
              </w:rPr>
              <w:t>MongoDB StatefulSet</w:t>
            </w:r>
          </w:p>
        </w:tc>
        <w:tc>
          <w:tcPr>
            <w:tcW w:type="dxa" w:w="3400"/>
            <w:vAlign w:val="top"/>
          </w:tcPr>
          <w:p>
            <w:r>
              <w:rPr>
                <w:sz w:val="16"/>
              </w:rPr>
              <w:t>StatefulSet + Headless Service + mongo:4.4.30-focal vorgesehen/umgesetzt</w:t>
            </w:r>
          </w:p>
        </w:tc>
        <w:tc>
          <w:tcPr>
            <w:tcW w:type="dxa" w:w="3400"/>
            <w:vAlign w:val="top"/>
          </w:tcPr>
          <w:p>
            <w:r>
              <w:rPr>
                <w:sz w:val="16"/>
              </w:rPr>
              <w:t>kubectl get statefulset,svc,pods in beiden Namespaces</w:t>
            </w:r>
          </w:p>
        </w:tc>
      </w:tr>
      <w:tr>
        <w:tc>
          <w:tcPr>
            <w:tcW w:type="dxa" w:w="3400"/>
            <w:vAlign w:val="top"/>
          </w:tcPr>
          <w:p>
            <w:r>
              <w:rPr>
                <w:sz w:val="16"/>
              </w:rPr>
              <w:t>PVC / Persistenz</w:t>
            </w:r>
          </w:p>
        </w:tc>
        <w:tc>
          <w:tcPr>
            <w:tcW w:type="dxa" w:w="3400"/>
            <w:vAlign w:val="top"/>
          </w:tcPr>
          <w:p>
            <w:r>
              <w:rPr>
                <w:sz w:val="16"/>
              </w:rPr>
              <w:t>Verbindlicher Bestandteil; Fehlerfall zum Mount dokumentiert</w:t>
            </w:r>
          </w:p>
        </w:tc>
        <w:tc>
          <w:tcPr>
            <w:tcW w:type="dxa" w:w="3400"/>
            <w:vAlign w:val="top"/>
          </w:tcPr>
          <w:p>
            <w:r>
              <w:rPr>
                <w:sz w:val="16"/>
              </w:rPr>
              <w:t>kubectl get pvc + eindeutiger Persistenztestdatensatz</w:t>
            </w:r>
          </w:p>
        </w:tc>
      </w:tr>
      <w:tr>
        <w:tc>
          <w:tcPr>
            <w:tcW w:type="dxa" w:w="3400"/>
            <w:vAlign w:val="top"/>
          </w:tcPr>
          <w:p>
            <w:r>
              <w:rPr>
                <w:sz w:val="16"/>
              </w:rPr>
              <w:t>ConfigMap</w:t>
            </w:r>
          </w:p>
        </w:tc>
        <w:tc>
          <w:tcPr>
            <w:tcW w:type="dxa" w:w="3400"/>
            <w:vAlign w:val="top"/>
          </w:tcPr>
          <w:p>
            <w:r>
              <w:rPr>
                <w:sz w:val="16"/>
              </w:rPr>
              <w:t>pacman-config für nicht vertrauliche DB-Parameter</w:t>
            </w:r>
          </w:p>
        </w:tc>
        <w:tc>
          <w:tcPr>
            <w:tcW w:type="dxa" w:w="3400"/>
            <w:vAlign w:val="top"/>
          </w:tcPr>
          <w:p>
            <w:r>
              <w:rPr>
                <w:sz w:val="16"/>
              </w:rPr>
              <w:t>kubectl get configmap ohne sensible Werte</w:t>
            </w:r>
          </w:p>
        </w:tc>
      </w:tr>
      <w:tr>
        <w:tc>
          <w:tcPr>
            <w:tcW w:type="dxa" w:w="3400"/>
            <w:vAlign w:val="top"/>
          </w:tcPr>
          <w:p>
            <w:r>
              <w:rPr>
                <w:sz w:val="16"/>
              </w:rPr>
              <w:t>Secret</w:t>
            </w:r>
          </w:p>
        </w:tc>
        <w:tc>
          <w:tcPr>
            <w:tcW w:type="dxa" w:w="3400"/>
            <w:vAlign w:val="top"/>
          </w:tcPr>
          <w:p>
            <w:r>
              <w:rPr>
                <w:sz w:val="16"/>
              </w:rPr>
              <w:t>mongodb-credentials in Dev/Prod; 4 Schlüssel dokumentiert</w:t>
            </w:r>
          </w:p>
        </w:tc>
        <w:tc>
          <w:tcPr>
            <w:tcW w:type="dxa" w:w="3400"/>
            <w:vAlign w:val="top"/>
          </w:tcPr>
          <w:p>
            <w:r>
              <w:rPr>
                <w:sz w:val="16"/>
              </w:rPr>
              <w:t>Nur Metadaten/Schlüsselnamen zeigen, niemals Werte</w:t>
            </w:r>
          </w:p>
        </w:tc>
      </w:tr>
      <w:tr>
        <w:tc>
          <w:tcPr>
            <w:tcW w:type="dxa" w:w="3400"/>
            <w:vAlign w:val="top"/>
          </w:tcPr>
          <w:p>
            <w:r>
              <w:rPr>
                <w:sz w:val="16"/>
              </w:rPr>
              <w:t>Datenbankzugriff</w:t>
            </w:r>
          </w:p>
        </w:tc>
        <w:tc>
          <w:tcPr>
            <w:tcW w:type="dxa" w:w="3400"/>
            <w:vAlign w:val="top"/>
          </w:tcPr>
          <w:p>
            <w:r>
              <w:rPr>
                <w:sz w:val="16"/>
              </w:rPr>
              <w:t>Dev-Nachtest /highscores/list = HTTP 200</w:t>
            </w:r>
          </w:p>
        </w:tc>
        <w:tc>
          <w:tcPr>
            <w:tcW w:type="dxa" w:w="3400"/>
            <w:vAlign w:val="top"/>
          </w:tcPr>
          <w:p>
            <w:r>
              <w:rPr>
                <w:sz w:val="16"/>
              </w:rPr>
              <w:t>temporärer curl-Pod / Anwendungstest</w:t>
            </w:r>
          </w:p>
        </w:tc>
      </w:tr>
      <w:tr>
        <w:tc>
          <w:tcPr>
            <w:tcW w:type="dxa" w:w="3400"/>
            <w:vAlign w:val="top"/>
          </w:tcPr>
          <w:p>
            <w:r>
              <w:rPr>
                <w:sz w:val="16"/>
              </w:rPr>
              <w:t>Argo CD Dev</w:t>
            </w:r>
          </w:p>
        </w:tc>
        <w:tc>
          <w:tcPr>
            <w:tcW w:type="dxa" w:w="3400"/>
            <w:vAlign w:val="top"/>
          </w:tcPr>
          <w:p>
            <w:r>
              <w:rPr>
                <w:sz w:val="16"/>
              </w:rPr>
              <w:t>pacman-dev Synced / Healthy nachgewiesen</w:t>
            </w:r>
          </w:p>
        </w:tc>
        <w:tc>
          <w:tcPr>
            <w:tcW w:type="dxa" w:w="3400"/>
            <w:vAlign w:val="top"/>
          </w:tcPr>
          <w:p>
            <w:r>
              <w:rPr>
                <w:sz w:val="16"/>
              </w:rPr>
              <w:t>kubectl get application pacman-dev -n argocd</w:t>
            </w:r>
          </w:p>
        </w:tc>
      </w:tr>
      <w:tr>
        <w:tc>
          <w:tcPr>
            <w:tcW w:type="dxa" w:w="3400"/>
            <w:vAlign w:val="top"/>
          </w:tcPr>
          <w:p>
            <w:r>
              <w:rPr>
                <w:sz w:val="16"/>
              </w:rPr>
              <w:t>Probes / HPA</w:t>
            </w:r>
          </w:p>
        </w:tc>
        <w:tc>
          <w:tcPr>
            <w:tcW w:type="dxa" w:w="3400"/>
            <w:vAlign w:val="top"/>
          </w:tcPr>
          <w:p>
            <w:r>
              <w:rPr>
                <w:sz w:val="16"/>
              </w:rPr>
              <w:t>Konkrete Dev-Nachweise vorhanden</w:t>
            </w:r>
          </w:p>
        </w:tc>
        <w:tc>
          <w:tcPr>
            <w:tcW w:type="dxa" w:w="3400"/>
            <w:vAlign w:val="top"/>
          </w:tcPr>
          <w:p>
            <w:r>
              <w:rPr>
                <w:sz w:val="16"/>
              </w:rPr>
              <w:t>Detailnachweis in Dokument 06</w:t>
            </w:r>
          </w:p>
        </w:tc>
      </w:tr>
      <w:tr>
        <w:tc>
          <w:tcPr>
            <w:tcW w:type="dxa" w:w="3400"/>
            <w:vAlign w:val="top"/>
          </w:tcPr>
          <w:p>
            <w:r>
              <w:rPr>
                <w:sz w:val="16"/>
              </w:rPr>
              <w:t>Prod-Gesamtzustand</w:t>
            </w:r>
          </w:p>
        </w:tc>
        <w:tc>
          <w:tcPr>
            <w:tcW w:type="dxa" w:w="3400"/>
            <w:vAlign w:val="top"/>
          </w:tcPr>
          <w:p>
            <w:r>
              <w:rPr>
                <w:sz w:val="16"/>
              </w:rPr>
              <w:t>Architektonisch Bestandteil des Projekts</w:t>
            </w:r>
          </w:p>
        </w:tc>
        <w:tc>
          <w:tcPr>
            <w:tcW w:type="dxa" w:w="3400"/>
            <w:vAlign w:val="top"/>
          </w:tcPr>
          <w:p>
            <w:r>
              <w:rPr>
                <w:sz w:val="16"/>
              </w:rPr>
              <w:t>Als vollständig abgeschlossen nur mit aktuellen Prod-Ressourcen-/HTTP-/Argo-CD-Nachweisen werten</w:t>
            </w:r>
          </w:p>
        </w:tc>
      </w:tr>
    </w:tbl>
    <w:p/>
    <w:p>
      <w:pPr>
        <w:pStyle w:val="Heading1"/>
      </w:pPr>
      <w:r>
        <w:t>15. Verbindliche bzw. zugehörige Projektartefakte</w:t>
      </w:r>
    </w:p>
    <w:p>
      <w:pPr>
        <w:pStyle w:val="ListBullet"/>
      </w:pPr>
      <w:r>
        <w:t>pacman-gitops/apps/pacman/base/</w:t>
      </w:r>
    </w:p>
    <w:p>
      <w:pPr>
        <w:pStyle w:val="ListBullet"/>
      </w:pPr>
      <w:r>
        <w:t>pacman-gitops/apps/pacman/overlays/dev/</w:t>
      </w:r>
    </w:p>
    <w:p>
      <w:pPr>
        <w:pStyle w:val="ListBullet"/>
      </w:pPr>
      <w:r>
        <w:t>pacman-gitops/apps/pacman/overlays/prod/</w:t>
      </w:r>
    </w:p>
    <w:p>
      <w:pPr>
        <w:pStyle w:val="ListBullet"/>
      </w:pPr>
      <w:r>
        <w:t>pacman-gitops/clusters/docker-desktop/argocd/</w:t>
      </w:r>
    </w:p>
    <w:p>
      <w:pPr>
        <w:pStyle w:val="ListBullet"/>
      </w:pPr>
      <w:r>
        <w:t>pacman-gitops/apps/pacman/base/mongodb-statefulset.yaml</w:t>
      </w:r>
    </w:p>
    <w:p>
      <w:pPr>
        <w:pStyle w:val="ListBullet"/>
      </w:pPr>
      <w:r>
        <w:t>pacman-gitops/apps/pacman/base/mongodb-service.yaml</w:t>
      </w:r>
    </w:p>
    <w:p>
      <w:pPr>
        <w:pStyle w:val="ListBullet"/>
      </w:pPr>
      <w:r>
        <w:t>pacman-gitops/apps/pacman/base/mongodb-init-configmap.yaml</w:t>
      </w:r>
    </w:p>
    <w:p>
      <w:pPr>
        <w:pStyle w:val="ListBullet"/>
      </w:pPr>
      <w:r>
        <w:t>pacman-gitops/apps/pacman/base/configmap.yaml</w:t>
      </w:r>
    </w:p>
    <w:p>
      <w:pPr>
        <w:pStyle w:val="ListBullet"/>
      </w:pPr>
      <w:r>
        <w:t>pacman-gitops/apps/pacman/base/secret.example.yaml</w:t>
      </w:r>
    </w:p>
    <w:p>
      <w:pPr>
        <w:pStyle w:val="ListBullet"/>
      </w:pPr>
      <w:r>
        <w:t>daten/deployment_und_service_plan.csv</w:t>
      </w:r>
    </w:p>
    <w:p>
      <w:pPr>
        <w:pStyle w:val="ListBullet"/>
      </w:pPr>
      <w:r>
        <w:t>daten/persistenz_und_datenbankplan.csv</w:t>
      </w:r>
    </w:p>
    <w:p>
      <w:pPr>
        <w:pStyle w:val="ListBullet"/>
      </w:pPr>
      <w:r>
        <w:t>daten/configmap_und_secret_plan.csv</w:t>
      </w:r>
    </w:p>
    <w:p>
      <w:pPr>
        <w:pStyle w:val="ListBullet"/>
      </w:pPr>
      <w:r>
        <w:t>screenshots/08_kubernetes_architektur/</w:t>
      </w:r>
    </w:p>
    <w:p>
      <w:pPr>
        <w:pStyle w:val="ListBullet"/>
      </w:pPr>
      <w:r>
        <w:t>screenshots/10_mongodb_persistenz/</w:t>
      </w:r>
    </w:p>
    <w:p>
      <w:pPr>
        <w:pStyle w:val="ListBullet"/>
      </w:pPr>
      <w:r>
        <w:t>screenshots/11_config_secret/</w:t>
      </w:r>
    </w:p>
    <w:p>
      <w:pPr>
        <w:pStyle w:val="Heading1"/>
      </w:pPr>
      <w:r>
        <w:t>16. Ergebnis</w:t>
      </w:r>
    </w:p>
    <w:p>
      <w:r>
        <w:t>Die Kubernetes-Architektur trennt pacman-dev und pacman-prod über Namespaces und verwendet Kustomize für eine gemeinsame Base mit umgebungsspezifischen Overlays. Pacman wird als Deployment hinter einem ClusterIP-Service und Ingress betrieben; MongoDB wird als StatefulSet mit stabiler Service-Identität und persistentem Speicher modelliert. ConfigMap und Secret trennen nicht vertrauliche Konfiguration von Zugangsdaten. GitOps verbindet diese deklarative Architektur mit Argo CD.</w:t>
      </w:r>
    </w:p>
    <w:p>
      <w:r>
        <w:t>Für den Dev-Bereich liegen bereits konkrete Endzustands- und Nachtestdaten vor: SHA-basiertes Pacman-Image, Running/Ready-Pod, Service 80→8080 mit HTTP 200, korrekte MongoDB-Secret-Referenzen, erfolgreicher datenbankabhängiger HTTP-Test sowie Argo CD Synced/Healthy. Aussagen zu noch nicht eindeutig vorliegenden aktuellen Prod-, PVC-/Persistenz- oder Ingress-Primärnachweisen werden bewusst nicht erfunden; diese Punkte gelten erst mit den zugehörigen technischen Nachweisen als vollständig bestätigt.</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DevOps-Abschlussprojekt - Kubernetes-Architektur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Kubernetes-Architektur</dc:title>
  <dc:subject>Pacman DevOps-/GitOps-Abschlussprojekt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