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Architektur und Repositories</w:t>
      </w:r>
    </w:p>
    <w:p>
      <w:pPr>
        <w:jc w:val="center"/>
      </w:pPr>
      <w:r>
        <w:rPr>
          <w:b/>
          <w:sz w:val="24"/>
        </w:rPr>
        <w:t>Pacman DevOps-/GitOps-Abschlussprojekt</w:t>
        <w:br/>
        <w:t>Konsolidierter Gesamtprojektstand</w:t>
      </w:r>
    </w:p>
    <w:p>
      <w:pPr>
        <w:pStyle w:val="Heading1"/>
      </w:pPr>
      <w:r>
        <w:t>1. Zweck und Einordnung</w:t>
      </w:r>
    </w:p>
    <w:p>
      <w:r>
        <w:t>Dieses Dokument beschreibt die technische Zielarchitektur und die tatsächlich im Projekt verwendete Repository-, Branch-, Pull-Request- und Versionierungsstruktur. Es konsolidiert damit insbesondere das Arbeitspaket „GitHub Repositories, Branching und Zugriffskonzept“ und ordnet dessen Entscheidungen in den Datenfluss des Gesamtprojekts von GitHub über GitHub Actions und GHCR bis zu Argo CD und Kubernetes ein.</w:t>
      </w:r>
    </w:p>
    <w:p>
      <w:pPr>
        <w:pStyle w:val="Heading1"/>
      </w:pPr>
      <w:r>
        <w:t>2. Technische Gesamtarchitektur</w:t>
      </w:r>
    </w:p>
    <w:p>
      <w:r>
        <w:t>Die Lösung trennt Anwendungscode und deklarativen Kubernetes-Sollzustand in zwei GitHub-Repositories. Der Anwendungscode liegt in pacman-app. GitHub Actions prüft Änderungen, erstellt das Container-Image und veröffentlicht versionierte Images in der GitHub Container Registry (GHCR). Die Kubernetes- und GitOps-Konfiguration liegt getrennt in pacman-gitops. Argo CD überwacht dieses Repository und synchronisiert den dort versionierten Sollzustand mit dem lokalen Kubernetes-Cluster.</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7"/>
              </w:rPr>
              <w:t>Schicht</w:t>
            </w:r>
          </w:p>
        </w:tc>
        <w:tc>
          <w:tcPr>
            <w:tcW w:type="dxa" w:w="3400"/>
            <w:shd w:fill="1F4E78"/>
          </w:tcPr>
          <w:p>
            <w:r>
              <w:rPr>
                <w:b/>
                <w:color w:val="FFFFFF"/>
                <w:sz w:val="17"/>
              </w:rPr>
              <w:t>Im Projekt verwendete Komponente</w:t>
            </w:r>
          </w:p>
        </w:tc>
        <w:tc>
          <w:tcPr>
            <w:tcW w:type="dxa" w:w="3400"/>
            <w:shd w:fill="1F4E78"/>
          </w:tcPr>
          <w:p>
            <w:r>
              <w:rPr>
                <w:b/>
                <w:color w:val="FFFFFF"/>
                <w:sz w:val="17"/>
              </w:rPr>
              <w:t>Aufgabe</w:t>
            </w:r>
          </w:p>
        </w:tc>
      </w:tr>
      <w:tr>
        <w:tc>
          <w:tcPr>
            <w:tcW w:type="dxa" w:w="3400"/>
            <w:vAlign w:val="top"/>
          </w:tcPr>
          <w:p>
            <w:r>
              <w:rPr>
                <w:sz w:val="17"/>
              </w:rPr>
              <w:t>Versionsverwaltung</w:t>
            </w:r>
          </w:p>
        </w:tc>
        <w:tc>
          <w:tcPr>
            <w:tcW w:type="dxa" w:w="3400"/>
            <w:vAlign w:val="top"/>
          </w:tcPr>
          <w:p>
            <w:r>
              <w:rPr>
                <w:sz w:val="17"/>
              </w:rPr>
              <w:t>Git und GitHub</w:t>
            </w:r>
          </w:p>
        </w:tc>
        <w:tc>
          <w:tcPr>
            <w:tcW w:type="dxa" w:w="3400"/>
            <w:vAlign w:val="top"/>
          </w:tcPr>
          <w:p>
            <w:r>
              <w:rPr>
                <w:sz w:val="17"/>
              </w:rPr>
              <w:t>Versionierung, Branches, Pull Requests und nachvollziehbare Historie</w:t>
            </w:r>
          </w:p>
        </w:tc>
      </w:tr>
      <w:tr>
        <w:tc>
          <w:tcPr>
            <w:tcW w:type="dxa" w:w="3400"/>
            <w:vAlign w:val="top"/>
          </w:tcPr>
          <w:p>
            <w:r>
              <w:rPr>
                <w:sz w:val="17"/>
              </w:rPr>
              <w:t>Anwendung</w:t>
            </w:r>
          </w:p>
        </w:tc>
        <w:tc>
          <w:tcPr>
            <w:tcW w:type="dxa" w:w="3400"/>
            <w:vAlign w:val="top"/>
          </w:tcPr>
          <w:p>
            <w:r>
              <w:rPr>
                <w:sz w:val="17"/>
              </w:rPr>
              <w:t>pacman-app</w:t>
            </w:r>
          </w:p>
        </w:tc>
        <w:tc>
          <w:tcPr>
            <w:tcW w:type="dxa" w:w="3400"/>
            <w:vAlign w:val="top"/>
          </w:tcPr>
          <w:p>
            <w:r>
              <w:rPr>
                <w:sz w:val="17"/>
              </w:rPr>
              <w:t>Node.js-/Express-Anwendung, Docker-/Compose-Dateien, Tests und GitHub-Actions-Workflows</w:t>
            </w:r>
          </w:p>
        </w:tc>
      </w:tr>
      <w:tr>
        <w:tc>
          <w:tcPr>
            <w:tcW w:type="dxa" w:w="3400"/>
            <w:vAlign w:val="top"/>
          </w:tcPr>
          <w:p>
            <w:r>
              <w:rPr>
                <w:sz w:val="17"/>
              </w:rPr>
              <w:t>CI/CD</w:t>
            </w:r>
          </w:p>
        </w:tc>
        <w:tc>
          <w:tcPr>
            <w:tcW w:type="dxa" w:w="3400"/>
            <w:vAlign w:val="top"/>
          </w:tcPr>
          <w:p>
            <w:r>
              <w:rPr>
                <w:sz w:val="17"/>
              </w:rPr>
              <w:t>GitHub Actions</w:t>
            </w:r>
          </w:p>
        </w:tc>
        <w:tc>
          <w:tcPr>
            <w:tcW w:type="dxa" w:w="3400"/>
            <w:vAlign w:val="top"/>
          </w:tcPr>
          <w:p>
            <w:r>
              <w:rPr>
                <w:sz w:val="17"/>
              </w:rPr>
              <w:t>Prüfung, Build, Security-/Qualitätsprüfungen, Image-Veröffentlichung und GitOps-Aktualisierung</w:t>
            </w:r>
          </w:p>
        </w:tc>
      </w:tr>
      <w:tr>
        <w:tc>
          <w:tcPr>
            <w:tcW w:type="dxa" w:w="3400"/>
            <w:vAlign w:val="top"/>
          </w:tcPr>
          <w:p>
            <w:r>
              <w:rPr>
                <w:sz w:val="17"/>
              </w:rPr>
              <w:t>Registry</w:t>
            </w:r>
          </w:p>
        </w:tc>
        <w:tc>
          <w:tcPr>
            <w:tcW w:type="dxa" w:w="3400"/>
            <w:vAlign w:val="top"/>
          </w:tcPr>
          <w:p>
            <w:r>
              <w:rPr>
                <w:sz w:val="17"/>
              </w:rPr>
              <w:t>GitHub Container Registry (GHCR)</w:t>
            </w:r>
          </w:p>
        </w:tc>
        <w:tc>
          <w:tcPr>
            <w:tcW w:type="dxa" w:w="3400"/>
            <w:vAlign w:val="top"/>
          </w:tcPr>
          <w:p>
            <w:r>
              <w:rPr>
                <w:sz w:val="17"/>
              </w:rPr>
              <w:t>Ablage eindeutig versionierter Pacman-Container-Images</w:t>
            </w:r>
          </w:p>
        </w:tc>
      </w:tr>
      <w:tr>
        <w:tc>
          <w:tcPr>
            <w:tcW w:type="dxa" w:w="3400"/>
            <w:vAlign w:val="top"/>
          </w:tcPr>
          <w:p>
            <w:r>
              <w:rPr>
                <w:sz w:val="17"/>
              </w:rPr>
              <w:t>GitOps</w:t>
            </w:r>
          </w:p>
        </w:tc>
        <w:tc>
          <w:tcPr>
            <w:tcW w:type="dxa" w:w="3400"/>
            <w:vAlign w:val="top"/>
          </w:tcPr>
          <w:p>
            <w:r>
              <w:rPr>
                <w:sz w:val="17"/>
              </w:rPr>
              <w:t>pacman-gitops + Argo CD</w:t>
            </w:r>
          </w:p>
        </w:tc>
        <w:tc>
          <w:tcPr>
            <w:tcW w:type="dxa" w:w="3400"/>
            <w:vAlign w:val="top"/>
          </w:tcPr>
          <w:p>
            <w:r>
              <w:rPr>
                <w:sz w:val="17"/>
              </w:rPr>
              <w:t>Deklarativer Sollzustand und automatische Synchronisierung</w:t>
            </w:r>
          </w:p>
        </w:tc>
      </w:tr>
      <w:tr>
        <w:tc>
          <w:tcPr>
            <w:tcW w:type="dxa" w:w="3400"/>
            <w:vAlign w:val="top"/>
          </w:tcPr>
          <w:p>
            <w:r>
              <w:rPr>
                <w:sz w:val="17"/>
              </w:rPr>
              <w:t>Orchestrierung</w:t>
            </w:r>
          </w:p>
        </w:tc>
        <w:tc>
          <w:tcPr>
            <w:tcW w:type="dxa" w:w="3400"/>
            <w:vAlign w:val="top"/>
          </w:tcPr>
          <w:p>
            <w:r>
              <w:rPr>
                <w:sz w:val="17"/>
              </w:rPr>
              <w:t>Docker Desktop Kubernetes</w:t>
            </w:r>
          </w:p>
        </w:tc>
        <w:tc>
          <w:tcPr>
            <w:tcW w:type="dxa" w:w="3400"/>
            <w:vAlign w:val="top"/>
          </w:tcPr>
          <w:p>
            <w:r>
              <w:rPr>
                <w:sz w:val="17"/>
              </w:rPr>
              <w:t>Betrieb der getrennten Umgebungen pacman-dev und pacman-prod</w:t>
            </w:r>
          </w:p>
        </w:tc>
      </w:tr>
      <w:tr>
        <w:tc>
          <w:tcPr>
            <w:tcW w:type="dxa" w:w="3400"/>
            <w:vAlign w:val="top"/>
          </w:tcPr>
          <w:p>
            <w:r>
              <w:rPr>
                <w:sz w:val="17"/>
              </w:rPr>
              <w:t>Anwendung im Cluster</w:t>
            </w:r>
          </w:p>
        </w:tc>
        <w:tc>
          <w:tcPr>
            <w:tcW w:type="dxa" w:w="3400"/>
            <w:vAlign w:val="top"/>
          </w:tcPr>
          <w:p>
            <w:r>
              <w:rPr>
                <w:sz w:val="17"/>
              </w:rPr>
              <w:t>Deployment, Service und Ingress</w:t>
            </w:r>
          </w:p>
        </w:tc>
        <w:tc>
          <w:tcPr>
            <w:tcW w:type="dxa" w:w="3400"/>
            <w:vAlign w:val="top"/>
          </w:tcPr>
          <w:p>
            <w:r>
              <w:rPr>
                <w:sz w:val="17"/>
              </w:rPr>
              <w:t>Bereitstellung und Erreichbarkeit der Pacman-Anwendung</w:t>
            </w:r>
          </w:p>
        </w:tc>
      </w:tr>
      <w:tr>
        <w:tc>
          <w:tcPr>
            <w:tcW w:type="dxa" w:w="3400"/>
            <w:vAlign w:val="top"/>
          </w:tcPr>
          <w:p>
            <w:r>
              <w:rPr>
                <w:sz w:val="17"/>
              </w:rPr>
              <w:t>Datenhaltung</w:t>
            </w:r>
          </w:p>
        </w:tc>
        <w:tc>
          <w:tcPr>
            <w:tcW w:type="dxa" w:w="3400"/>
            <w:vAlign w:val="top"/>
          </w:tcPr>
          <w:p>
            <w:r>
              <w:rPr>
                <w:sz w:val="17"/>
              </w:rPr>
              <w:t>MongoDB StatefulSet + PVC</w:t>
            </w:r>
          </w:p>
        </w:tc>
        <w:tc>
          <w:tcPr>
            <w:tcW w:type="dxa" w:w="3400"/>
            <w:vAlign w:val="top"/>
          </w:tcPr>
          <w:p>
            <w:r>
              <w:rPr>
                <w:sz w:val="17"/>
              </w:rPr>
              <w:t>Persistente Speicherung der Anwendungsdaten</w:t>
            </w:r>
          </w:p>
        </w:tc>
      </w:tr>
      <w:tr>
        <w:tc>
          <w:tcPr>
            <w:tcW w:type="dxa" w:w="3400"/>
            <w:vAlign w:val="top"/>
          </w:tcPr>
          <w:p>
            <w:r>
              <w:rPr>
                <w:sz w:val="17"/>
              </w:rPr>
              <w:t>Monitoring</w:t>
            </w:r>
          </w:p>
        </w:tc>
        <w:tc>
          <w:tcPr>
            <w:tcW w:type="dxa" w:w="3400"/>
            <w:vAlign w:val="top"/>
          </w:tcPr>
          <w:p>
            <w:r>
              <w:rPr>
                <w:sz w:val="17"/>
              </w:rPr>
              <w:t>Prometheus und Grafana</w:t>
            </w:r>
          </w:p>
        </w:tc>
        <w:tc>
          <w:tcPr>
            <w:tcW w:type="dxa" w:w="3400"/>
            <w:vAlign w:val="top"/>
          </w:tcPr>
          <w:p>
            <w:r>
              <w:rPr>
                <w:sz w:val="17"/>
              </w:rPr>
              <w:t>Metriken und Visualisierung des Betriebszustands</w:t>
            </w:r>
          </w:p>
        </w:tc>
      </w:tr>
    </w:tbl>
    <w:p/>
    <w:p>
      <w:pPr>
        <w:pStyle w:val="Heading2"/>
      </w:pPr>
      <w:r>
        <w:t>2.1 Datenfluss</w:t>
      </w:r>
    </w:p>
    <w:p>
      <w:r>
        <w:t>Der technische Ablauf lautet: Änderung in pacman-app → Git-Commit/Push → GitHub Actions → Build und Prüfung → Veröffentlichung des Images in GHCR → Aktualisierung der Image-Referenz im GitOps-Repository → Argo CD erkennt die Git-Änderung → Synchronisierung nach Kubernetes → Kubernetes startet bzw. aktualisiert die Pacman-Pods. Die Anwendung greift über den Kubernetes-Service auf MongoDB zu; MongoDB verwendet persistenten Speicher. Prometheus und Grafana bilden die Monitoring-Schicht.</w:t>
      </w:r>
    </w:p>
    <w:p>
      <w:r>
        <w:t>Wesentliche GitOps-Grenze: GitHub Actions deployt nicht direkt mit kubectl auf den privaten Cluster. Git enthält den gewünschten Zustand; Argo CD ist für den Abgleich mit dem Cluster verantwortlich.</w:t>
      </w:r>
    </w:p>
    <w:p/>
    <w:p>
      <w:pPr>
        <w:pStyle w:val="Heading2"/>
      </w:pPr>
      <w:r>
        <w:t>2.2 Rollen und Verantwortlichkeiten</w:t>
      </w:r>
    </w:p>
    <w:p>
      <w:r>
        <w:t xml:space="preserve">Das Projekt wird laut Prüfungsrahmen als Einzelarbeit durchgeführt. Eine Person übernimmt die Rolle Junior DevOps Engineer und deckt damit alle im Projekt anfallenden Verantwortungsbereiche ab; eine Trennung auf mehrere Personen ist projektbedingt nicht vorgesehen.</w:t>
      </w:r>
    </w:p>
    <w:p>
      <w:r>
        <w:rPr>
          <w:b/>
        </w:rPr>
        <w:t xml:space="preserve">Anwendungsentwicklung/Codeanalyse: </w:t>
      </w:r>
      <w:r>
        <w:t xml:space="preserve">Bewertung des Legacy-Codes, Anforderungen, Risikoanalyse (pacman-app).</w:t>
      </w:r>
    </w:p>
    <w:p>
      <w:r>
        <w:rPr>
          <w:b/>
        </w:rPr>
        <w:t xml:space="preserve">Containerisierung/CI: </w:t>
      </w:r>
      <w:r>
        <w:t xml:space="preserve">Dockerfile, Compose, GitHub-Actions-Workflows, Tests (pacman-app).</w:t>
      </w:r>
    </w:p>
    <w:p>
      <w:r>
        <w:rPr>
          <w:b/>
        </w:rPr>
        <w:t xml:space="preserve">Plattform/GitOps: </w:t>
      </w:r>
      <w:r>
        <w:t xml:space="preserve">Kustomize-Manifeste, Argo-CD-Konfiguration, Promotion/Rollback (pacman-gitops).</w:t>
      </w:r>
    </w:p>
    <w:p>
      <w:r>
        <w:rPr>
          <w:b/>
        </w:rPr>
        <w:t xml:space="preserve">Betrieb/Sicherheit: </w:t>
      </w:r>
      <w:r>
        <w:t xml:space="preserve">Secret-Handling, Monitoring, Backup/Restore, Betriebsskripte, Diagnose.</w:t>
      </w:r>
    </w:p>
    <w:p>
      <w:r>
        <w:rPr>
          <w:b/>
        </w:rPr>
        <w:t xml:space="preserve">Qualitätssicherung/Dokumentation: </w:t>
      </w:r>
      <w:r>
        <w:t xml:space="preserve">Tests, Fehleranalysen, DevOps-Fälle, die zehn Word-Dokumente und CSV-Nachweise.</w:t>
      </w:r>
    </w:p>
    <w:p>
      <w:r>
        <w:t xml:space="preserve">Die Repository-Berechtigungen (Abschnitt 10) und die getrennten Repositories pacman-app/pacman-gitops (Abschnitt 3) bilden dabei die technische statt organisatorische Rollentrennung: Anwendungsänderungen und Infrastrukturänderungen bleiben unabhängig überprüf- und zurücksetzbar, auch wenn beide von derselben Person durchgeführt werden.</w:t>
      </w:r>
    </w:p>
    <w:p/>
    <w:p>
      <w:pPr>
        <w:pStyle w:val="Heading1"/>
      </w:pPr>
      <w:r>
        <w:t>3. Repository-Trennung</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shd w:fill="1F4E78"/>
          </w:tcPr>
          <w:p>
            <w:r>
              <w:rPr>
                <w:b/>
                <w:color w:val="FFFFFF"/>
                <w:sz w:val="17"/>
              </w:rPr>
              <w:t>Repository</w:t>
            </w:r>
          </w:p>
        </w:tc>
        <w:tc>
          <w:tcPr>
            <w:tcW w:type="dxa" w:w="2550"/>
            <w:shd w:fill="1F4E78"/>
          </w:tcPr>
          <w:p>
            <w:r>
              <w:rPr>
                <w:b/>
                <w:color w:val="FFFFFF"/>
                <w:sz w:val="17"/>
              </w:rPr>
              <w:t>Zweck</w:t>
            </w:r>
          </w:p>
        </w:tc>
        <w:tc>
          <w:tcPr>
            <w:tcW w:type="dxa" w:w="2550"/>
            <w:shd w:fill="1F4E78"/>
          </w:tcPr>
          <w:p>
            <w:r>
              <w:rPr>
                <w:b/>
                <w:color w:val="FFFFFF"/>
                <w:sz w:val="17"/>
              </w:rPr>
              <w:t>Wesentliche Inhalte</w:t>
            </w:r>
          </w:p>
        </w:tc>
        <w:tc>
          <w:tcPr>
            <w:tcW w:type="dxa" w:w="2550"/>
            <w:shd w:fill="1F4E78"/>
          </w:tcPr>
          <w:p>
            <w:r>
              <w:rPr>
                <w:b/>
                <w:color w:val="FFFFFF"/>
                <w:sz w:val="17"/>
              </w:rPr>
              <w:t>Begründung</w:t>
            </w:r>
          </w:p>
        </w:tc>
      </w:tr>
      <w:tr>
        <w:tc>
          <w:tcPr>
            <w:tcW w:type="dxa" w:w="2550"/>
            <w:vAlign w:val="top"/>
          </w:tcPr>
          <w:p>
            <w:r>
              <w:rPr>
                <w:sz w:val="17"/>
              </w:rPr>
              <w:t>pacman-app</w:t>
            </w:r>
          </w:p>
        </w:tc>
        <w:tc>
          <w:tcPr>
            <w:tcW w:type="dxa" w:w="2550"/>
            <w:vAlign w:val="top"/>
          </w:tcPr>
          <w:p>
            <w:r>
              <w:rPr>
                <w:sz w:val="17"/>
              </w:rPr>
              <w:t>Anwendungs- und Build-Repository</w:t>
            </w:r>
          </w:p>
        </w:tc>
        <w:tc>
          <w:tcPr>
            <w:tcW w:type="dxa" w:w="2550"/>
            <w:vAlign w:val="top"/>
          </w:tcPr>
          <w:p>
            <w:r>
              <w:rPr>
                <w:sz w:val="17"/>
              </w:rPr>
              <w:t>Node.js-/Express-Quellcode, package.json/package-lock.json, Dockerfile, .dockerignore, compose.yaml, Tests, Skripte, .github/workflows und README.md</w:t>
            </w:r>
          </w:p>
        </w:tc>
        <w:tc>
          <w:tcPr>
            <w:tcW w:type="dxa" w:w="2550"/>
            <w:vAlign w:val="top"/>
          </w:tcPr>
          <w:p>
            <w:r>
              <w:rPr>
                <w:sz w:val="17"/>
              </w:rPr>
              <w:t>Softwareänderungen, Build und Tests bleiben von Kubernetes-/GitOps-Änderungen getrennt.</w:t>
            </w:r>
          </w:p>
        </w:tc>
      </w:tr>
      <w:tr>
        <w:tc>
          <w:tcPr>
            <w:tcW w:type="dxa" w:w="2550"/>
            <w:vAlign w:val="top"/>
          </w:tcPr>
          <w:p>
            <w:r>
              <w:rPr>
                <w:sz w:val="17"/>
              </w:rPr>
              <w:t>pacman-gitops</w:t>
            </w:r>
          </w:p>
        </w:tc>
        <w:tc>
          <w:tcPr>
            <w:tcW w:type="dxa" w:w="2550"/>
            <w:vAlign w:val="top"/>
          </w:tcPr>
          <w:p>
            <w:r>
              <w:rPr>
                <w:sz w:val="17"/>
              </w:rPr>
              <w:t>Kubernetes- und GitOps-Repository</w:t>
            </w:r>
          </w:p>
        </w:tc>
        <w:tc>
          <w:tcPr>
            <w:tcW w:type="dxa" w:w="2550"/>
            <w:vAlign w:val="top"/>
          </w:tcPr>
          <w:p>
            <w:r>
              <w:rPr>
                <w:sz w:val="17"/>
              </w:rPr>
              <w:t>apps/pacman/base, apps/pacman/overlays/dev, apps/pacman/overlays/prod, clusters/docker-desktop/argocd, platform/ und README.md</w:t>
            </w:r>
          </w:p>
        </w:tc>
        <w:tc>
          <w:tcPr>
            <w:tcW w:type="dxa" w:w="2550"/>
            <w:vAlign w:val="top"/>
          </w:tcPr>
          <w:p>
            <w:r>
              <w:rPr>
                <w:sz w:val="17"/>
              </w:rPr>
              <w:t>Git dient als versionierte Quelle des Kubernetes-Sollzustands; Argo CD kann Infrastrukturänderungen unabhängig vom Anwendungscode synchronisieren.</w:t>
            </w:r>
          </w:p>
        </w:tc>
      </w:tr>
    </w:tbl>
    <w:p/>
    <w:p>
      <w:r>
        <w:t>Die Trennung reduziert Kopplung und verbessert Rollback, Review und Nachvollziehbarkeit: Ein neuer Anwendungsstand kann gebaut werden, ohne unmittelbar den Cluster-Sollzustand zu verändern. Erst die versionierte Änderung im GitOps-Repository bestimmt, welches Image in einer Umgebung ausgerollt wird.</w:t>
      </w:r>
    </w:p>
    <w:p>
      <w:pPr>
        <w:pStyle w:val="Heading1"/>
      </w:pPr>
      <w:r>
        <w:t>4. Repository-Struktur</w:t>
      </w:r>
    </w:p>
    <w:p>
      <w:pPr>
        <w:pStyle w:val="Heading2"/>
      </w:pPr>
      <w:r>
        <w:t>4.1 pacman-app</w:t>
      </w:r>
    </w:p>
    <w:p>
      <w:r>
        <w:t>pacman-app/</w:t>
        <w:br/>
        <w:t>├── .github/workflows/</w:t>
        <w:br/>
        <w:t>├── tests/</w:t>
        <w:br/>
        <w:t>├── scripts/</w:t>
        <w:br/>
        <w:t>├── app.js, bin/, lib/, public/, routes/, views/</w:t>
        <w:br/>
        <w:t>├── package.json</w:t>
        <w:br/>
        <w:t>├── package-lock.json</w:t>
        <w:br/>
        <w:t>├── Dockerfile</w:t>
        <w:br/>
        <w:t>├── .dockerignore</w:t>
        <w:br/>
        <w:t>├── compose.yaml</w:t>
        <w:br/>
        <w:t>├── .env.example</w:t>
        <w:br/>
        <w:t>└── README.md</w:t>
      </w:r>
    </w:p>
    <w:p>
      <w:pPr>
        <w:pStyle w:val="Heading2"/>
      </w:pPr>
      <w:r>
        <w:t>4.2 pacman-gitops</w:t>
      </w:r>
    </w:p>
    <w:p>
      <w:r>
        <w:t>pacman-gitops/</w:t>
        <w:br/>
        <w:t>├── apps/pacman/base/</w:t>
        <w:br/>
        <w:t>├── apps/pacman/overlays/dev/</w:t>
        <w:br/>
        <w:t>├── apps/pacman/overlays/prod/</w:t>
        <w:br/>
        <w:t>├── clusters/docker-desktop/argocd/</w:t>
        <w:br/>
        <w:t>├── platform/ingress-nginx/</w:t>
        <w:br/>
        <w:t>├── platform/metrics-server/</w:t>
        <w:br/>
        <w:t>├── platform/monitoring/</w:t>
        <w:br/>
        <w:t>└── README.md</w:t>
      </w:r>
    </w:p>
    <w:p>
      <w:r>
        <w:t>Die GitOps-Struktur trennt gemeinsame Basiskonfiguration von umgebungsspezifischen Kustomize-Overlays. Dev und Prod werden als getrennte Namespaces betrieben. Argo-CD-Application-Dateien unter clusters/docker-desktop/argocd/ verknüpfen Git-Quelle und Zielnamespace.</w:t>
      </w:r>
    </w:p>
    <w:p>
      <w:pPr>
        <w:pStyle w:val="Heading1"/>
      </w:pPr>
      <w:r>
        <w:t>5. README und .gitignore</w:t>
      </w:r>
    </w:p>
    <w:p>
      <w:r>
        <w:t>Beide Repositories besitzen eine README.md als technischen Einstiegspunkt. In pacman-app werden Anwendung, Voraussetzungen, lokaler Build/Start und Projektstruktur beschrieben. Die README von pacman-gitops erläutert die GitOps-Struktur mit apps/, clusters/ und platform/ sowie die Synchronisierung mit Argo CD.</w:t>
      </w:r>
    </w:p>
    <w:p>
      <w:r>
        <w:t>Die .gitignore-Regeln verhindern, dass lokale Abhängigkeiten, Logs, Entwicklungsartefakte und Umgebungsdateien unbeabsichtigt versioniert werden. Für das GitOps-Repository gilt zusätzlich, dass kubeconfig-Dateien und andere vertrauliche lokale Informationen nicht in Git gespeichert werden. Kubernetes-Secret-Werte werden ebenfalls nicht als Klartext in den versionierten GitOps-Sollzustand aufgenommen.</w:t>
      </w:r>
    </w:p>
    <w:p>
      <w:pPr>
        <w:pStyle w:val="Heading1"/>
      </w:pPr>
      <w:r>
        <w:t>6. Branch- und Änderungsstrategie</w:t>
      </w:r>
    </w:p>
    <w:p>
      <w:r>
        <w:t>main dient als stabiler Hauptbranch. Fachlich zusammengehörige Änderungen werden in Feature-, Test- oder Fix-Branches bearbeitet und anschließend kontrolliert integriert. Im Projektverlauf wurde diese Strategie insbesondere für Containerisierung, GitHub Actions sowie zahlreiche Kubernetes-/GitOps- und Fehleranalysefälle eingesetzt.</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7"/>
              </w:rPr>
              <w:t>Repository</w:t>
            </w:r>
          </w:p>
        </w:tc>
        <w:tc>
          <w:tcPr>
            <w:tcW w:type="dxa" w:w="3400"/>
            <w:shd w:fill="1F4E78"/>
          </w:tcPr>
          <w:p>
            <w:r>
              <w:rPr>
                <w:b/>
                <w:color w:val="FFFFFF"/>
                <w:sz w:val="17"/>
              </w:rPr>
              <w:t>Nachgewiesene bzw. dokumentierte Branch-Beispiele</w:t>
            </w:r>
          </w:p>
        </w:tc>
        <w:tc>
          <w:tcPr>
            <w:tcW w:type="dxa" w:w="3400"/>
            <w:shd w:fill="1F4E78"/>
          </w:tcPr>
          <w:p>
            <w:r>
              <w:rPr>
                <w:b/>
                <w:color w:val="FFFFFF"/>
                <w:sz w:val="17"/>
              </w:rPr>
              <w:t>Zweck</w:t>
            </w:r>
          </w:p>
        </w:tc>
      </w:tr>
      <w:tr>
        <w:tc>
          <w:tcPr>
            <w:tcW w:type="dxa" w:w="3400"/>
            <w:vAlign w:val="top"/>
          </w:tcPr>
          <w:p>
            <w:r>
              <w:rPr>
                <w:sz w:val="17"/>
              </w:rPr>
              <w:t>pacman-app</w:t>
            </w:r>
          </w:p>
        </w:tc>
        <w:tc>
          <w:tcPr>
            <w:tcW w:type="dxa" w:w="3400"/>
            <w:vAlign w:val="top"/>
          </w:tcPr>
          <w:p>
            <w:r>
              <w:rPr>
                <w:sz w:val="17"/>
              </w:rPr>
              <w:t>feature/dockerfile-modernisierung; feature/github-actions; feature/tests</w:t>
            </w:r>
          </w:p>
        </w:tc>
        <w:tc>
          <w:tcPr>
            <w:tcW w:type="dxa" w:w="3400"/>
            <w:vAlign w:val="top"/>
          </w:tcPr>
          <w:p>
            <w:r>
              <w:rPr>
                <w:sz w:val="17"/>
              </w:rPr>
              <w:t>Containerisierung, CI/CD und Testintegration</w:t>
            </w:r>
          </w:p>
        </w:tc>
      </w:tr>
      <w:tr>
        <w:tc>
          <w:tcPr>
            <w:tcW w:type="dxa" w:w="3400"/>
            <w:vAlign w:val="top"/>
          </w:tcPr>
          <w:p>
            <w:r>
              <w:rPr>
                <w:sz w:val="17"/>
              </w:rPr>
              <w:t>pacman-gitops</w:t>
            </w:r>
          </w:p>
        </w:tc>
        <w:tc>
          <w:tcPr>
            <w:tcW w:type="dxa" w:w="3400"/>
            <w:vAlign w:val="top"/>
          </w:tcPr>
          <w:p>
            <w:r>
              <w:rPr>
                <w:sz w:val="17"/>
              </w:rPr>
              <w:t>feature/kubernetes-deployment; feature/argocd-config; feature/ap19-probes-security; test/ap28-d02-imagepull-fehler; fix/ap28-d02-imagepull-fehler; test/ap28-d03-readiness-fehler; fix/ap28-d03-readiness-fehler; test/ap28-d07-hpa-nicht-skaliert; fix/ap28-d07-hpa-nicht-skaliert</w:t>
            </w:r>
          </w:p>
        </w:tc>
        <w:tc>
          <w:tcPr>
            <w:tcW w:type="dxa" w:w="3400"/>
            <w:vAlign w:val="top"/>
          </w:tcPr>
          <w:p>
            <w:r>
              <w:rPr>
                <w:sz w:val="17"/>
              </w:rPr>
              <w:t>Kubernetes/GitOps-Umsetzung sowie kontrollierte Fehler- und Fix-Szenarien</w:t>
            </w:r>
          </w:p>
        </w:tc>
      </w:tr>
    </w:tbl>
    <w:p/>
    <w:p>
      <w:r>
        <w:t>Die späteren AP28-Branches zeigen, dass die Branch-Strategie nicht nur geplant, sondern auch für kontrollierte Fehlerfälle und deren Korrekturen genutzt wurde. Beispiele sind ImagePull-, Readiness-, HPA-, Secret-, Liveness-, NetworkPolicy-, ResourceQuota- und Backup-CronJob-Szenarien.</w:t>
      </w:r>
    </w:p>
    <w:p>
      <w:pPr>
        <w:pStyle w:val="Heading1"/>
      </w:pPr>
      <w:r>
        <w:t>7. Commit-Strategie und tatsächliche Historie</w:t>
      </w:r>
    </w:p>
    <w:p>
      <w:r>
        <w:t>Änderungen werden in kleinen, fachlich zusammenhängenden Commits dokumentiert. Im aktuellen Projektverlauf werden überwiegend Conventional-Commit-Präfixe wie feat:, fix:, test:, ci:, docs: und chore: verwendet. Dadurch ist aus der Historie erkennbar, ob eine Änderung Funktion, Fehlerbehebung, Test, CI/CD, Dokumentation oder Wartung betrifft.</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F4E78"/>
          </w:tcPr>
          <w:p>
            <w:r>
              <w:rPr>
                <w:b/>
                <w:color w:val="FFFFFF"/>
                <w:sz w:val="17"/>
              </w:rPr>
              <w:t>Commit (Beispiel aus der vorhandenen Historie)</w:t>
            </w:r>
          </w:p>
        </w:tc>
        <w:tc>
          <w:tcPr>
            <w:tcW w:type="dxa" w:w="5100"/>
            <w:shd w:fill="1F4E78"/>
          </w:tcPr>
          <w:p>
            <w:r>
              <w:rPr>
                <w:b/>
                <w:color w:val="FFFFFF"/>
                <w:sz w:val="17"/>
              </w:rPr>
              <w:t>Bedeutung</w:t>
            </w:r>
          </w:p>
        </w:tc>
      </w:tr>
      <w:tr>
        <w:tc>
          <w:tcPr>
            <w:tcW w:type="dxa" w:w="5100"/>
            <w:vAlign w:val="top"/>
          </w:tcPr>
          <w:p>
            <w:r>
              <w:rPr>
                <w:sz w:val="17"/>
              </w:rPr>
              <w:t>99ac6e1  test: ungültigen Image-Tag für AP28 D02 setzen</w:t>
            </w:r>
          </w:p>
        </w:tc>
        <w:tc>
          <w:tcPr>
            <w:tcW w:type="dxa" w:w="5100"/>
            <w:vAlign w:val="top"/>
          </w:tcPr>
          <w:p>
            <w:r>
              <w:rPr>
                <w:sz w:val="17"/>
              </w:rPr>
              <w:t>Kontrollierter ImagePull-Fehler</w:t>
            </w:r>
          </w:p>
        </w:tc>
      </w:tr>
      <w:tr>
        <w:tc>
          <w:tcPr>
            <w:tcW w:type="dxa" w:w="5100"/>
            <w:vAlign w:val="top"/>
          </w:tcPr>
          <w:p>
            <w:r>
              <w:rPr>
                <w:sz w:val="17"/>
              </w:rPr>
              <w:t>03561ce  fix: gültigen Image-Tag für AP28 D02 wiederherstellen</w:t>
            </w:r>
          </w:p>
        </w:tc>
        <w:tc>
          <w:tcPr>
            <w:tcW w:type="dxa" w:w="5100"/>
            <w:vAlign w:val="top"/>
          </w:tcPr>
          <w:p>
            <w:r>
              <w:rPr>
                <w:sz w:val="17"/>
              </w:rPr>
              <w:t>Wiederherstellung des gültigen Sollzustands</w:t>
            </w:r>
          </w:p>
        </w:tc>
      </w:tr>
      <w:tr>
        <w:tc>
          <w:tcPr>
            <w:tcW w:type="dxa" w:w="5100"/>
            <w:vAlign w:val="top"/>
          </w:tcPr>
          <w:p>
            <w:r>
              <w:rPr>
                <w:sz w:val="17"/>
              </w:rPr>
              <w:t>3dcf950  test: fehlerhafte Readiness Probe für AP28 D03 setzen</w:t>
            </w:r>
          </w:p>
        </w:tc>
        <w:tc>
          <w:tcPr>
            <w:tcW w:type="dxa" w:w="5100"/>
            <w:vAlign w:val="top"/>
          </w:tcPr>
          <w:p>
            <w:r>
              <w:rPr>
                <w:sz w:val="17"/>
              </w:rPr>
              <w:t>Kontrollierter Probe-Fehler</w:t>
            </w:r>
          </w:p>
        </w:tc>
      </w:tr>
      <w:tr>
        <w:tc>
          <w:tcPr>
            <w:tcW w:type="dxa" w:w="5100"/>
            <w:vAlign w:val="top"/>
          </w:tcPr>
          <w:p>
            <w:r>
              <w:rPr>
                <w:sz w:val="17"/>
              </w:rPr>
              <w:t>98afd8c  fix: korrekte Readiness Probe für AP28 D03 wiederherstellen</w:t>
            </w:r>
          </w:p>
        </w:tc>
        <w:tc>
          <w:tcPr>
            <w:tcW w:type="dxa" w:w="5100"/>
            <w:vAlign w:val="top"/>
          </w:tcPr>
          <w:p>
            <w:r>
              <w:rPr>
                <w:sz w:val="17"/>
              </w:rPr>
              <w:t>Fehlerbehebung und Nachtest</w:t>
            </w:r>
          </w:p>
        </w:tc>
      </w:tr>
      <w:tr>
        <w:tc>
          <w:tcPr>
            <w:tcW w:type="dxa" w:w="5100"/>
            <w:vAlign w:val="top"/>
          </w:tcPr>
          <w:p>
            <w:r>
              <w:rPr>
                <w:sz w:val="17"/>
              </w:rPr>
              <w:t>32e3911  test: unrealistischen HPA-Zielwert für Dev aktivieren</w:t>
            </w:r>
          </w:p>
        </w:tc>
        <w:tc>
          <w:tcPr>
            <w:tcW w:type="dxa" w:w="5100"/>
            <w:vAlign w:val="top"/>
          </w:tcPr>
          <w:p>
            <w:r>
              <w:rPr>
                <w:sz w:val="17"/>
              </w:rPr>
              <w:t>Kontrollierter HPA-Fehler</w:t>
            </w:r>
          </w:p>
        </w:tc>
      </w:tr>
      <w:tr>
        <w:tc>
          <w:tcPr>
            <w:tcW w:type="dxa" w:w="5100"/>
            <w:vAlign w:val="top"/>
          </w:tcPr>
          <w:p>
            <w:r>
              <w:rPr>
                <w:sz w:val="17"/>
              </w:rPr>
              <w:t>13ddb74  fix: Argo CD ignoreDifferences für HPA-verwaltete Replicas</w:t>
            </w:r>
          </w:p>
        </w:tc>
        <w:tc>
          <w:tcPr>
            <w:tcW w:type="dxa" w:w="5100"/>
            <w:vAlign w:val="top"/>
          </w:tcPr>
          <w:p>
            <w:r>
              <w:rPr>
                <w:sz w:val="17"/>
              </w:rPr>
              <w:t>GitOps/HPA-Konflikt behoben</w:t>
            </w:r>
          </w:p>
        </w:tc>
      </w:tr>
      <w:tr>
        <w:tc>
          <w:tcPr>
            <w:tcW w:type="dxa" w:w="5100"/>
            <w:vAlign w:val="top"/>
          </w:tcPr>
          <w:p>
            <w:r>
              <w:rPr>
                <w:sz w:val="17"/>
              </w:rPr>
              <w:t>b78748a  test: AP28 D09 - falscher MongoDB-Hostname im Backup-CronJob (pacman-dev)</w:t>
            </w:r>
          </w:p>
        </w:tc>
        <w:tc>
          <w:tcPr>
            <w:tcW w:type="dxa" w:w="5100"/>
            <w:vAlign w:val="top"/>
          </w:tcPr>
          <w:p>
            <w:r>
              <w:rPr>
                <w:sz w:val="17"/>
              </w:rPr>
              <w:t>Kontrollierter Backup-Fehler</w:t>
            </w:r>
          </w:p>
        </w:tc>
      </w:tr>
      <w:tr>
        <w:tc>
          <w:tcPr>
            <w:tcW w:type="dxa" w:w="5100"/>
            <w:vAlign w:val="top"/>
          </w:tcPr>
          <w:p>
            <w:r>
              <w:rPr>
                <w:sz w:val="17"/>
              </w:rPr>
              <w:t>7691889  fix: AP28 D09 - korrekten MongoDB-Hostname im Backup-CronJob wiederherstellen</w:t>
            </w:r>
          </w:p>
        </w:tc>
        <w:tc>
          <w:tcPr>
            <w:tcW w:type="dxa" w:w="5100"/>
            <w:vAlign w:val="top"/>
          </w:tcPr>
          <w:p>
            <w:r>
              <w:rPr>
                <w:sz w:val="17"/>
              </w:rPr>
              <w:t>Wiederherstellung der Backup-Konfiguration</w:t>
            </w:r>
          </w:p>
        </w:tc>
      </w:tr>
    </w:tbl>
    <w:p/>
    <w:p>
      <w:r>
        <w:t>Die vollständige Commit-Anzahl wird nicht aus Beispielen abgeleitet. Für die IHK-Abgabe ist der gesonderte Git-Nachweis beider Repositories maßgeblich; dort muss die Mindestanforderung von 20 fachlich sinnvollen Commits anhand der tatsächlichen Historie nachvollziehbar sein.</w:t>
      </w:r>
    </w:p>
    <w:p>
      <w:pPr>
        <w:pStyle w:val="Heading1"/>
      </w:pPr>
      <w:r>
        <w:t>8. Pull-Request-Strategie</w:t>
      </w:r>
    </w:p>
    <w:p>
      <w:r>
        <w:t>Die kontrollierte Integration wurde praktisch über Pull Requests umgesetzt. Aus dem Projekthauptdokument sind mindestens zwei fachlich relevante, als „Merged“ dokumentierte Pull Requests belegt.</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2040"/>
            <w:shd w:fill="1F4E78"/>
          </w:tcPr>
          <w:p>
            <w:r>
              <w:rPr>
                <w:b/>
                <w:color w:val="FFFFFF"/>
                <w:sz w:val="17"/>
              </w:rPr>
              <w:t>Pull Request</w:t>
            </w:r>
          </w:p>
        </w:tc>
        <w:tc>
          <w:tcPr>
            <w:tcW w:type="dxa" w:w="2040"/>
            <w:shd w:fill="1F4E78"/>
          </w:tcPr>
          <w:p>
            <w:r>
              <w:rPr>
                <w:b/>
                <w:color w:val="FFFFFF"/>
                <w:sz w:val="17"/>
              </w:rPr>
              <w:t>Quell-Branch</w:t>
            </w:r>
          </w:p>
        </w:tc>
        <w:tc>
          <w:tcPr>
            <w:tcW w:type="dxa" w:w="2040"/>
            <w:shd w:fill="1F4E78"/>
          </w:tcPr>
          <w:p>
            <w:r>
              <w:rPr>
                <w:b/>
                <w:color w:val="FFFFFF"/>
                <w:sz w:val="17"/>
              </w:rPr>
              <w:t>Ziel</w:t>
            </w:r>
          </w:p>
        </w:tc>
        <w:tc>
          <w:tcPr>
            <w:tcW w:type="dxa" w:w="2040"/>
            <w:shd w:fill="1F4E78"/>
          </w:tcPr>
          <w:p>
            <w:r>
              <w:rPr>
                <w:b/>
                <w:color w:val="FFFFFF"/>
                <w:sz w:val="17"/>
              </w:rPr>
              <w:t>Status</w:t>
            </w:r>
          </w:p>
        </w:tc>
        <w:tc>
          <w:tcPr>
            <w:tcW w:type="dxa" w:w="2040"/>
            <w:shd w:fill="1F4E78"/>
          </w:tcPr>
          <w:p>
            <w:r>
              <w:rPr>
                <w:b/>
                <w:color w:val="FFFFFF"/>
                <w:sz w:val="17"/>
              </w:rPr>
              <w:t>Zweck</w:t>
            </w:r>
          </w:p>
        </w:tc>
      </w:tr>
      <w:tr>
        <w:tc>
          <w:tcPr>
            <w:tcW w:type="dxa" w:w="2040"/>
            <w:vAlign w:val="top"/>
          </w:tcPr>
          <w:p>
            <w:r>
              <w:rPr>
                <w:sz w:val="17"/>
              </w:rPr>
              <w:t>#2</w:t>
            </w:r>
          </w:p>
        </w:tc>
        <w:tc>
          <w:tcPr>
            <w:tcW w:type="dxa" w:w="2040"/>
            <w:vAlign w:val="top"/>
          </w:tcPr>
          <w:p>
            <w:r>
              <w:rPr>
                <w:sz w:val="17"/>
              </w:rPr>
              <w:t>feature/dockerfile-modernisierung</w:t>
            </w:r>
          </w:p>
        </w:tc>
        <w:tc>
          <w:tcPr>
            <w:tcW w:type="dxa" w:w="2040"/>
            <w:vAlign w:val="top"/>
          </w:tcPr>
          <w:p>
            <w:r>
              <w:rPr>
                <w:sz w:val="17"/>
              </w:rPr>
              <w:t>main</w:t>
            </w:r>
          </w:p>
        </w:tc>
        <w:tc>
          <w:tcPr>
            <w:tcW w:type="dxa" w:w="2040"/>
            <w:vAlign w:val="top"/>
          </w:tcPr>
          <w:p>
            <w:r>
              <w:rPr>
                <w:sz w:val="17"/>
              </w:rPr>
              <w:t>Merged</w:t>
            </w:r>
          </w:p>
        </w:tc>
        <w:tc>
          <w:tcPr>
            <w:tcW w:type="dxa" w:w="2040"/>
            <w:vAlign w:val="top"/>
          </w:tcPr>
          <w:p>
            <w:r>
              <w:rPr>
                <w:sz w:val="17"/>
              </w:rPr>
              <w:t>Modernisierung des Dockerfiles und Vorbereitung eines reproduzierbaren Container-Builds</w:t>
            </w:r>
          </w:p>
        </w:tc>
      </w:tr>
      <w:tr>
        <w:tc>
          <w:tcPr>
            <w:tcW w:type="dxa" w:w="2040"/>
            <w:vAlign w:val="top"/>
          </w:tcPr>
          <w:p>
            <w:r>
              <w:rPr>
                <w:sz w:val="17"/>
              </w:rPr>
              <w:t>#3</w:t>
            </w:r>
          </w:p>
        </w:tc>
        <w:tc>
          <w:tcPr>
            <w:tcW w:type="dxa" w:w="2040"/>
            <w:vAlign w:val="top"/>
          </w:tcPr>
          <w:p>
            <w:r>
              <w:rPr>
                <w:sz w:val="17"/>
              </w:rPr>
              <w:t>feature/github-actions</w:t>
            </w:r>
          </w:p>
        </w:tc>
        <w:tc>
          <w:tcPr>
            <w:tcW w:type="dxa" w:w="2040"/>
            <w:vAlign w:val="top"/>
          </w:tcPr>
          <w:p>
            <w:r>
              <w:rPr>
                <w:sz w:val="17"/>
              </w:rPr>
              <w:t>main</w:t>
            </w:r>
          </w:p>
        </w:tc>
        <w:tc>
          <w:tcPr>
            <w:tcW w:type="dxa" w:w="2040"/>
            <w:vAlign w:val="top"/>
          </w:tcPr>
          <w:p>
            <w:r>
              <w:rPr>
                <w:sz w:val="17"/>
              </w:rPr>
              <w:t>Merged</w:t>
            </w:r>
          </w:p>
        </w:tc>
        <w:tc>
          <w:tcPr>
            <w:tcW w:type="dxa" w:w="2040"/>
            <w:vAlign w:val="top"/>
          </w:tcPr>
          <w:p>
            <w:r>
              <w:rPr>
                <w:sz w:val="17"/>
              </w:rPr>
              <w:t>Integration der GitHub-Actions-CI-Pipeline für automatisierte Build- und Testprozesse</w:t>
            </w:r>
          </w:p>
        </w:tc>
      </w:tr>
    </w:tbl>
    <w:p/>
    <w:p>
      <w:r>
        <w:t>Hinweis zur Nachweisqualität: Eine zusätzlich vorhandene GitHub-Abbildung zeigt einen späteren Pull Request zur Dockerfile-Modernisierung mit einer anderen PR-Nummer. Deshalb verwendet dieses Dokument für die tabellarische Konsolidierung ausschließlich die im Projekthauptdokument ausdrücklich als #2 und #3 bezeichneten Pull Requests. Die endgültige Abgabe sollte PR-Nummern immer mit einem aktuellen GitHub-Nachweis abgleichen.</w:t>
      </w:r>
    </w:p>
    <w:p>
      <w:pPr>
        <w:pStyle w:val="Heading1"/>
      </w:pPr>
      <w:r>
        <w:t>9. Image- und Release-Versionierung</w:t>
      </w:r>
    </w:p>
    <w:p>
      <w:r>
        <w:t>Für Container-Images ist der unveränderliche Commit-SHA die zentrale technische Referenz. Im späteren Projektverlauf wurden Dev-Image-Referenzen nachweislich auf konkrete vollständige Commit-SHAs aktualisiert, z. B. a4c49abd81d9f5c4472b90110cb3fca5ae0348c2 und ac7aa707ef75e3297e7f6a9c2f7f922094609279. Damit lässt sich ein ausgerolltes Image einem konkreten Quellcode-Stand zuordnen.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7"/>
              </w:rPr>
              <w:t>Referenz</w:t>
            </w:r>
          </w:p>
        </w:tc>
        <w:tc>
          <w:tcPr>
            <w:tcW w:type="dxa" w:w="3400"/>
            <w:shd w:fill="1F4E78"/>
          </w:tcPr>
          <w:p>
            <w:r>
              <w:rPr>
                <w:b/>
                <w:color w:val="FFFFFF"/>
                <w:sz w:val="17"/>
              </w:rPr>
              <w:t>Eigenschaft</w:t>
            </w:r>
          </w:p>
        </w:tc>
        <w:tc>
          <w:tcPr>
            <w:tcW w:type="dxa" w:w="3400"/>
            <w:shd w:fill="1F4E78"/>
          </w:tcPr>
          <w:p>
            <w:r>
              <w:rPr>
                <w:b/>
                <w:color w:val="FFFFFF"/>
                <w:sz w:val="17"/>
              </w:rPr>
              <w:t>Verwendung im Projekt</w:t>
            </w:r>
          </w:p>
        </w:tc>
      </w:tr>
      <w:tr>
        <w:tc>
          <w:tcPr>
            <w:tcW w:type="dxa" w:w="3400"/>
            <w:vAlign w:val="top"/>
          </w:tcPr>
          <w:p>
            <w:r>
              <w:rPr>
                <w:sz w:val="17"/>
              </w:rPr>
              <w:t>Commit SHA</w:t>
            </w:r>
          </w:p>
        </w:tc>
        <w:tc>
          <w:tcPr>
            <w:tcW w:type="dxa" w:w="3400"/>
            <w:vAlign w:val="top"/>
          </w:tcPr>
          <w:p>
            <w:r>
              <w:rPr>
                <w:sz w:val="17"/>
              </w:rPr>
              <w:t>Git-Identität eines Quellcode-Stands</w:t>
            </w:r>
          </w:p>
        </w:tc>
        <w:tc>
          <w:tcPr>
            <w:tcW w:type="dxa" w:w="3400"/>
            <w:vAlign w:val="top"/>
          </w:tcPr>
          <w:p>
            <w:r>
              <w:rPr>
                <w:sz w:val="17"/>
              </w:rPr>
              <w:t>Grundlage für unveränderliche Image-Tags und Nachvollziehbarkeit</w:t>
            </w:r>
          </w:p>
        </w:tc>
      </w:tr>
      <w:tr>
        <w:tc>
          <w:tcPr>
            <w:tcW w:type="dxa" w:w="3400"/>
            <w:vAlign w:val="top"/>
          </w:tcPr>
          <w:p>
            <w:r>
              <w:rPr>
                <w:sz w:val="17"/>
              </w:rPr>
              <w:t>Image Tag auf Commit-SHA-Basis</w:t>
            </w:r>
          </w:p>
        </w:tc>
        <w:tc>
          <w:tcPr>
            <w:tcW w:type="dxa" w:w="3400"/>
            <w:vAlign w:val="top"/>
          </w:tcPr>
          <w:p>
            <w:r>
              <w:rPr>
                <w:sz w:val="17"/>
              </w:rPr>
              <w:t>Lesbare Registry-Referenz auf einen Build</w:t>
            </w:r>
          </w:p>
        </w:tc>
        <w:tc>
          <w:tcPr>
            <w:tcW w:type="dxa" w:w="3400"/>
            <w:vAlign w:val="top"/>
          </w:tcPr>
          <w:p>
            <w:r>
              <w:rPr>
                <w:sz w:val="17"/>
              </w:rPr>
              <w:t>GitOps-Overlay referenziert den gewünschten Anwendungsstand</w:t>
            </w:r>
          </w:p>
        </w:tc>
      </w:tr>
      <w:tr>
        <w:tc>
          <w:tcPr>
            <w:tcW w:type="dxa" w:w="3400"/>
            <w:vAlign w:val="top"/>
          </w:tcPr>
          <w:p>
            <w:r>
              <w:rPr>
                <w:sz w:val="17"/>
              </w:rPr>
              <w:t>Image Digest</w:t>
            </w:r>
          </w:p>
        </w:tc>
        <w:tc>
          <w:tcPr>
            <w:tcW w:type="dxa" w:w="3400"/>
            <w:vAlign w:val="top"/>
          </w:tcPr>
          <w:p>
            <w:r>
              <w:rPr>
                <w:sz w:val="17"/>
              </w:rPr>
              <w:t>Inhaltsadressierte Registry-Identität</w:t>
            </w:r>
          </w:p>
        </w:tc>
        <w:tc>
          <w:tcPr>
            <w:tcW w:type="dxa" w:w="3400"/>
            <w:vAlign w:val="top"/>
          </w:tcPr>
          <w:p>
            <w:r>
              <w:rPr>
                <w:sz w:val="17"/>
              </w:rPr>
              <w:t>Geeignet für besonders strikte, unveränderliche Deployment-Nachweise</w:t>
            </w:r>
          </w:p>
        </w:tc>
      </w:tr>
      <w:tr>
        <w:tc>
          <w:tcPr>
            <w:tcW w:type="dxa" w:w="3400"/>
            <w:vAlign w:val="top"/>
          </w:tcPr>
          <w:p>
            <w:r>
              <w:rPr>
                <w:sz w:val="17"/>
              </w:rPr>
              <w:t>Release-Tag</w:t>
            </w:r>
          </w:p>
        </w:tc>
        <w:tc>
          <w:tcPr>
            <w:tcW w:type="dxa" w:w="3400"/>
            <w:vAlign w:val="top"/>
          </w:tcPr>
          <w:p>
            <w:r>
              <w:rPr>
                <w:sz w:val="17"/>
              </w:rPr>
              <w:t>Fachliche Release-Kennzeichnung</w:t>
            </w:r>
          </w:p>
        </w:tc>
        <w:tc>
          <w:tcPr>
            <w:tcW w:type="dxa" w:w="3400"/>
            <w:vAlign w:val="top"/>
          </w:tcPr>
          <w:p>
            <w:r>
              <w:rPr>
                <w:sz w:val="17"/>
              </w:rPr>
              <w:t>Für freigegebene Softwarestände; konkrete Release-Historie wird in der Release-Dokumentation geführt</w:t>
            </w:r>
          </w:p>
        </w:tc>
      </w:tr>
    </w:tbl>
    <w:p/>
    <w:p>
      <w:r>
        <w:t>Wichtig: Eine ältere Dokumentationsfassung beschrieb zusätzlich latest. Die verbindliche Prüfung untersagt latest-Tags für die finale Lösung. Für dieses Gesamtdokument wird deshalb der Commit-SHA-basierte, unveränderliche Stand als maßgebliche Projektstrategie festgehalten.</w:t>
      </w:r>
    </w:p>
    <w:p>
      <w:pPr>
        <w:pStyle w:val="Heading1"/>
      </w:pPr>
      <w:r>
        <w:t>10. Berechtigungs- und Secret-Konzept</w:t>
      </w:r>
    </w:p>
    <w:p>
      <w:r>
        <w:t>Die Repositories sind im Projekthauptdokument als privat dokumentiert. GitHub Actions benötigt nur die Berechtigungen, die für den jeweiligen Workflow erforderlich sind. Für die Veröffentlichung nach GHCR wird das von GitHub bereitgestellte GITHUB_TOKEN verwendet; ein separater persönlicher Registry-Token ist dafür nicht erforderlich. Sensible Werte dürfen weder in Git noch in Screenshots oder Logs erscheinen.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7"/>
              </w:rPr>
              <w:t>Bereich</w:t>
            </w:r>
          </w:p>
        </w:tc>
        <w:tc>
          <w:tcPr>
            <w:tcW w:type="dxa" w:w="3400"/>
            <w:shd w:fill="1F4E78"/>
          </w:tcPr>
          <w:p>
            <w:r>
              <w:rPr>
                <w:b/>
                <w:color w:val="FFFFFF"/>
                <w:sz w:val="17"/>
              </w:rPr>
              <w:t>Projektkonzept</w:t>
            </w:r>
          </w:p>
        </w:tc>
        <w:tc>
          <w:tcPr>
            <w:tcW w:type="dxa" w:w="3400"/>
            <w:shd w:fill="1F4E78"/>
          </w:tcPr>
          <w:p>
            <w:r>
              <w:rPr>
                <w:b/>
                <w:color w:val="FFFFFF"/>
                <w:sz w:val="17"/>
              </w:rPr>
              <w:t>Sicherheitsbewertung</w:t>
            </w:r>
          </w:p>
        </w:tc>
      </w:tr>
      <w:tr>
        <w:tc>
          <w:tcPr>
            <w:tcW w:type="dxa" w:w="3400"/>
            <w:vAlign w:val="top"/>
          </w:tcPr>
          <w:p>
            <w:r>
              <w:rPr>
                <w:sz w:val="17"/>
              </w:rPr>
              <w:t>GitHub Repository</w:t>
            </w:r>
          </w:p>
        </w:tc>
        <w:tc>
          <w:tcPr>
            <w:tcW w:type="dxa" w:w="3400"/>
            <w:vAlign w:val="top"/>
          </w:tcPr>
          <w:p>
            <w:r>
              <w:rPr>
                <w:sz w:val="17"/>
              </w:rPr>
              <w:t>Private Repositories; Änderungen kontrolliert über Branches/PRs</w:t>
            </w:r>
          </w:p>
        </w:tc>
        <w:tc>
          <w:tcPr>
            <w:tcW w:type="dxa" w:w="3400"/>
            <w:vAlign w:val="top"/>
          </w:tcPr>
          <w:p>
            <w:r>
              <w:rPr>
                <w:sz w:val="17"/>
              </w:rPr>
              <w:t>Reduziert unbeabsichtigte Veröffentlichung und verbessert Review</w:t>
            </w:r>
          </w:p>
        </w:tc>
      </w:tr>
      <w:tr>
        <w:tc>
          <w:tcPr>
            <w:tcW w:type="dxa" w:w="3400"/>
            <w:vAlign w:val="top"/>
          </w:tcPr>
          <w:p>
            <w:r>
              <w:rPr>
                <w:sz w:val="17"/>
              </w:rPr>
              <w:t>GitHub Actions</w:t>
            </w:r>
          </w:p>
        </w:tc>
        <w:tc>
          <w:tcPr>
            <w:tcW w:type="dxa" w:w="3400"/>
            <w:vAlign w:val="top"/>
          </w:tcPr>
          <w:p>
            <w:r>
              <w:rPr>
                <w:sz w:val="17"/>
              </w:rPr>
              <w:t>Workflow-Berechtigungen nur für benötigte Lese-/Schreiboperationen</w:t>
            </w:r>
          </w:p>
        </w:tc>
        <w:tc>
          <w:tcPr>
            <w:tcW w:type="dxa" w:w="3400"/>
            <w:vAlign w:val="top"/>
          </w:tcPr>
          <w:p>
            <w:r>
              <w:rPr>
                <w:sz w:val="17"/>
              </w:rPr>
              <w:t>Least Privilege sollte workflowbezogen umgesetzt werden</w:t>
            </w:r>
          </w:p>
        </w:tc>
      </w:tr>
      <w:tr>
        <w:tc>
          <w:tcPr>
            <w:tcW w:type="dxa" w:w="3400"/>
            <w:vAlign w:val="top"/>
          </w:tcPr>
          <w:p>
            <w:r>
              <w:rPr>
                <w:sz w:val="17"/>
              </w:rPr>
              <w:t>GHCR</w:t>
            </w:r>
          </w:p>
        </w:tc>
        <w:tc>
          <w:tcPr>
            <w:tcW w:type="dxa" w:w="3400"/>
            <w:vAlign w:val="top"/>
          </w:tcPr>
          <w:p>
            <w:r>
              <w:rPr>
                <w:sz w:val="17"/>
              </w:rPr>
              <w:t>Authentifizierung über GITHUB_TOKEN</w:t>
            </w:r>
          </w:p>
        </w:tc>
        <w:tc>
          <w:tcPr>
            <w:tcW w:type="dxa" w:w="3400"/>
            <w:vAlign w:val="top"/>
          </w:tcPr>
          <w:p>
            <w:r>
              <w:rPr>
                <w:sz w:val="17"/>
              </w:rPr>
              <w:t>Kein zusätzliches statisches Registry-Passwort im Repository</w:t>
            </w:r>
          </w:p>
        </w:tc>
      </w:tr>
      <w:tr>
        <w:tc>
          <w:tcPr>
            <w:tcW w:type="dxa" w:w="3400"/>
            <w:vAlign w:val="top"/>
          </w:tcPr>
          <w:p>
            <w:r>
              <w:rPr>
                <w:sz w:val="17"/>
              </w:rPr>
              <w:t>Kubernetes Secrets</w:t>
            </w:r>
          </w:p>
        </w:tc>
        <w:tc>
          <w:tcPr>
            <w:tcW w:type="dxa" w:w="3400"/>
            <w:vAlign w:val="top"/>
          </w:tcPr>
          <w:p>
            <w:r>
              <w:rPr>
                <w:sz w:val="17"/>
              </w:rPr>
              <w:t>MongoDB-Zugangsdaten außerhalb des versionierten Klartexts</w:t>
            </w:r>
          </w:p>
        </w:tc>
        <w:tc>
          <w:tcPr>
            <w:tcW w:type="dxa" w:w="3400"/>
            <w:vAlign w:val="top"/>
          </w:tcPr>
          <w:p>
            <w:r>
              <w:rPr>
                <w:sz w:val="17"/>
              </w:rPr>
              <w:t>Secret-Werte nicht in Git, Logs oder Screenshots ausgeben</w:t>
            </w:r>
          </w:p>
        </w:tc>
      </w:tr>
      <w:tr>
        <w:tc>
          <w:tcPr>
            <w:tcW w:type="dxa" w:w="3400"/>
            <w:vAlign w:val="top"/>
          </w:tcPr>
          <w:p>
            <w:r>
              <w:rPr>
                <w:sz w:val="17"/>
              </w:rPr>
              <w:t>Argo CD</w:t>
            </w:r>
          </w:p>
        </w:tc>
        <w:tc>
          <w:tcPr>
            <w:tcW w:type="dxa" w:w="3400"/>
            <w:vAlign w:val="top"/>
          </w:tcPr>
          <w:p>
            <w:r>
              <w:rPr>
                <w:sz w:val="17"/>
              </w:rPr>
              <w:t>Synchronisiert GitOps-Sollzustand; kein Direktdeployment aus CI</w:t>
            </w:r>
          </w:p>
        </w:tc>
        <w:tc>
          <w:tcPr>
            <w:tcW w:type="dxa" w:w="3400"/>
            <w:vAlign w:val="top"/>
          </w:tcPr>
          <w:p>
            <w:r>
              <w:rPr>
                <w:sz w:val="17"/>
              </w:rPr>
              <w:t>Klare Trennung zwischen CI und Cluster-Zugriff</w:t>
            </w:r>
          </w:p>
        </w:tc>
      </w:tr>
    </w:tbl>
    <w:p/>
    <w:p>
      <w:r>
        <w:t>Abweichung gegenüber einer älteren Dokumentationsfassung: Dort wurden ARGOCD_SERVER, ARGOCD_AUTH_TOKEN und MONGODB_PASSWORD als Repository-Secrets für eine direkte GitOps-Bereitstellung durch die Pipeline beschrieben. Der verbindliche Projektaufbau sieht jedoch kein direktes Deployment aus GitHub Actions auf den privaten Cluster vor. Diese Werte werden deshalb hier nicht als notwendige CI-Secrets des finalen Architekturkonzepts geführt.</w:t>
      </w:r>
    </w:p>
    <w:p>
      <w:pPr>
        <w:pStyle w:val="Heading1"/>
      </w:pPr>
      <w:r>
        <w:t>11. GitOps-Zusammenhang und Rollback</w:t>
      </w:r>
    </w:p>
    <w:p>
      <w:r>
        <w:t>Argo CD vergleicht den in pacman-gitops versionierten Sollzustand mit dem Istzustand im Cluster. Drift kann dadurch erkannt und - abhängig von der Application-Konfiguration - korrigiert werden. Der dokumentierte Dev-Stand zeigte beispielsweise pacman-dev als Synced und Healthy. Für HPA-verwaltete Replicas wurde in der Argo-CD-Application ein ignoreDifferences-Eintrag für /spec/replicas verwendet, damit die gewünschte HPA-Steuerung nicht als unerwünschte Drift zurückgesetzt wird.</w:t>
      </w:r>
    </w:p>
    <w:p>
      <w:r>
        <w:t>Rollback erfolgt Git-basiert: Eine fehlerhafte GitOps-Änderung wird durch Revert oder eine gezielte Rückkehr zu einer vorherigen Image-Referenz korrigiert. Argo CD synchronisiert anschließend wieder den versionierten Sollzustand. Die Git-Historie bleibt dadurch als Audit-Trail erhalten.</w:t>
      </w:r>
    </w:p>
    <w:p>
      <w:pPr>
        <w:pStyle w:val="Heading1"/>
      </w:pPr>
      <w:r>
        <w:t>12. IHK-Abgleich und Nachweise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1F4E78"/>
          </w:tcPr>
          <w:p>
            <w:r>
              <w:rPr>
                <w:b/>
                <w:color w:val="FFFFFF"/>
                <w:sz w:val="17"/>
              </w:rPr>
              <w:t>Prüfpunkt</w:t>
            </w:r>
          </w:p>
        </w:tc>
        <w:tc>
          <w:tcPr>
            <w:tcW w:type="dxa" w:w="3400"/>
            <w:shd w:fill="1F4E78"/>
          </w:tcPr>
          <w:p>
            <w:r>
              <w:rPr>
                <w:b/>
                <w:color w:val="FFFFFF"/>
                <w:sz w:val="17"/>
              </w:rPr>
              <w:t>Stand auf Basis der vorliegenden Projektdaten</w:t>
            </w:r>
          </w:p>
        </w:tc>
        <w:tc>
          <w:tcPr>
            <w:tcW w:type="dxa" w:w="3400"/>
            <w:shd w:fill="1F4E78"/>
          </w:tcPr>
          <w:p>
            <w:r>
              <w:rPr>
                <w:b/>
                <w:color w:val="FFFFFF"/>
                <w:sz w:val="17"/>
              </w:rPr>
              <w:t>Geeigneter Nachweis</w:t>
            </w:r>
          </w:p>
        </w:tc>
      </w:tr>
      <w:tr>
        <w:tc>
          <w:tcPr>
            <w:tcW w:type="dxa" w:w="3400"/>
            <w:vAlign w:val="top"/>
          </w:tcPr>
          <w:p>
            <w:r>
              <w:rPr>
                <w:sz w:val="17"/>
              </w:rPr>
              <w:t>Zwei Repositories</w:t>
            </w:r>
          </w:p>
        </w:tc>
        <w:tc>
          <w:tcPr>
            <w:tcW w:type="dxa" w:w="3400"/>
            <w:vAlign w:val="top"/>
          </w:tcPr>
          <w:p>
            <w:r>
              <w:rPr>
                <w:sz w:val="17"/>
              </w:rPr>
              <w:t>pacman-app und pacman-gitops dokumentiert</w:t>
            </w:r>
          </w:p>
        </w:tc>
        <w:tc>
          <w:tcPr>
            <w:tcW w:type="dxa" w:w="3400"/>
            <w:vAlign w:val="top"/>
          </w:tcPr>
          <w:p>
            <w:r>
              <w:rPr>
                <w:sz w:val="17"/>
              </w:rPr>
              <w:t>GitHub-Repository-Übersicht / README</w:t>
            </w:r>
          </w:p>
        </w:tc>
      </w:tr>
      <w:tr>
        <w:tc>
          <w:tcPr>
            <w:tcW w:type="dxa" w:w="3400"/>
            <w:vAlign w:val="top"/>
          </w:tcPr>
          <w:p>
            <w:r>
              <w:rPr>
                <w:sz w:val="17"/>
              </w:rPr>
              <w:t>Feature-Branches</w:t>
            </w:r>
          </w:p>
        </w:tc>
        <w:tc>
          <w:tcPr>
            <w:tcW w:type="dxa" w:w="3400"/>
            <w:vAlign w:val="top"/>
          </w:tcPr>
          <w:p>
            <w:r>
              <w:rPr>
                <w:sz w:val="17"/>
              </w:rPr>
              <w:t>Mehrere Feature-, Test- und Fix-Branches dokumentiert</w:t>
            </w:r>
          </w:p>
        </w:tc>
        <w:tc>
          <w:tcPr>
            <w:tcW w:type="dxa" w:w="3400"/>
            <w:vAlign w:val="top"/>
          </w:tcPr>
          <w:p>
            <w:r>
              <w:rPr>
                <w:sz w:val="17"/>
              </w:rPr>
              <w:t>git branch -a / GitHub Branches</w:t>
            </w:r>
          </w:p>
        </w:tc>
      </w:tr>
      <w:tr>
        <w:tc>
          <w:tcPr>
            <w:tcW w:type="dxa" w:w="3400"/>
            <w:vAlign w:val="top"/>
          </w:tcPr>
          <w:p>
            <w:r>
              <w:rPr>
                <w:sz w:val="17"/>
              </w:rPr>
              <w:t>Mindestens zwei Pull Requests</w:t>
            </w:r>
          </w:p>
        </w:tc>
        <w:tc>
          <w:tcPr>
            <w:tcW w:type="dxa" w:w="3400"/>
            <w:vAlign w:val="top"/>
          </w:tcPr>
          <w:p>
            <w:r>
              <w:rPr>
                <w:sz w:val="17"/>
              </w:rPr>
              <w:t>PR #2 und #3 im Hauptdokument als Merged dokumentiert</w:t>
            </w:r>
          </w:p>
        </w:tc>
        <w:tc>
          <w:tcPr>
            <w:tcW w:type="dxa" w:w="3400"/>
            <w:vAlign w:val="top"/>
          </w:tcPr>
          <w:p>
            <w:r>
              <w:rPr>
                <w:sz w:val="17"/>
              </w:rPr>
              <w:t>GitHub Pull-Request-Seiten</w:t>
            </w:r>
          </w:p>
        </w:tc>
      </w:tr>
      <w:tr>
        <w:tc>
          <w:tcPr>
            <w:tcW w:type="dxa" w:w="3400"/>
            <w:vAlign w:val="top"/>
          </w:tcPr>
          <w:p>
            <w:r>
              <w:rPr>
                <w:sz w:val="17"/>
              </w:rPr>
              <w:t>Mindestens 20 fachliche Commits</w:t>
            </w:r>
          </w:p>
        </w:tc>
        <w:tc>
          <w:tcPr>
            <w:tcW w:type="dxa" w:w="3400"/>
            <w:vAlign w:val="top"/>
          </w:tcPr>
          <w:p>
            <w:r>
              <w:rPr>
                <w:sz w:val="17"/>
              </w:rPr>
              <w:t>Umfangreiche Historie sichtbar; exakte Gesamtzahl hier nicht erfunden</w:t>
            </w:r>
          </w:p>
        </w:tc>
        <w:tc>
          <w:tcPr>
            <w:tcW w:type="dxa" w:w="3400"/>
            <w:vAlign w:val="top"/>
          </w:tcPr>
          <w:p>
            <w:r>
              <w:rPr>
                <w:sz w:val="17"/>
              </w:rPr>
              <w:t>git rev-list --count HEAD und git log --oneline in beiden Repositories</w:t>
            </w:r>
          </w:p>
        </w:tc>
      </w:tr>
      <w:tr>
        <w:tc>
          <w:tcPr>
            <w:tcW w:type="dxa" w:w="3400"/>
            <w:vAlign w:val="top"/>
          </w:tcPr>
          <w:p>
            <w:r>
              <w:rPr>
                <w:sz w:val="17"/>
              </w:rPr>
              <w:t>Commit-SHA-Tagging</w:t>
            </w:r>
          </w:p>
        </w:tc>
        <w:tc>
          <w:tcPr>
            <w:tcW w:type="dxa" w:w="3400"/>
            <w:vAlign w:val="top"/>
          </w:tcPr>
          <w:p>
            <w:r>
              <w:rPr>
                <w:sz w:val="17"/>
              </w:rPr>
              <w:t>Konkrete SHA-Aktualisierungen im GitOps-Verlauf vorhanden</w:t>
            </w:r>
          </w:p>
        </w:tc>
        <w:tc>
          <w:tcPr>
            <w:tcW w:type="dxa" w:w="3400"/>
            <w:vAlign w:val="top"/>
          </w:tcPr>
          <w:p>
            <w:r>
              <w:rPr>
                <w:sz w:val="17"/>
              </w:rPr>
              <w:t>Workflow, GHCR und Kustomize-Overlay</w:t>
            </w:r>
          </w:p>
        </w:tc>
      </w:tr>
      <w:tr>
        <w:tc>
          <w:tcPr>
            <w:tcW w:type="dxa" w:w="3400"/>
            <w:vAlign w:val="top"/>
          </w:tcPr>
          <w:p>
            <w:r>
              <w:rPr>
                <w:sz w:val="17"/>
              </w:rPr>
              <w:t>Repository-/Actions-Berechtigungen</w:t>
            </w:r>
          </w:p>
        </w:tc>
        <w:tc>
          <w:tcPr>
            <w:tcW w:type="dxa" w:w="3400"/>
            <w:vAlign w:val="top"/>
          </w:tcPr>
          <w:p>
            <w:r>
              <w:rPr>
                <w:sz w:val="17"/>
              </w:rPr>
              <w:t>Konzept dokumentiert</w:t>
            </w:r>
          </w:p>
        </w:tc>
        <w:tc>
          <w:tcPr>
            <w:tcW w:type="dxa" w:w="3400"/>
            <w:vAlign w:val="top"/>
          </w:tcPr>
          <w:p>
            <w:r>
              <w:rPr>
                <w:sz w:val="17"/>
              </w:rPr>
              <w:t>GitHub Settings / Workflow permissions</w:t>
            </w:r>
          </w:p>
        </w:tc>
      </w:tr>
      <w:tr>
        <w:tc>
          <w:tcPr>
            <w:tcW w:type="dxa" w:w="3400"/>
            <w:vAlign w:val="top"/>
          </w:tcPr>
          <w:p>
            <w:r>
              <w:rPr>
                <w:sz w:val="17"/>
              </w:rPr>
              <w:t>Secrets</w:t>
            </w:r>
          </w:p>
        </w:tc>
        <w:tc>
          <w:tcPr>
            <w:tcW w:type="dxa" w:w="3400"/>
            <w:vAlign w:val="top"/>
          </w:tcPr>
          <w:p>
            <w:r>
              <w:rPr>
                <w:sz w:val="17"/>
              </w:rPr>
              <w:t>GITHUB_TOKEN für GHCR; Kubernetes-Secrets nicht im Git-Klartext</w:t>
            </w:r>
          </w:p>
        </w:tc>
        <w:tc>
          <w:tcPr>
            <w:tcW w:type="dxa" w:w="3400"/>
            <w:vAlign w:val="top"/>
          </w:tcPr>
          <w:p>
            <w:r>
              <w:rPr>
                <w:sz w:val="17"/>
              </w:rPr>
              <w:t>Workflow-YAML, Secret-Referenzen; niemals Secret-Werte zeigen</w:t>
            </w:r>
          </w:p>
        </w:tc>
      </w:tr>
      <w:tr>
        <w:tc>
          <w:tcPr>
            <w:tcW w:type="dxa" w:w="3400"/>
            <w:vAlign w:val="top"/>
          </w:tcPr>
          <w:p>
            <w:r>
              <w:rPr>
                <w:sz w:val="17"/>
              </w:rPr>
              <w:t>Git-Historie auf Secrets prüfen</w:t>
            </w:r>
          </w:p>
        </w:tc>
        <w:tc>
          <w:tcPr>
            <w:tcW w:type="dxa" w:w="3400"/>
            <w:vAlign w:val="top"/>
          </w:tcPr>
          <w:p>
            <w:r>
              <w:rPr>
                <w:sz w:val="17"/>
              </w:rPr>
              <w:t>Prüfung ist verbindlich; Ergebnis nur mit git_nachweis.txt als abgeschlossen werten</w:t>
            </w:r>
          </w:p>
        </w:tc>
        <w:tc>
          <w:tcPr>
            <w:tcW w:type="dxa" w:w="3400"/>
            <w:vAlign w:val="top"/>
          </w:tcPr>
          <w:p>
            <w:r>
              <w:rPr>
                <w:sz w:val="17"/>
              </w:rPr>
              <w:t>textdateien/git_nachweis.txt</w:t>
            </w:r>
          </w:p>
        </w:tc>
      </w:tr>
    </w:tbl>
    <w:p/>
    <w:p>
      <w:r>
        <w:t>Verbindliche Begleitdateien dieses Arbeitspakets sind daten/repository_und_branch_plan.csv, textdateien/git_nachweis.txt sowie die README.md-Dateien beider Repositories. Screenshots gehören nach screenshots/03_git_github/. Dieses Dokument ersetzt diese technischen Nachweise nicht, sondern konsolidiert Architektur, Entscheidungen und nachgewiesenen Projektstand.</w:t>
      </w:r>
    </w:p>
    <w:p>
      <w:pPr>
        <w:pStyle w:val="Heading1"/>
      </w:pPr>
      <w:r>
        <w:t>13. Ergebnis</w:t>
      </w:r>
    </w:p>
    <w:p>
      <w:r>
        <w:t>Die Gesamtarchitektur trennt Build-/Anwendungslogik und Kubernetes-Sollzustand bewusst in zwei Repositories. GitHub Actions übernimmt CI und Image-Veröffentlichung, GHCR hält versionierte Images, während Argo CD den GitOps-Sollzustand auf Kubernetes synchronisiert. Branches, fachliche Commits und Pull Requests liefern den Änderungsnachweis; Commit-SHA-basierte Image-Referenzen verbinden Quellcode, Registry und Deployment. Die Architektur unterstützt damit Reproduzierbarkeit, kontrollierte Änderungen, Rollback und eine nachvollziehbare IHK-Nachweisführung.</w:t>
      </w:r>
    </w:p>
    <w:sectPr w:rsidR="00FC693F" w:rsidRPr="0006063C" w:rsidSect="00034616">
      <w:footerReference w:type="default" r:id="rId9"/>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Pacman DevOps-Abschlussprojekt - Architektur und Repositories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Architektur und Repositories</dc:title>
  <dc:subject>Pacman DevOps-/GitOps-Abschlussprojekt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