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Kubernetes – Sicherheit und Betrieb</w:t>
      </w:r>
    </w:p>
    <w:p>
      <w:pPr>
        <w:jc w:val="center"/>
      </w:pPr>
      <w:r>
        <w:rPr>
          <w:b/>
          <w:sz w:val="24"/>
        </w:rPr>
        <w:t>Pacman DevOps-/GitOps-Abschlussprojekt</w:t>
        <w:br/>
        <w:t>Konsolidierter Gesamtprojektstand</w:t>
      </w:r>
    </w:p>
    <w:p>
      <w:pPr>
        <w:pStyle w:val="Heading1"/>
      </w:pPr>
      <w:r>
        <w:t>1. Zweck und Abgrenzung</w:t>
      </w:r>
    </w:p>
    <w:p>
      <w:r>
        <w:t>Dieses Dokument konsolidiert die Sicherheits-, Zuverlässigkeits- und Betriebsmaßnahmen der Kubernetes-Umgebung des gesamten Pacman-Projekts. Es baut auf der in 05_kubernetes_architektur.docx beschriebenen Grundarchitektur auf und vertieft Probes, SecurityContext, Ressourcensteuerung, NetworkPolicies, HPA, PDB, LimitRange, ResourceQuota sowie kontrollierte Fehler- und Nachtests. Monitoring, Backup/Restore und GitOps-Promotion werden in den nachfolgenden Gesamtdokumenten separat vertieft.</w:t>
      </w:r>
    </w:p>
    <w:p>
      <w:pPr>
        <w:pStyle w:val="Heading1"/>
      </w:pPr>
      <w:r>
        <w:t>2. Sicherheits- und Betriebsziele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Ziel</w:t>
            </w:r>
          </w:p>
        </w:tc>
        <w:tc>
          <w:tcPr>
            <w:tcW w:type="dxa" w:w="3400"/>
            <w:shd w:fill="1F4E78"/>
          </w:tcPr>
          <w:p>
            <w:r>
              <w:rPr>
                <w:b/>
                <w:color w:val="FFFFFF"/>
                <w:sz w:val="16"/>
              </w:rPr>
              <w:t>Technische Maßnahme</w:t>
            </w:r>
          </w:p>
        </w:tc>
        <w:tc>
          <w:tcPr>
            <w:tcW w:type="dxa" w:w="3400"/>
            <w:shd w:fill="1F4E78"/>
          </w:tcPr>
          <w:p>
            <w:r>
              <w:rPr>
                <w:b/>
                <w:color w:val="FFFFFF"/>
                <w:sz w:val="16"/>
              </w:rPr>
              <w:t>Nutzen</w:t>
            </w:r>
          </w:p>
        </w:tc>
      </w:tr>
      <w:tr>
        <w:tc>
          <w:tcPr>
            <w:tcW w:type="dxa" w:w="3400"/>
            <w:vAlign w:val="top"/>
          </w:tcPr>
          <w:p>
            <w:r>
              <w:rPr>
                <w:sz w:val="16"/>
              </w:rPr>
              <w:t>Nur funktionsfähige Pods erhalten Traffic</w:t>
            </w:r>
          </w:p>
        </w:tc>
        <w:tc>
          <w:tcPr>
            <w:tcW w:type="dxa" w:w="3400"/>
            <w:vAlign w:val="top"/>
          </w:tcPr>
          <w:p>
            <w:r>
              <w:rPr>
                <w:sz w:val="16"/>
              </w:rPr>
              <w:t>Readiness Probe</w:t>
            </w:r>
          </w:p>
        </w:tc>
        <w:tc>
          <w:tcPr>
            <w:tcW w:type="dxa" w:w="3400"/>
            <w:vAlign w:val="top"/>
          </w:tcPr>
          <w:p>
            <w:r>
              <w:rPr>
                <w:sz w:val="16"/>
              </w:rPr>
              <w:t>Fehlerhafte oder noch nicht betriebsbereite Pods werden aus dem Service-Routing genommen.</w:t>
            </w:r>
          </w:p>
        </w:tc>
      </w:tr>
      <w:tr>
        <w:tc>
          <w:tcPr>
            <w:tcW w:type="dxa" w:w="3400"/>
            <w:vAlign w:val="top"/>
          </w:tcPr>
          <w:p>
            <w:r>
              <w:rPr>
                <w:sz w:val="16"/>
              </w:rPr>
              <w:t>Hängende Prozesse automatisch ersetzen</w:t>
            </w:r>
          </w:p>
        </w:tc>
        <w:tc>
          <w:tcPr>
            <w:tcW w:type="dxa" w:w="3400"/>
            <w:vAlign w:val="top"/>
          </w:tcPr>
          <w:p>
            <w:r>
              <w:rPr>
                <w:sz w:val="16"/>
              </w:rPr>
              <w:t>Liveness Probe</w:t>
            </w:r>
          </w:p>
        </w:tc>
        <w:tc>
          <w:tcPr>
            <w:tcW w:type="dxa" w:w="3400"/>
            <w:vAlign w:val="top"/>
          </w:tcPr>
          <w:p>
            <w:r>
              <w:rPr>
                <w:sz w:val="16"/>
              </w:rPr>
              <w:t>Kubelet kann einen nicht mehr funktionsfähigen Container neu starten.</w:t>
            </w:r>
          </w:p>
        </w:tc>
      </w:tr>
      <w:tr>
        <w:tc>
          <w:tcPr>
            <w:tcW w:type="dxa" w:w="3400"/>
            <w:vAlign w:val="top"/>
          </w:tcPr>
          <w:p>
            <w:r>
              <w:rPr>
                <w:sz w:val="16"/>
              </w:rPr>
              <w:t>Langsamen Start schützen</w:t>
            </w:r>
          </w:p>
        </w:tc>
        <w:tc>
          <w:tcPr>
            <w:tcW w:type="dxa" w:w="3400"/>
            <w:vAlign w:val="top"/>
          </w:tcPr>
          <w:p>
            <w:r>
              <w:rPr>
                <w:sz w:val="16"/>
              </w:rPr>
              <w:t>Startup Probe (aktiv im finalen Manifest)</w:t>
            </w:r>
          </w:p>
        </w:tc>
        <w:tc>
          <w:tcPr>
            <w:tcW w:type="dxa" w:w="3400"/>
            <w:vAlign w:val="top"/>
          </w:tcPr>
          <w:p>
            <w:r>
              <w:rPr>
                <w:sz w:val="16"/>
              </w:rPr>
              <w:t>Verhindert verfrühte Liveness-Fehler während der Initialisierung.</w:t>
            </w:r>
          </w:p>
        </w:tc>
      </w:tr>
      <w:tr>
        <w:tc>
          <w:tcPr>
            <w:tcW w:type="dxa" w:w="3400"/>
            <w:vAlign w:val="top"/>
          </w:tcPr>
          <w:p>
            <w:r>
              <w:rPr>
                <w:sz w:val="16"/>
              </w:rPr>
              <w:t>Containerrechte begrenzen</w:t>
            </w:r>
          </w:p>
        </w:tc>
        <w:tc>
          <w:tcPr>
            <w:tcW w:type="dxa" w:w="3400"/>
            <w:vAlign w:val="top"/>
          </w:tcPr>
          <w:p>
            <w:r>
              <w:rPr>
                <w:sz w:val="16"/>
              </w:rPr>
              <w:t>SecurityContext / nicht privilegierter Benutzer</w:t>
            </w:r>
          </w:p>
        </w:tc>
        <w:tc>
          <w:tcPr>
            <w:tcW w:type="dxa" w:w="3400"/>
            <w:vAlign w:val="top"/>
          </w:tcPr>
          <w:p>
            <w:r>
              <w:rPr>
                <w:sz w:val="16"/>
              </w:rPr>
              <w:t>Reduziert Auswirkungen einer kompromittierten Anwendung.</w:t>
            </w:r>
          </w:p>
        </w:tc>
      </w:tr>
      <w:tr>
        <w:tc>
          <w:tcPr>
            <w:tcW w:type="dxa" w:w="3400"/>
            <w:vAlign w:val="top"/>
          </w:tcPr>
          <w:p>
            <w:r>
              <w:rPr>
                <w:sz w:val="16"/>
              </w:rPr>
              <w:t>Ressourcen kontrollieren</w:t>
            </w:r>
          </w:p>
        </w:tc>
        <w:tc>
          <w:tcPr>
            <w:tcW w:type="dxa" w:w="3400"/>
            <w:vAlign w:val="top"/>
          </w:tcPr>
          <w:p>
            <w:r>
              <w:rPr>
                <w:sz w:val="16"/>
              </w:rPr>
              <w:t>Requests/Limits, LimitRange, ResourceQuota</w:t>
            </w:r>
          </w:p>
        </w:tc>
        <w:tc>
          <w:tcPr>
            <w:tcW w:type="dxa" w:w="3400"/>
            <w:vAlign w:val="top"/>
          </w:tcPr>
          <w:p>
            <w:r>
              <w:rPr>
                <w:sz w:val="16"/>
              </w:rPr>
              <w:t>Planbarer Betrieb und Schutz vor Ressourcenübernutzung.</w:t>
            </w:r>
          </w:p>
        </w:tc>
      </w:tr>
      <w:tr>
        <w:tc>
          <w:tcPr>
            <w:tcW w:type="dxa" w:w="3400"/>
            <w:vAlign w:val="top"/>
          </w:tcPr>
          <w:p>
            <w:r>
              <w:rPr>
                <w:sz w:val="16"/>
              </w:rPr>
              <w:t>Lastabhängig skalieren</w:t>
            </w:r>
          </w:p>
        </w:tc>
        <w:tc>
          <w:tcPr>
            <w:tcW w:type="dxa" w:w="3400"/>
            <w:vAlign w:val="top"/>
          </w:tcPr>
          <w:p>
            <w:r>
              <w:rPr>
                <w:sz w:val="16"/>
              </w:rPr>
              <w:t>HorizontalPodAutoscaler</w:t>
            </w:r>
          </w:p>
        </w:tc>
        <w:tc>
          <w:tcPr>
            <w:tcW w:type="dxa" w:w="3400"/>
            <w:vAlign w:val="top"/>
          </w:tcPr>
          <w:p>
            <w:r>
              <w:rPr>
                <w:sz w:val="16"/>
              </w:rPr>
              <w:t>Erhöht bzw. reduziert Pacman-Replikate innerhalb definierter Grenzen.</w:t>
            </w:r>
          </w:p>
        </w:tc>
      </w:tr>
      <w:tr>
        <w:tc>
          <w:tcPr>
            <w:tcW w:type="dxa" w:w="3400"/>
            <w:vAlign w:val="top"/>
          </w:tcPr>
          <w:p>
            <w:r>
              <w:rPr>
                <w:sz w:val="16"/>
              </w:rPr>
              <w:t>Verfügbarkeit bei freiwilligen Unterbrechungen</w:t>
            </w:r>
          </w:p>
        </w:tc>
        <w:tc>
          <w:tcPr>
            <w:tcW w:type="dxa" w:w="3400"/>
            <w:vAlign w:val="top"/>
          </w:tcPr>
          <w:p>
            <w:r>
              <w:rPr>
                <w:sz w:val="16"/>
              </w:rPr>
              <w:t>PodDisruptionBudget</w:t>
            </w:r>
          </w:p>
        </w:tc>
        <w:tc>
          <w:tcPr>
            <w:tcW w:type="dxa" w:w="3400"/>
            <w:vAlign w:val="top"/>
          </w:tcPr>
          <w:p>
            <w:r>
              <w:rPr>
                <w:sz w:val="16"/>
              </w:rPr>
              <w:t>Begrenzt gleichzeitige freiwillige Pod-Ausfälle.</w:t>
            </w:r>
          </w:p>
        </w:tc>
      </w:tr>
      <w:tr>
        <w:tc>
          <w:tcPr>
            <w:tcW w:type="dxa" w:w="3400"/>
            <w:vAlign w:val="top"/>
          </w:tcPr>
          <w:p>
            <w:r>
              <w:rPr>
                <w:sz w:val="16"/>
              </w:rPr>
              <w:t>Netzwerkzugriffe einschränken</w:t>
            </w:r>
          </w:p>
        </w:tc>
        <w:tc>
          <w:tcPr>
            <w:tcW w:type="dxa" w:w="3400"/>
            <w:vAlign w:val="top"/>
          </w:tcPr>
          <w:p>
            <w:r>
              <w:rPr>
                <w:sz w:val="16"/>
              </w:rPr>
              <w:t>NetworkPolicies</w:t>
            </w:r>
          </w:p>
        </w:tc>
        <w:tc>
          <w:tcPr>
            <w:tcW w:type="dxa" w:w="3400"/>
            <w:vAlign w:val="top"/>
          </w:tcPr>
          <w:p>
            <w:r>
              <w:rPr>
                <w:sz w:val="16"/>
              </w:rPr>
              <w:t>Nur notwendige Kommunikationspfade sollen erlaubt werden.</w:t>
            </w:r>
          </w:p>
        </w:tc>
      </w:tr>
      <w:tr>
        <w:tc>
          <w:tcPr>
            <w:tcW w:type="dxa" w:w="3400"/>
            <w:vAlign w:val="top"/>
          </w:tcPr>
          <w:p>
            <w:r>
              <w:rPr>
                <w:sz w:val="16"/>
              </w:rPr>
              <w:t>Drift vermeiden</w:t>
            </w:r>
          </w:p>
        </w:tc>
        <w:tc>
          <w:tcPr>
            <w:tcW w:type="dxa" w:w="3400"/>
            <w:vAlign w:val="top"/>
          </w:tcPr>
          <w:p>
            <w:r>
              <w:rPr>
                <w:sz w:val="16"/>
              </w:rPr>
              <w:t>GitOps + Argo CD</w:t>
            </w:r>
          </w:p>
        </w:tc>
        <w:tc>
          <w:tcPr>
            <w:tcW w:type="dxa" w:w="3400"/>
            <w:vAlign w:val="top"/>
          </w:tcPr>
          <w:p>
            <w:r>
              <w:rPr>
                <w:sz w:val="16"/>
              </w:rPr>
              <w:t>Git bleibt versionierte Quelle des Sollzustands.</w:t>
            </w:r>
          </w:p>
        </w:tc>
      </w:tr>
    </w:tbl>
    <w:p/>
    <w:p>
      <w:pPr>
        <w:pStyle w:val="Heading1"/>
      </w:pPr>
      <w:r>
        <w:t>3. Readiness-, Liveness- und Startup-Prüfungen</w:t>
      </w:r>
    </w:p>
    <w:p>
      <w:r>
        <w:t>Probes erfüllen unterschiedliche Aufgaben und dürfen nicht miteinander verwechselt werden. Readiness entscheidet, ob ein Pod Anfragen über einen Service erhalten darf. Liveness bewertet, ob der Container weiterhin funktionsfähig ist und gegebenenfalls neu gestartet werden muss. Eine Startup Probe kann den Startvorgang schützen, bevor Liveness greift.</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Probe</w:t>
            </w:r>
          </w:p>
        </w:tc>
        <w:tc>
          <w:tcPr>
            <w:tcW w:type="dxa" w:w="3400"/>
            <w:shd w:fill="1F4E78"/>
          </w:tcPr>
          <w:p>
            <w:r>
              <w:rPr>
                <w:b/>
                <w:color w:val="FFFFFF"/>
                <w:sz w:val="16"/>
              </w:rPr>
              <w:t>Betriebswirkung</w:t>
            </w:r>
          </w:p>
        </w:tc>
        <w:tc>
          <w:tcPr>
            <w:tcW w:type="dxa" w:w="3400"/>
            <w:shd w:fill="1F4E78"/>
          </w:tcPr>
          <w:p>
            <w:r>
              <w:rPr>
                <w:b/>
                <w:color w:val="FFFFFF"/>
                <w:sz w:val="16"/>
              </w:rPr>
              <w:t>Fehlerbild bei Fehlkonfiguration</w:t>
            </w:r>
          </w:p>
        </w:tc>
      </w:tr>
      <w:tr>
        <w:tc>
          <w:tcPr>
            <w:tcW w:type="dxa" w:w="3400"/>
            <w:vAlign w:val="top"/>
          </w:tcPr>
          <w:p>
            <w:r>
              <w:rPr>
                <w:sz w:val="16"/>
              </w:rPr>
              <w:t>Readiness</w:t>
            </w:r>
          </w:p>
        </w:tc>
        <w:tc>
          <w:tcPr>
            <w:tcW w:type="dxa" w:w="3400"/>
            <w:vAlign w:val="top"/>
          </w:tcPr>
          <w:p>
            <w:r>
              <w:rPr>
                <w:sz w:val="16"/>
              </w:rPr>
              <w:t>Pod bleibt laufend, wird aber bei Fehlschlag nicht als Ready geroutet.</w:t>
            </w:r>
          </w:p>
        </w:tc>
        <w:tc>
          <w:tcPr>
            <w:tcW w:type="dxa" w:w="3400"/>
            <w:vAlign w:val="top"/>
          </w:tcPr>
          <w:p>
            <w:r>
              <w:rPr>
                <w:sz w:val="16"/>
              </w:rPr>
              <w:t>Anwendung kann Running sein, erhält jedoch keinen Service-Traffic.</w:t>
            </w:r>
          </w:p>
        </w:tc>
      </w:tr>
      <w:tr>
        <w:tc>
          <w:tcPr>
            <w:tcW w:type="dxa" w:w="3400"/>
            <w:vAlign w:val="top"/>
          </w:tcPr>
          <w:p>
            <w:r>
              <w:rPr>
                <w:sz w:val="16"/>
              </w:rPr>
              <w:t>Liveness</w:t>
            </w:r>
          </w:p>
        </w:tc>
        <w:tc>
          <w:tcPr>
            <w:tcW w:type="dxa" w:w="3400"/>
            <w:vAlign w:val="top"/>
          </w:tcPr>
          <w:p>
            <w:r>
              <w:rPr>
                <w:sz w:val="16"/>
              </w:rPr>
              <w:t>Wiederholter Fehlschlag kann einen Container-Neustart auslösen.</w:t>
            </w:r>
          </w:p>
        </w:tc>
        <w:tc>
          <w:tcPr>
            <w:tcW w:type="dxa" w:w="3400"/>
            <w:vAlign w:val="top"/>
          </w:tcPr>
          <w:p>
            <w:r>
              <w:rPr>
                <w:sz w:val="16"/>
              </w:rPr>
              <w:t>Falscher Pfad führt zu unnötigen Restarts bzw. Restart-Schleifen.</w:t>
            </w:r>
          </w:p>
        </w:tc>
      </w:tr>
      <w:tr>
        <w:tc>
          <w:tcPr>
            <w:tcW w:type="dxa" w:w="3400"/>
            <w:vAlign w:val="top"/>
          </w:tcPr>
          <w:p>
            <w:r>
              <w:rPr>
                <w:sz w:val="16"/>
              </w:rPr>
              <w:t>Startup</w:t>
            </w:r>
          </w:p>
        </w:tc>
        <w:tc>
          <w:tcPr>
            <w:tcW w:type="dxa" w:w="3400"/>
            <w:vAlign w:val="top"/>
          </w:tcPr>
          <w:p>
            <w:r>
              <w:rPr>
                <w:sz w:val="16"/>
              </w:rPr>
              <w:t>Unterdrückt Liveness/Readiness während der Startphase, bis die Anwendung gestartet ist.</w:t>
            </w:r>
          </w:p>
        </w:tc>
        <w:tc>
          <w:tcPr>
            <w:tcW w:type="dxa" w:w="3400"/>
            <w:vAlign w:val="top"/>
          </w:tcPr>
          <w:p>
            <w:r>
              <w:rPr>
                <w:sz w:val="16"/>
              </w:rPr>
              <w:t>Zu enge Werte können einen eigentlich startfähigen Container frühzeitig beenden.</w:t>
            </w:r>
          </w:p>
        </w:tc>
      </w:tr>
    </w:tbl>
    <w:p/>
    <w:p>
      <w:r>
        <w:t>Im Projekt wurden Probe-Fehler kontrolliert nachgestellt. AP28 D03 setzte mit Commit 3dcf950 eine fehlerhafte Readiness Probe; Commit 98afd8c stellte die korrekte Readiness Probe wieder her. AP28 D10 setzte mit Commit bb4e38c einen ungültigen Liveness-Pfad; Commit 93e24a2 stellte den ursprünglichen Pfad wieder her.</w:t>
      </w:r>
    </w:p>
    <w:p>
      <w:r>
        <w:t>Der nachgewiesene Liveness-Endzustand in pacman-dev war LIVENESS_PATH=/. Der Pacman-Pod war Running, READY=true und hatte 0 Restarts. Gleichzeitig war die Argo-CD-Application pacman-dev Synced und Healthy. Damit ist der Nachtest für den dokumentierten Liveness-Fehler technisch bestätigt.</w:t>
      </w:r>
    </w:p>
    <w:p>
      <w:pPr>
        <w:pStyle w:val="Heading1"/>
      </w:pPr>
      <w:r>
        <w:t>4. SecurityContext und Container-Härtung</w:t>
      </w:r>
    </w:p>
    <w:p>
      <w:r>
        <w:t>Der Kubernetes-Sicherheitskontext ergänzt die bereits im Docker-Image umgesetzte Ausführung als nicht privilegierter Benutzer. Ziel ist, Containerrechte auf das technisch notwendige Maß zu reduzieren. Der Projektverlauf enthält den Commit fbb4936 „fix: Kubernetes-Sicherheitskonfiguration und Probes korrigieren“, womit Security-Konfiguration und Probe-Konfiguration gemeinsam überarbeitet wurden.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Kontrollpunkt</w:t>
            </w:r>
          </w:p>
        </w:tc>
        <w:tc>
          <w:tcPr>
            <w:tcW w:type="dxa" w:w="3400"/>
            <w:shd w:fill="1F4E78"/>
          </w:tcPr>
          <w:p>
            <w:r>
              <w:rPr>
                <w:b/>
                <w:color w:val="FFFFFF"/>
                <w:sz w:val="16"/>
              </w:rPr>
              <w:t>Soll / Projektprinzip</w:t>
            </w:r>
          </w:p>
        </w:tc>
        <w:tc>
          <w:tcPr>
            <w:tcW w:type="dxa" w:w="3400"/>
            <w:shd w:fill="1F4E78"/>
          </w:tcPr>
          <w:p>
            <w:r>
              <w:rPr>
                <w:b/>
                <w:color w:val="FFFFFF"/>
                <w:sz w:val="16"/>
              </w:rPr>
              <w:t>Nachweisbewertung</w:t>
            </w:r>
          </w:p>
        </w:tc>
      </w:tr>
      <w:tr>
        <w:tc>
          <w:tcPr>
            <w:tcW w:type="dxa" w:w="3400"/>
            <w:vAlign w:val="top"/>
          </w:tcPr>
          <w:p>
            <w:r>
              <w:rPr>
                <w:sz w:val="16"/>
              </w:rPr>
              <w:t>runAsNonRoot</w:t>
            </w:r>
          </w:p>
        </w:tc>
        <w:tc>
          <w:tcPr>
            <w:tcW w:type="dxa" w:w="3400"/>
            <w:vAlign w:val="top"/>
          </w:tcPr>
          <w:p>
            <w:r>
              <w:rPr>
                <w:sz w:val="16"/>
              </w:rPr>
              <w:t>Anwendungscontainer darf nicht als Root betrieben werden.</w:t>
            </w:r>
          </w:p>
        </w:tc>
        <w:tc>
          <w:tcPr>
            <w:tcW w:type="dxa" w:w="3400"/>
            <w:vAlign w:val="top"/>
          </w:tcPr>
          <w:p>
            <w:r>
              <w:rPr>
                <w:sz w:val="16"/>
              </w:rPr>
              <w:t>Finales Deployment-/StatefulSet-YAML bzw. kubectl-Ausgabe als Primärnachweis.</w:t>
            </w:r>
          </w:p>
        </w:tc>
      </w:tr>
      <w:tr>
        <w:tc>
          <w:tcPr>
            <w:tcW w:type="dxa" w:w="3400"/>
            <w:vAlign w:val="top"/>
          </w:tcPr>
          <w:p>
            <w:r>
              <w:rPr>
                <w:sz w:val="16"/>
              </w:rPr>
              <w:t>Privileged</w:t>
            </w:r>
          </w:p>
        </w:tc>
        <w:tc>
          <w:tcPr>
            <w:tcW w:type="dxa" w:w="3400"/>
            <w:vAlign w:val="top"/>
          </w:tcPr>
          <w:p>
            <w:r>
              <w:rPr>
                <w:sz w:val="16"/>
              </w:rPr>
              <w:t>Nicht erforderlich und zu vermeiden.</w:t>
            </w:r>
          </w:p>
        </w:tc>
        <w:tc>
          <w:tcPr>
            <w:tcW w:type="dxa" w:w="3400"/>
            <w:vAlign w:val="top"/>
          </w:tcPr>
          <w:p>
            <w:r>
              <w:rPr>
                <w:sz w:val="16"/>
              </w:rPr>
              <w:t>securityContext prüfen.</w:t>
            </w:r>
          </w:p>
        </w:tc>
      </w:tr>
      <w:tr>
        <w:tc>
          <w:tcPr>
            <w:tcW w:type="dxa" w:w="3400"/>
            <w:vAlign w:val="top"/>
          </w:tcPr>
          <w:p>
            <w:r>
              <w:rPr>
                <w:sz w:val="16"/>
              </w:rPr>
              <w:t>Privilege Escalation</w:t>
            </w:r>
          </w:p>
        </w:tc>
        <w:tc>
          <w:tcPr>
            <w:tcW w:type="dxa" w:w="3400"/>
            <w:vAlign w:val="top"/>
          </w:tcPr>
          <w:p>
            <w:r>
              <w:rPr>
                <w:sz w:val="16"/>
              </w:rPr>
              <w:t>Für Pacman nicht erforderlich; möglichst deaktivieren.</w:t>
            </w:r>
          </w:p>
        </w:tc>
        <w:tc>
          <w:tcPr>
            <w:tcW w:type="dxa" w:w="3400"/>
            <w:vAlign w:val="top"/>
          </w:tcPr>
          <w:p>
            <w:r>
              <w:rPr>
                <w:sz w:val="16"/>
              </w:rPr>
              <w:t>allowPrivilegeEscalation im finalen Manifest prüfen.</w:t>
            </w:r>
          </w:p>
        </w:tc>
      </w:tr>
      <w:tr>
        <w:tc>
          <w:tcPr>
            <w:tcW w:type="dxa" w:w="3400"/>
            <w:vAlign w:val="top"/>
          </w:tcPr>
          <w:p>
            <w:r>
              <w:rPr>
                <w:sz w:val="16"/>
              </w:rPr>
              <w:t>Capabilities</w:t>
            </w:r>
          </w:p>
        </w:tc>
        <w:tc>
          <w:tcPr>
            <w:tcW w:type="dxa" w:w="3400"/>
            <w:vAlign w:val="top"/>
          </w:tcPr>
          <w:p>
            <w:r>
              <w:rPr>
                <w:sz w:val="16"/>
              </w:rPr>
              <w:t>Nur notwendige Linux-Capabilities behalten.</w:t>
            </w:r>
          </w:p>
        </w:tc>
        <w:tc>
          <w:tcPr>
            <w:tcW w:type="dxa" w:w="3400"/>
            <w:vAlign w:val="top"/>
          </w:tcPr>
          <w:p>
            <w:r>
              <w:rPr>
                <w:sz w:val="16"/>
              </w:rPr>
              <w:t>Finales SecurityContext prüfen; konkrete Drop-Liste nicht erfinden.</w:t>
            </w:r>
          </w:p>
        </w:tc>
      </w:tr>
      <w:tr>
        <w:tc>
          <w:tcPr>
            <w:tcW w:type="dxa" w:w="3400"/>
            <w:vAlign w:val="top"/>
          </w:tcPr>
          <w:p>
            <w:r>
              <w:rPr>
                <w:sz w:val="16"/>
              </w:rPr>
              <w:t>Dateisystemrechte</w:t>
            </w:r>
          </w:p>
        </w:tc>
        <w:tc>
          <w:tcPr>
            <w:tcW w:type="dxa" w:w="3400"/>
            <w:vAlign w:val="top"/>
          </w:tcPr>
          <w:p>
            <w:r>
              <w:rPr>
                <w:sz w:val="16"/>
              </w:rPr>
              <w:t>Nur notwendige Schreibpfade zulassen.</w:t>
            </w:r>
          </w:p>
        </w:tc>
        <w:tc>
          <w:tcPr>
            <w:tcW w:type="dxa" w:w="3400"/>
            <w:vAlign w:val="top"/>
          </w:tcPr>
          <w:p>
            <w:r>
              <w:rPr>
                <w:sz w:val="16"/>
              </w:rPr>
              <w:t>Besonders bei MongoDB-Volume-Mounts relevant.</w:t>
            </w:r>
          </w:p>
        </w:tc>
      </w:tr>
      <w:tr>
        <w:tc>
          <w:tcPr>
            <w:tcW w:type="dxa" w:w="3400"/>
            <w:vAlign w:val="top"/>
          </w:tcPr>
          <w:p>
            <w:r>
              <w:rPr>
                <w:sz w:val="16"/>
              </w:rPr>
              <w:t>Secrets</w:t>
            </w:r>
          </w:p>
        </w:tc>
        <w:tc>
          <w:tcPr>
            <w:tcW w:type="dxa" w:w="3400"/>
            <w:vAlign w:val="top"/>
          </w:tcPr>
          <w:p>
            <w:r>
              <w:rPr>
                <w:sz w:val="16"/>
              </w:rPr>
              <w:t>Nur Secret-Referenzen, keine Werte in Git/Logs/Screenshots.</w:t>
            </w:r>
          </w:p>
        </w:tc>
        <w:tc>
          <w:tcPr>
            <w:tcW w:type="dxa" w:w="3400"/>
            <w:vAlign w:val="top"/>
          </w:tcPr>
          <w:p>
            <w:r>
              <w:rPr>
                <w:sz w:val="16"/>
              </w:rPr>
              <w:t>Secret-Key-Referenzen und Metadaten zeigen.</w:t>
            </w:r>
          </w:p>
        </w:tc>
      </w:tr>
    </w:tbl>
    <w:p/>
    <w:p>
      <w:r>
        <w:t>Der finale SecurityContext aus base/deployment.yaml (Pacman-Container) belegt Pod-Ebene runAsNonRoot: true, runAsUser: 1000 (entspricht dem Docker-Image-Benutzer node) sowie seccompProfile RuntimeDefault. Auf Container-Ebene sind allowPrivilegeEscalation: false, readOnlyRootFilesystem: true und capabilities.drop: [ALL] gesetzt; capabilities.add ist nicht vorhanden, fsGroup/runAsGroup sind nicht gesetzt.</w:t>
      </w:r>
    </w:p>
    <w:p>
      <w:r>
        <w:t>Für das MongoDB-StatefulSet (base/mongodb-statefulset.yaml) ist aktuell kein SecurityContext gesetzt - weder auf Pod- noch auf Container-Ebene. Dies ist ein real bestehender, noch offener Härtungspunkt und wird hier bewusst nicht beschönigt.</w:t>
      </w:r>
    </w:p>
    <w:p>
      <w:pPr>
        <w:pStyle w:val="Heading1"/>
      </w:pPr>
      <w:r>
        <w:t>5. Ressourcen-Requests und -Limits</w:t>
      </w:r>
    </w:p>
    <w:p>
      <w:r>
        <w:t>Requests beeinflussen die Kubernetes-Scheduling-Entscheidung; Limits begrenzen die maximal nutzbaren Ressourcen. Zu niedrige Memory-Limits können zu OOMKilled führen, zu hohe oder fehlende Werte erschweren einen planbaren Betrieb.</w:t>
      </w:r>
    </w:p>
    <w:p>
      <w:r>
        <w:t>Im AP28-D14-Test wurde der Memory-Wert in pacman-dev bewusst zu niedrig gesetzt. Commit 384b801 dokumentiert den Testzustand mit 64Mi. Commit 89c224f stellte anschließend die Werte auf 128Mi/256Mi zurück. Damit ist ein konkreter Ressourcenfehler samt Korrektur in der Git-Historie vorhanden.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Aspekt</w:t>
            </w:r>
          </w:p>
        </w:tc>
        <w:tc>
          <w:tcPr>
            <w:tcW w:type="dxa" w:w="3400"/>
            <w:shd w:fill="1F4E78"/>
          </w:tcPr>
          <w:p>
            <w:r>
              <w:rPr>
                <w:b/>
                <w:color w:val="FFFFFF"/>
                <w:sz w:val="16"/>
              </w:rPr>
              <w:t>Dokumentierter Stand</w:t>
            </w:r>
          </w:p>
        </w:tc>
        <w:tc>
          <w:tcPr>
            <w:tcW w:type="dxa" w:w="3400"/>
            <w:shd w:fill="1F4E78"/>
          </w:tcPr>
          <w:p>
            <w:r>
              <w:rPr>
                <w:b/>
                <w:color w:val="FFFFFF"/>
                <w:sz w:val="16"/>
              </w:rPr>
              <w:t>Bedeutung</w:t>
            </w:r>
          </w:p>
        </w:tc>
      </w:tr>
      <w:tr>
        <w:tc>
          <w:tcPr>
            <w:tcW w:type="dxa" w:w="3400"/>
            <w:vAlign w:val="top"/>
          </w:tcPr>
          <w:p>
            <w:r>
              <w:rPr>
                <w:sz w:val="16"/>
              </w:rPr>
              <w:t>AP28 D14 Fehler</w:t>
            </w:r>
          </w:p>
        </w:tc>
        <w:tc>
          <w:tcPr>
            <w:tcW w:type="dxa" w:w="3400"/>
            <w:vAlign w:val="top"/>
          </w:tcPr>
          <w:p>
            <w:r>
              <w:rPr>
                <w:sz w:val="16"/>
              </w:rPr>
              <w:t>Memory-Limit bewusst 64Mi</w:t>
            </w:r>
          </w:p>
        </w:tc>
        <w:tc>
          <w:tcPr>
            <w:tcW w:type="dxa" w:w="3400"/>
            <w:vAlign w:val="top"/>
          </w:tcPr>
          <w:p>
            <w:r>
              <w:rPr>
                <w:sz w:val="16"/>
              </w:rPr>
              <w:t>Kontrollierter Test eines zu knappen Ressourcenlimits.</w:t>
            </w:r>
          </w:p>
        </w:tc>
      </w:tr>
      <w:tr>
        <w:tc>
          <w:tcPr>
            <w:tcW w:type="dxa" w:w="3400"/>
            <w:vAlign w:val="top"/>
          </w:tcPr>
          <w:p>
            <w:r>
              <w:rPr>
                <w:sz w:val="16"/>
              </w:rPr>
              <w:t>AP28 D14 Fix</w:t>
            </w:r>
          </w:p>
        </w:tc>
        <w:tc>
          <w:tcPr>
            <w:tcW w:type="dxa" w:w="3400"/>
            <w:vAlign w:val="top"/>
          </w:tcPr>
          <w:p>
            <w:r>
              <w:rPr>
                <w:sz w:val="16"/>
              </w:rPr>
              <w:t>128Mi/256Mi zurückgesetzt</w:t>
            </w:r>
          </w:p>
        </w:tc>
        <w:tc>
          <w:tcPr>
            <w:tcW w:type="dxa" w:w="3400"/>
            <w:vAlign w:val="top"/>
          </w:tcPr>
          <w:p>
            <w:r>
              <w:rPr>
                <w:sz w:val="16"/>
              </w:rPr>
              <w:t>Wiederherstellung des vorgesehenen Dev-Ressourcenrahmens.</w:t>
            </w:r>
          </w:p>
        </w:tc>
      </w:tr>
      <w:tr>
        <w:tc>
          <w:tcPr>
            <w:tcW w:type="dxa" w:w="3400"/>
            <w:vAlign w:val="top"/>
          </w:tcPr>
          <w:p>
            <w:r>
              <w:rPr>
                <w:sz w:val="16"/>
              </w:rPr>
              <w:t>CPU</w:t>
            </w:r>
          </w:p>
        </w:tc>
        <w:tc>
          <w:tcPr>
            <w:tcW w:type="dxa" w:w="3400"/>
            <w:vAlign w:val="top"/>
          </w:tcPr>
          <w:p>
            <w:r>
              <w:rPr>
                <w:sz w:val="16"/>
              </w:rPr>
              <w:t>Für HPA besonders relevant</w:t>
            </w:r>
          </w:p>
        </w:tc>
        <w:tc>
          <w:tcPr>
            <w:tcW w:type="dxa" w:w="3400"/>
            <w:vAlign w:val="top"/>
          </w:tcPr>
          <w:p>
            <w:r>
              <w:rPr>
                <w:sz w:val="16"/>
              </w:rPr>
              <w:t>HPA-Auslastung basiert auf Requests; finale Werte aus Manifest/Plan übernehmen.</w:t>
            </w:r>
          </w:p>
        </w:tc>
      </w:tr>
      <w:tr>
        <w:tc>
          <w:tcPr>
            <w:tcW w:type="dxa" w:w="3400"/>
            <w:vAlign w:val="top"/>
          </w:tcPr>
          <w:p>
            <w:r>
              <w:rPr>
                <w:sz w:val="16"/>
              </w:rPr>
              <w:t>MongoDB</w:t>
            </w:r>
          </w:p>
        </w:tc>
        <w:tc>
          <w:tcPr>
            <w:tcW w:type="dxa" w:w="3400"/>
            <w:vAlign w:val="top"/>
          </w:tcPr>
          <w:p>
            <w:r>
              <w:rPr>
                <w:sz w:val="16"/>
              </w:rPr>
              <w:t>Eigene Requests/Limits erforderlich</w:t>
            </w:r>
          </w:p>
        </w:tc>
        <w:tc>
          <w:tcPr>
            <w:tcW w:type="dxa" w:w="3400"/>
            <w:vAlign w:val="top"/>
          </w:tcPr>
          <w:p>
            <w:r>
              <w:rPr>
                <w:sz w:val="16"/>
              </w:rPr>
              <w:t>Datenbankbetrieb darf nicht unkontrolliert Ressourcen verbrauchen.</w:t>
            </w:r>
          </w:p>
        </w:tc>
      </w:tr>
    </w:tbl>
    <w:p/>
    <w:p>
      <w:pPr>
        <w:pStyle w:val="Heading1"/>
      </w:pPr>
      <w:r>
        <w:t>6. HorizontalPodAutoscaler (HPA)</w:t>
      </w:r>
    </w:p>
    <w:p>
      <w:r>
        <w:t>Der HPA skaliert das Pacman Deployment abhängig von der gemessenen CPU-Auslastung. Ein realer Dev-Nachweis zeigte TARGETS cpu: 5%/60%, MINPODS=1, MAXPODS=3 und REPLICAS=1. Damit ist für diesen Projektstand eine HPA-Spanne von einer bis drei Replikas und ein CPU-Zielwert von 60 % technisch belegt.</w:t>
      </w:r>
    </w:p>
    <w:p>
      <w:r>
        <w:t>AP28 D07 testete einen unrealistischen HPA-Zielwert mit Commit 32e3911. Commit e7a4f4a setzte den HPA-Zielwert wieder auf den korrekten Wert zurück. Zusätzlich wurde mit Commit 13ddb74 in Argo CD ignoreDifferences für die vom HPA verwaltete Deployment-Eigenschaft /spec/replicas ergänzt.</w:t>
      </w:r>
    </w:p>
    <w:p>
      <w:r>
        <w:t>Diese Argo-CD-Ausnahme ist betrieblich notwendig: Ohne sie könnte Argo CD eine vom HPA dynamisch geänderte Replica-Anzahl als Drift interpretieren und wieder auf den statischen Git-Wert zurücksetzen. Der dokumentierte Endzustand zeigte Deployment DESIRED=1, READY=1, AVAILABLE=1 sowie Argo CD Synced/Healthy.</w:t>
      </w:r>
    </w:p>
    <w:p>
      <w:pPr>
        <w:pStyle w:val="Heading1"/>
      </w:pPr>
      <w:r>
        <w:t>7. PodDisruptionBudget (PDB)</w:t>
      </w:r>
    </w:p>
    <w:p>
      <w:r>
        <w:t>Ein PodDisruptionBudget begrenzt freiwillige Unterbrechungen, beispielsweise bei Node-Wartung oder Eviction. Es ersetzt keine Replikation und schützt nicht gegen jeden ungeplanten Ausfall. Der Projektverlauf zeigt, dass PDB-Konfigurationen bewusst zwischen Umgebungen differenziert wurden; der Commit 4d66aae dokumentiert das Entfernen eines PDB im Dev-Overlay.</w:t>
      </w:r>
    </w:p>
    <w:p>
      <w:r>
        <w:t>Die finale PDB-Regel für Prod ist in overlays/prod/pdb.yaml definiert: minAvailable: 2 mit Selector app.kubernetes.io/name: pacman. Bei drei Prod-Replikas sind damit mindestens zwei Pods während freiwilliger Unterbrechungen (z. B. Node-Drain) garantiert verfügbar. In Dev existiert kein PDB (weder als Kustomize-Ressource noch im gerenderten Build), da ein PDB bei nur einer Dev-Replika jede freiwillige Unterbrechung blockieren würde.</w:t>
      </w:r>
    </w:p>
    <w:p>
      <w:pPr>
        <w:pStyle w:val="Heading1"/>
      </w:pPr>
      <w:r>
        <w:t>8. NetworkPolicies</w:t>
      </w:r>
    </w:p>
    <w:p>
      <w:r>
        <w:t>NetworkPolicies dienen dazu, Netzwerkverkehr zwischen Pods auf notwendige Kommunikationsbeziehungen zu begrenzen. Für Pacman muss insbesondere der Zugriff auf MongoDB funktionieren; gleichzeitig sollen unnötige Verbindungen nicht pauschal erlaubt werden.</w:t>
      </w:r>
    </w:p>
    <w:p>
      <w:r>
        <w:t>AP28 D13 setzte mit Commit c3517a9 bewusst eine fehlerhafte NetworkPolicy für Pacman → MongoDB in pacman-dev. Commit 068015f entfernte die fehlerhafte Dev-NetworkPolicy und stellte die Baseline wieder her. Zusätzlich ist in der Historie der Fix-Commit 22e38a1 „NetworkPolicy-Labels korrigieren und StatefulSet-Sync-Fehler beheben“ vorhanden.</w:t>
      </w:r>
    </w:p>
    <w:p>
      <w:r>
        <w:t>Der Fehlerfall zeigt zwei typische Risiken: Eine fachlich richtige Policy mit falschen Labels greift nicht wie erwartet; eine zu restriktive Policy kann dagegen den Datenbankzugriff vollständig unterbrechen. Deshalb müssen Selector, Namespace und erlaubte Ports gemeinsam geprüft werden.</w:t>
      </w:r>
    </w:p>
    <w:p>
      <w:r>
        <w:t>base/networkpolicy.yaml definiert fünf NetworkPolicy-Objekte, die als Base-Ressource sowohl in Dev als auch in Prod gerendert werden: default-deny-prod (podSelector {}, Ingress+Egress, keine Regeln - Default-Deny für den gesamten Namespace), allow-ingress-to-pacman (Ingress von ingress-nginx auf TCP/8080), allow-pacman-to-mongodb (Egress von Pacman zu MongoDB auf TCP/27017), allow-mongodb-from-pacman (Ingress zu MongoDB nur von Pacman auf TCP/27017) und allow-dns-prod (Egress zu kube-dns auf UDP/TCP 53).</w:t>
      </w:r>
    </w:p>
    <w:p>
      <w:r>
        <w:t>Die vier Allow-Regeln selektieren ausschließlich Pods mit dem Label environment: prod, das per JSON6902-Patch nur in overlays/prod gesetzt wird. In pacman-dev existieren dieselben fünf Objekte (kubectl get networkpolicy -n pacman-dev bestätigt dies), doch die Allow-Regeln greifen dort mangels passendem Label nicht - bei tatsächlicher Durchsetzung würde in Dev nur der Default-Deny wirken. Praktisch bleibt Dev dennoch uneingeschränkt erreichbar, da Docker Desktop Kubernetes standardmäßig keinen NetworkPolicy-durchsetzenden CNI (z. B. Calico, Cilium, Antrea) mitbringt; die Objekte existieren als API-Ressourcen, werden lokal aber nicht aktiv erzwungen. Dies betrifft Dev und Prod gleichermaßen und deckt sich mit der bereits in AP28 D13 dokumentierten, nicht durchgängig reproduzierbaren praktischen Durchsetzung.</w:t>
      </w:r>
    </w:p>
    <w:p>
      <w:pPr>
        <w:pStyle w:val="Heading1"/>
      </w:pPr>
      <w:r>
        <w:t>9. LimitRange und ResourceQuota</w:t>
      </w:r>
    </w:p>
    <w:p>
      <w:r>
        <w:t>LimitRange definiert Standard- bzw. Grenzwerte für einzelne Container/Pods im Namespace. ResourceQuota begrenzt dagegen den gesamten Ressourcenverbrauch beziehungsweise die Anzahl bestimmter Ressourcen eines Namespaces. Beide Mechanismen ergänzen sich.</w:t>
      </w:r>
    </w:p>
    <w:p>
      <w:r>
        <w:t>AP28 D12 skalierte pacman-dev mit Commit a08bd4c bewusst auf drei Replikas, um einen ResourceQuota-Fall zu testen. Commit 899f5b3 stellte anschließend die ursprüngliche eine Replica wieder her. Damit wurde das Zusammenspiel zwischen Deployment-Skalierung und Namespace-Grenzen kontrolliert untersucht.</w:t>
      </w:r>
    </w:p>
    <w:p>
      <w:r>
        <w:t>Die finalen LimitRange-Werte (base/limitrange.yaml, in Dev unverändert übernommen): defaultRequest 100m CPU/128Mi, default (Limit) 500m CPU/256Mi, min 50m CPU/64Mi, max 1 CPU/512Mi. In Prod hebt overlays/prod/kustomization.yaml per JSON6902-Patch min auf 100m CPU/128Mi und max auf 2 CPU/1Gi an; defaultRequest und default bleiben unverändert.</w:t>
      </w:r>
    </w:p>
    <w:p>
      <w:r>
        <w:t>Die finalen ResourceQuota-Werte (base/resourcequota.yaml, in Dev unverändert übernommen): requests.cpu 750m, requests.memory 768Mi, limits.cpu 2, limits.memory 1536Mi, pods 6, persistentvolumeclaims 2. In Prod patcht overlays/prod/kustomization.yaml diese Werte auf requests.cpu 1500m, requests.memory 2Gi, limits.cpu 6, limits.memory 3Gi, pods 12, persistentvolumeclaims 3. Die im Prod-Overlay zusätzlich vorhandenen Dateien limitrange-patch.yaml und resourcequota-patch.yaml enthalten abweichende Werte, sind jedoch nicht in overlays/prod/kustomization.yaml referenziert und damit nicht wirksam; sie sollten vor der endgültigen Abgabe als nicht mehr benötigte Altdateien entfernt werden, damit Dokumentation und Repository nicht auseinanderlaufen.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Mechanismus</w:t>
            </w:r>
          </w:p>
        </w:tc>
        <w:tc>
          <w:tcPr>
            <w:tcW w:type="dxa" w:w="3400"/>
            <w:shd w:fill="1F4E78"/>
          </w:tcPr>
          <w:p>
            <w:r>
              <w:rPr>
                <w:b/>
                <w:color w:val="FFFFFF"/>
                <w:sz w:val="16"/>
              </w:rPr>
              <w:t>Ebene</w:t>
            </w:r>
          </w:p>
        </w:tc>
        <w:tc>
          <w:tcPr>
            <w:tcW w:type="dxa" w:w="3400"/>
            <w:shd w:fill="1F4E78"/>
          </w:tcPr>
          <w:p>
            <w:r>
              <w:rPr>
                <w:b/>
                <w:color w:val="FFFFFF"/>
                <w:sz w:val="16"/>
              </w:rPr>
              <w:t>Betrieblicher Nutzen</w:t>
            </w:r>
          </w:p>
        </w:tc>
      </w:tr>
      <w:tr>
        <w:tc>
          <w:tcPr>
            <w:tcW w:type="dxa" w:w="3400"/>
            <w:vAlign w:val="top"/>
          </w:tcPr>
          <w:p>
            <w:r>
              <w:rPr>
                <w:sz w:val="16"/>
              </w:rPr>
              <w:t>Requests/Limits</w:t>
            </w:r>
          </w:p>
        </w:tc>
        <w:tc>
          <w:tcPr>
            <w:tcW w:type="dxa" w:w="3400"/>
            <w:vAlign w:val="top"/>
          </w:tcPr>
          <w:p>
            <w:r>
              <w:rPr>
                <w:sz w:val="16"/>
              </w:rPr>
              <w:t>Container</w:t>
            </w:r>
          </w:p>
        </w:tc>
        <w:tc>
          <w:tcPr>
            <w:tcW w:type="dxa" w:w="3400"/>
            <w:vAlign w:val="top"/>
          </w:tcPr>
          <w:p>
            <w:r>
              <w:rPr>
                <w:sz w:val="16"/>
              </w:rPr>
              <w:t>Definiert erwarteten und maximalen Ressourcenverbrauch.</w:t>
            </w:r>
          </w:p>
        </w:tc>
      </w:tr>
      <w:tr>
        <w:tc>
          <w:tcPr>
            <w:tcW w:type="dxa" w:w="3400"/>
            <w:vAlign w:val="top"/>
          </w:tcPr>
          <w:p>
            <w:r>
              <w:rPr>
                <w:sz w:val="16"/>
              </w:rPr>
              <w:t>LimitRange</w:t>
            </w:r>
          </w:p>
        </w:tc>
        <w:tc>
          <w:tcPr>
            <w:tcW w:type="dxa" w:w="3400"/>
            <w:vAlign w:val="top"/>
          </w:tcPr>
          <w:p>
            <w:r>
              <w:rPr>
                <w:sz w:val="16"/>
              </w:rPr>
              <w:t>Namespace-Regeln für einzelne Pods/Container</w:t>
            </w:r>
          </w:p>
        </w:tc>
        <w:tc>
          <w:tcPr>
            <w:tcW w:type="dxa" w:w="3400"/>
            <w:vAlign w:val="top"/>
          </w:tcPr>
          <w:p>
            <w:r>
              <w:rPr>
                <w:sz w:val="16"/>
              </w:rPr>
              <w:t>Verhindert fehlende oder unzulässige Einzelwerte.</w:t>
            </w:r>
          </w:p>
        </w:tc>
      </w:tr>
      <w:tr>
        <w:tc>
          <w:tcPr>
            <w:tcW w:type="dxa" w:w="3400"/>
            <w:vAlign w:val="top"/>
          </w:tcPr>
          <w:p>
            <w:r>
              <w:rPr>
                <w:sz w:val="16"/>
              </w:rPr>
              <w:t>ResourceQuota</w:t>
            </w:r>
          </w:p>
        </w:tc>
        <w:tc>
          <w:tcPr>
            <w:tcW w:type="dxa" w:w="3400"/>
            <w:vAlign w:val="top"/>
          </w:tcPr>
          <w:p>
            <w:r>
              <w:rPr>
                <w:sz w:val="16"/>
              </w:rPr>
              <w:t>Gesamter Namespace</w:t>
            </w:r>
          </w:p>
        </w:tc>
        <w:tc>
          <w:tcPr>
            <w:tcW w:type="dxa" w:w="3400"/>
            <w:vAlign w:val="top"/>
          </w:tcPr>
          <w:p>
            <w:r>
              <w:rPr>
                <w:sz w:val="16"/>
              </w:rPr>
              <w:t>Verhindert, dass eine Umgebung die Clusterressourcen unbegrenzt beansprucht.</w:t>
            </w:r>
          </w:p>
        </w:tc>
      </w:tr>
      <w:tr>
        <w:tc>
          <w:tcPr>
            <w:tcW w:type="dxa" w:w="3400"/>
            <w:vAlign w:val="top"/>
          </w:tcPr>
          <w:p>
            <w:r>
              <w:rPr>
                <w:sz w:val="16"/>
              </w:rPr>
              <w:t>HPA</w:t>
            </w:r>
          </w:p>
        </w:tc>
        <w:tc>
          <w:tcPr>
            <w:tcW w:type="dxa" w:w="3400"/>
            <w:vAlign w:val="top"/>
          </w:tcPr>
          <w:p>
            <w:r>
              <w:rPr>
                <w:sz w:val="16"/>
              </w:rPr>
              <w:t>Deployment-Skalierung</w:t>
            </w:r>
          </w:p>
        </w:tc>
        <w:tc>
          <w:tcPr>
            <w:tcW w:type="dxa" w:w="3400"/>
            <w:vAlign w:val="top"/>
          </w:tcPr>
          <w:p>
            <w:r>
              <w:rPr>
                <w:sz w:val="16"/>
              </w:rPr>
              <w:t>Darf nur innerhalb der verfügbaren Quota sinnvoll skalieren.</w:t>
            </w:r>
          </w:p>
        </w:tc>
      </w:tr>
    </w:tbl>
    <w:p/>
    <w:p>
      <w:pPr>
        <w:pStyle w:val="Heading1"/>
      </w:pPr>
      <w:r>
        <w:t>10. Secret-Sicherheit im Betrieb</w:t>
      </w:r>
    </w:p>
    <w:p>
      <w:r>
        <w:t>MongoDB-Zugangsdaten werden über das Secret mongodb-credentials referenziert. Ein früherer Nachweis zeigte in pacman-dev und pacman-prod jeweils ein Opaque Secret mit vier Datenfeldern. Bei der Kontrolle wurden ausschließlich die Key-Namen app-password, app-username, root-password und root-username ausgegeben; die Werte wurden nicht offengelegt.</w:t>
      </w:r>
    </w:p>
    <w:p>
      <w:r>
        <w:t>AP28 D11 simulierte mit Commit 0b20165 eine fehlerhafte Secret-Rotation beziehungsweise falsche Zugangsdaten. Commit cd71e2c stellte Pacman wieder auf das korrekte Secret zurück. Danach wurden die Deployment-Referenzen MONGO_AUTH_USER → mongodb-credentials/app-username und MONGO_AUTH_PWD → mongodb-credentials/app-password geprüft. Der datenbankabhängige Endpunkt /highscores/list lieferte anschließend HTTP 200.</w:t>
      </w:r>
    </w:p>
    <w:p>
      <w:r>
        <w:t>Dieser Nachweis ist IHK-tauglich, weil er die Secret-Nutzung zeigt, ohne Zugangsdaten offenzulegen. Screenshots dürfen niemals base64-dekodierte Secret-Werte, Tokens oder Passwörter enthalten.</w:t>
      </w:r>
    </w:p>
    <w:p>
      <w:pPr>
        <w:pStyle w:val="Heading1"/>
      </w:pPr>
      <w:r>
        <w:t>11. Image- und Servicefehler als Betriebsfälle</w:t>
      </w:r>
    </w:p>
    <w:p>
      <w:r>
        <w:t>Nicht jeder Kubernetes-Betriebsfehler ist ein Security-Problem. ImagePull- und Service-Routing-Fehler gehören jedoch zur Betriebsstabilität und sind deshalb für die Gesamtbewertung relevant.</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Fall</w:t>
            </w:r>
          </w:p>
        </w:tc>
        <w:tc>
          <w:tcPr>
            <w:tcW w:type="dxa" w:w="3400"/>
            <w:shd w:fill="1F4E78"/>
          </w:tcPr>
          <w:p>
            <w:r>
              <w:rPr>
                <w:b/>
                <w:color w:val="FFFFFF"/>
                <w:sz w:val="16"/>
              </w:rPr>
              <w:t>Ursache</w:t>
            </w:r>
          </w:p>
        </w:tc>
        <w:tc>
          <w:tcPr>
            <w:tcW w:type="dxa" w:w="3400"/>
            <w:shd w:fill="1F4E78"/>
          </w:tcPr>
          <w:p>
            <w:r>
              <w:rPr>
                <w:b/>
                <w:color w:val="FFFFFF"/>
                <w:sz w:val="16"/>
              </w:rPr>
              <w:t>Korrektur / Nachweis</w:t>
            </w:r>
          </w:p>
        </w:tc>
      </w:tr>
      <w:tr>
        <w:tc>
          <w:tcPr>
            <w:tcW w:type="dxa" w:w="3400"/>
            <w:vAlign w:val="top"/>
          </w:tcPr>
          <w:p>
            <w:r>
              <w:rPr>
                <w:sz w:val="16"/>
              </w:rPr>
              <w:t>F03 / AP28 D02</w:t>
            </w:r>
          </w:p>
        </w:tc>
        <w:tc>
          <w:tcPr>
            <w:tcW w:type="dxa" w:w="3400"/>
            <w:vAlign w:val="top"/>
          </w:tcPr>
          <w:p>
            <w:r>
              <w:rPr>
                <w:sz w:val="16"/>
              </w:rPr>
              <w:t>Ungültiger GHCR-Image-Tag</w:t>
            </w:r>
          </w:p>
        </w:tc>
        <w:tc>
          <w:tcPr>
            <w:tcW w:type="dxa" w:w="3400"/>
            <w:vAlign w:val="top"/>
          </w:tcPr>
          <w:p>
            <w:r>
              <w:rPr>
                <w:sz w:val="16"/>
              </w:rPr>
              <w:t>99ac6e1 → 03561ce; danach gültiges SHA-Image, Pod Running/Ready, 0 Restarts.</w:t>
            </w:r>
          </w:p>
        </w:tc>
      </w:tr>
      <w:tr>
        <w:tc>
          <w:tcPr>
            <w:tcW w:type="dxa" w:w="3400"/>
            <w:vAlign w:val="top"/>
          </w:tcPr>
          <w:p>
            <w:r>
              <w:rPr>
                <w:sz w:val="16"/>
              </w:rPr>
              <w:t>F04 / AP28 D04</w:t>
            </w:r>
          </w:p>
        </w:tc>
        <w:tc>
          <w:tcPr>
            <w:tcW w:type="dxa" w:w="3400"/>
            <w:vAlign w:val="top"/>
          </w:tcPr>
          <w:p>
            <w:r>
              <w:rPr>
                <w:sz w:val="16"/>
              </w:rPr>
              <w:t>Service targetPort zeigte auf falschen Container-Port</w:t>
            </w:r>
          </w:p>
        </w:tc>
        <w:tc>
          <w:tcPr>
            <w:tcW w:type="dxa" w:w="3400"/>
            <w:vAlign w:val="top"/>
          </w:tcPr>
          <w:p>
            <w:r>
              <w:rPr>
                <w:sz w:val="16"/>
              </w:rPr>
              <w:t>d5e0f9e → d6b8339; danach Port 80 → targetPort 8080 und HTTP 200.</w:t>
            </w:r>
          </w:p>
        </w:tc>
      </w:tr>
      <w:tr>
        <w:tc>
          <w:tcPr>
            <w:tcW w:type="dxa" w:w="3400"/>
            <w:vAlign w:val="top"/>
          </w:tcPr>
          <w:p>
            <w:r>
              <w:rPr>
                <w:sz w:val="16"/>
              </w:rPr>
              <w:t>F05 / AP28 D11</w:t>
            </w:r>
          </w:p>
        </w:tc>
        <w:tc>
          <w:tcPr>
            <w:tcW w:type="dxa" w:w="3400"/>
            <w:vAlign w:val="top"/>
          </w:tcPr>
          <w:p>
            <w:r>
              <w:rPr>
                <w:sz w:val="16"/>
              </w:rPr>
              <w:t>Falsche MongoDB-Zugangsdaten / Secret-Referenz</w:t>
            </w:r>
          </w:p>
        </w:tc>
        <w:tc>
          <w:tcPr>
            <w:tcW w:type="dxa" w:w="3400"/>
            <w:vAlign w:val="top"/>
          </w:tcPr>
          <w:p>
            <w:r>
              <w:rPr>
                <w:sz w:val="16"/>
              </w:rPr>
              <w:t>0b20165 → cd71e2c; danach korrekte Secret-Key-Referenzen und HTTP 200.</w:t>
            </w:r>
          </w:p>
        </w:tc>
      </w:tr>
      <w:tr>
        <w:tc>
          <w:tcPr>
            <w:tcW w:type="dxa" w:w="3400"/>
            <w:vAlign w:val="top"/>
          </w:tcPr>
          <w:p>
            <w:r>
              <w:rPr>
                <w:sz w:val="16"/>
              </w:rPr>
              <w:t>F06 / AP28 D10</w:t>
            </w:r>
          </w:p>
        </w:tc>
        <w:tc>
          <w:tcPr>
            <w:tcW w:type="dxa" w:w="3400"/>
            <w:vAlign w:val="top"/>
          </w:tcPr>
          <w:p>
            <w:r>
              <w:rPr>
                <w:sz w:val="16"/>
              </w:rPr>
              <w:t>Ungültiger Liveness-Pfad</w:t>
            </w:r>
          </w:p>
        </w:tc>
        <w:tc>
          <w:tcPr>
            <w:tcW w:type="dxa" w:w="3400"/>
            <w:vAlign w:val="top"/>
          </w:tcPr>
          <w:p>
            <w:r>
              <w:rPr>
                <w:sz w:val="16"/>
              </w:rPr>
              <w:t>bb4e38c → 93e24a2; danach Pfad /, Ready=true, 0 Restarts.</w:t>
            </w:r>
          </w:p>
        </w:tc>
      </w:tr>
      <w:tr>
        <w:tc>
          <w:tcPr>
            <w:tcW w:type="dxa" w:w="3400"/>
            <w:vAlign w:val="top"/>
          </w:tcPr>
          <w:p>
            <w:r>
              <w:rPr>
                <w:sz w:val="16"/>
              </w:rPr>
              <w:t>F07 / AP28 D07</w:t>
            </w:r>
          </w:p>
        </w:tc>
        <w:tc>
          <w:tcPr>
            <w:tcW w:type="dxa" w:w="3400"/>
            <w:vAlign w:val="top"/>
          </w:tcPr>
          <w:p>
            <w:r>
              <w:rPr>
                <w:sz w:val="16"/>
              </w:rPr>
              <w:t>HPA-Zielwert / GitOps-Replicas-Konflikt</w:t>
            </w:r>
          </w:p>
        </w:tc>
        <w:tc>
          <w:tcPr>
            <w:tcW w:type="dxa" w:w="3400"/>
            <w:vAlign w:val="top"/>
          </w:tcPr>
          <w:p>
            <w:r>
              <w:rPr>
                <w:sz w:val="16"/>
              </w:rPr>
              <w:t>32e3911, e7a4f4a, 13ddb74; danach HPA 1–3 bei 60 % und Argo CD Synced/Healthy.</w:t>
            </w:r>
          </w:p>
        </w:tc>
      </w:tr>
    </w:tbl>
    <w:p/>
    <w:p>
      <w:pPr>
        <w:pStyle w:val="Heading1"/>
      </w:pPr>
      <w:r>
        <w:t>12. Argo CD und kontrollierter Sollzustand</w:t>
      </w:r>
    </w:p>
    <w:p>
      <w:r>
        <w:t>GitOps ist auch eine Betriebs- und Sicherheitsmaßnahme: Änderungen am gewünschten Kubernetes-Zustand sind in Git nachvollziehbar und können über Pull Requests, Commits und Reverts kontrolliert werden. Ein dokumentierter Dev-Endzustand zeigte pacman-dev in Argo CD mit SYNC=Synced und HEALTH=Healthy.</w:t>
      </w:r>
    </w:p>
    <w:p>
      <w:r>
        <w:t>Die HPA-Ausnahme für /spec/replicas zeigt, dass GitOps nicht jede dynamische Clusteränderung blind zurücksetzen darf. Der Sollzustand muss so modelliert sein, dass Controller-Verantwortlichkeiten – hier HPA versus Argo CD – sauber getrennt sind.</w:t>
      </w:r>
    </w:p>
    <w:p>
      <w:pPr>
        <w:pStyle w:val="Heading1"/>
      </w:pPr>
      <w:r>
        <w:t>13. Betriebsprüfung und Troubleshooting</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Prüfung</w:t>
            </w:r>
          </w:p>
        </w:tc>
        <w:tc>
          <w:tcPr>
            <w:tcW w:type="dxa" w:w="3400"/>
            <w:shd w:fill="1F4E78"/>
          </w:tcPr>
          <w:p>
            <w:r>
              <w:rPr>
                <w:b/>
                <w:color w:val="FFFFFF"/>
                <w:sz w:val="16"/>
              </w:rPr>
              <w:t>Befehl / Nachweisart</w:t>
            </w:r>
          </w:p>
        </w:tc>
        <w:tc>
          <w:tcPr>
            <w:tcW w:type="dxa" w:w="3400"/>
            <w:shd w:fill="1F4E78"/>
          </w:tcPr>
          <w:p>
            <w:r>
              <w:rPr>
                <w:b/>
                <w:color w:val="FFFFFF"/>
                <w:sz w:val="16"/>
              </w:rPr>
              <w:t>Interpretation</w:t>
            </w:r>
          </w:p>
        </w:tc>
      </w:tr>
      <w:tr>
        <w:tc>
          <w:tcPr>
            <w:tcW w:type="dxa" w:w="3400"/>
            <w:vAlign w:val="top"/>
          </w:tcPr>
          <w:p>
            <w:r>
              <w:rPr>
                <w:sz w:val="16"/>
              </w:rPr>
              <w:t>Pods</w:t>
            </w:r>
          </w:p>
        </w:tc>
        <w:tc>
          <w:tcPr>
            <w:tcW w:type="dxa" w:w="3400"/>
            <w:vAlign w:val="top"/>
          </w:tcPr>
          <w:p>
            <w:r>
              <w:rPr>
                <w:sz w:val="16"/>
              </w:rPr>
              <w:t>kubectl get pods -n &lt;namespace&gt;</w:t>
            </w:r>
          </w:p>
        </w:tc>
        <w:tc>
          <w:tcPr>
            <w:tcW w:type="dxa" w:w="3400"/>
            <w:vAlign w:val="top"/>
          </w:tcPr>
          <w:p>
            <w:r>
              <w:rPr>
                <w:sz w:val="16"/>
              </w:rPr>
              <w:t>Running allein reicht nicht; Ready und Restarts mitbewerten.</w:t>
            </w:r>
          </w:p>
        </w:tc>
      </w:tr>
      <w:tr>
        <w:tc>
          <w:tcPr>
            <w:tcW w:type="dxa" w:w="3400"/>
            <w:vAlign w:val="top"/>
          </w:tcPr>
          <w:p>
            <w:r>
              <w:rPr>
                <w:sz w:val="16"/>
              </w:rPr>
              <w:t>Deployment</w:t>
            </w:r>
          </w:p>
        </w:tc>
        <w:tc>
          <w:tcPr>
            <w:tcW w:type="dxa" w:w="3400"/>
            <w:vAlign w:val="top"/>
          </w:tcPr>
          <w:p>
            <w:r>
              <w:rPr>
                <w:sz w:val="16"/>
              </w:rPr>
              <w:t>kubectl get deployment pacman -n &lt;namespace&gt;</w:t>
            </w:r>
          </w:p>
        </w:tc>
        <w:tc>
          <w:tcPr>
            <w:tcW w:type="dxa" w:w="3400"/>
            <w:vAlign w:val="top"/>
          </w:tcPr>
          <w:p>
            <w:r>
              <w:rPr>
                <w:sz w:val="16"/>
              </w:rPr>
              <w:t>Desired/Ready/Available und verwendetes Image prüfen.</w:t>
            </w:r>
          </w:p>
        </w:tc>
      </w:tr>
      <w:tr>
        <w:tc>
          <w:tcPr>
            <w:tcW w:type="dxa" w:w="3400"/>
            <w:vAlign w:val="top"/>
          </w:tcPr>
          <w:p>
            <w:r>
              <w:rPr>
                <w:sz w:val="16"/>
              </w:rPr>
              <w:t>Events</w:t>
            </w:r>
          </w:p>
        </w:tc>
        <w:tc>
          <w:tcPr>
            <w:tcW w:type="dxa" w:w="3400"/>
            <w:vAlign w:val="top"/>
          </w:tcPr>
          <w:p>
            <w:r>
              <w:rPr>
                <w:sz w:val="16"/>
              </w:rPr>
              <w:t>kubectl get events -n &lt;namespace&gt; --sort-by=.lastTimestamp</w:t>
            </w:r>
          </w:p>
        </w:tc>
        <w:tc>
          <w:tcPr>
            <w:tcW w:type="dxa" w:w="3400"/>
            <w:vAlign w:val="top"/>
          </w:tcPr>
          <w:p>
            <w:r>
              <w:rPr>
                <w:sz w:val="16"/>
              </w:rPr>
              <w:t>ImagePull, Probe-, Scheduling- und Volume-Fehler erkennen.</w:t>
            </w:r>
          </w:p>
        </w:tc>
      </w:tr>
      <w:tr>
        <w:tc>
          <w:tcPr>
            <w:tcW w:type="dxa" w:w="3400"/>
            <w:vAlign w:val="top"/>
          </w:tcPr>
          <w:p>
            <w:r>
              <w:rPr>
                <w:sz w:val="16"/>
              </w:rPr>
              <w:t>Logs</w:t>
            </w:r>
          </w:p>
        </w:tc>
        <w:tc>
          <w:tcPr>
            <w:tcW w:type="dxa" w:w="3400"/>
            <w:vAlign w:val="top"/>
          </w:tcPr>
          <w:p>
            <w:r>
              <w:rPr>
                <w:sz w:val="16"/>
              </w:rPr>
              <w:t>kubectl logs ...</w:t>
            </w:r>
          </w:p>
        </w:tc>
        <w:tc>
          <w:tcPr>
            <w:tcW w:type="dxa" w:w="3400"/>
            <w:vAlign w:val="top"/>
          </w:tcPr>
          <w:p>
            <w:r>
              <w:rPr>
                <w:sz w:val="16"/>
              </w:rPr>
              <w:t>Anwendungs-/Datenbankfehler analysieren; Secrets nicht ausgeben.</w:t>
            </w:r>
          </w:p>
        </w:tc>
      </w:tr>
      <w:tr>
        <w:tc>
          <w:tcPr>
            <w:tcW w:type="dxa" w:w="3400"/>
            <w:vAlign w:val="top"/>
          </w:tcPr>
          <w:p>
            <w:r>
              <w:rPr>
                <w:sz w:val="16"/>
              </w:rPr>
              <w:t>Service</w:t>
            </w:r>
          </w:p>
        </w:tc>
        <w:tc>
          <w:tcPr>
            <w:tcW w:type="dxa" w:w="3400"/>
            <w:vAlign w:val="top"/>
          </w:tcPr>
          <w:p>
            <w:r>
              <w:rPr>
                <w:sz w:val="16"/>
              </w:rPr>
              <w:t>kubectl get service pacman ...</w:t>
            </w:r>
          </w:p>
        </w:tc>
        <w:tc>
          <w:tcPr>
            <w:tcW w:type="dxa" w:w="3400"/>
            <w:vAlign w:val="top"/>
          </w:tcPr>
          <w:p>
            <w:r>
              <w:rPr>
                <w:sz w:val="16"/>
              </w:rPr>
              <w:t>Port/targetPort und Selector prüfen.</w:t>
            </w:r>
          </w:p>
        </w:tc>
      </w:tr>
      <w:tr>
        <w:tc>
          <w:tcPr>
            <w:tcW w:type="dxa" w:w="3400"/>
            <w:vAlign w:val="top"/>
          </w:tcPr>
          <w:p>
            <w:r>
              <w:rPr>
                <w:sz w:val="16"/>
              </w:rPr>
              <w:t>HPA</w:t>
            </w:r>
          </w:p>
        </w:tc>
        <w:tc>
          <w:tcPr>
            <w:tcW w:type="dxa" w:w="3400"/>
            <w:vAlign w:val="top"/>
          </w:tcPr>
          <w:p>
            <w:r>
              <w:rPr>
                <w:sz w:val="16"/>
              </w:rPr>
              <w:t>kubectl get hpa pacman ...</w:t>
            </w:r>
          </w:p>
        </w:tc>
        <w:tc>
          <w:tcPr>
            <w:tcW w:type="dxa" w:w="3400"/>
            <w:vAlign w:val="top"/>
          </w:tcPr>
          <w:p>
            <w:r>
              <w:rPr>
                <w:sz w:val="16"/>
              </w:rPr>
              <w:t>Ist-Auslastung, Zielwert, Min/Max und Replicas prüfen.</w:t>
            </w:r>
          </w:p>
        </w:tc>
      </w:tr>
      <w:tr>
        <w:tc>
          <w:tcPr>
            <w:tcW w:type="dxa" w:w="3400"/>
            <w:vAlign w:val="top"/>
          </w:tcPr>
          <w:p>
            <w:r>
              <w:rPr>
                <w:sz w:val="16"/>
              </w:rPr>
              <w:t>Argo CD</w:t>
            </w:r>
          </w:p>
        </w:tc>
        <w:tc>
          <w:tcPr>
            <w:tcW w:type="dxa" w:w="3400"/>
            <w:vAlign w:val="top"/>
          </w:tcPr>
          <w:p>
            <w:r>
              <w:rPr>
                <w:sz w:val="16"/>
              </w:rPr>
              <w:t>kubectl get application ... -n argocd</w:t>
            </w:r>
          </w:p>
        </w:tc>
        <w:tc>
          <w:tcPr>
            <w:tcW w:type="dxa" w:w="3400"/>
            <w:vAlign w:val="top"/>
          </w:tcPr>
          <w:p>
            <w:r>
              <w:rPr>
                <w:sz w:val="16"/>
              </w:rPr>
              <w:t>Sync- und Health-Status des GitOps-Zustands prüfen.</w:t>
            </w:r>
          </w:p>
        </w:tc>
      </w:tr>
      <w:tr>
        <w:tc>
          <w:tcPr>
            <w:tcW w:type="dxa" w:w="3400"/>
            <w:vAlign w:val="top"/>
          </w:tcPr>
          <w:p>
            <w:r>
              <w:rPr>
                <w:sz w:val="16"/>
              </w:rPr>
              <w:t>SecurityContext</w:t>
            </w:r>
          </w:p>
        </w:tc>
        <w:tc>
          <w:tcPr>
            <w:tcW w:type="dxa" w:w="3400"/>
            <w:vAlign w:val="top"/>
          </w:tcPr>
          <w:p>
            <w:r>
              <w:rPr>
                <w:sz w:val="16"/>
              </w:rPr>
              <w:t>kubectl get deployment/statefulset -o yaml</w:t>
            </w:r>
          </w:p>
        </w:tc>
        <w:tc>
          <w:tcPr>
            <w:tcW w:type="dxa" w:w="3400"/>
            <w:vAlign w:val="top"/>
          </w:tcPr>
          <w:p>
            <w:r>
              <w:rPr>
                <w:sz w:val="16"/>
              </w:rPr>
              <w:t>Tatsächlich aktive Security-Einstellungen prüfen.</w:t>
            </w:r>
          </w:p>
        </w:tc>
      </w:tr>
      <w:tr>
        <w:tc>
          <w:tcPr>
            <w:tcW w:type="dxa" w:w="3400"/>
            <w:vAlign w:val="top"/>
          </w:tcPr>
          <w:p>
            <w:r>
              <w:rPr>
                <w:sz w:val="16"/>
              </w:rPr>
              <w:t>Quota/Limits</w:t>
            </w:r>
          </w:p>
        </w:tc>
        <w:tc>
          <w:tcPr>
            <w:tcW w:type="dxa" w:w="3400"/>
            <w:vAlign w:val="top"/>
          </w:tcPr>
          <w:p>
            <w:r>
              <w:rPr>
                <w:sz w:val="16"/>
              </w:rPr>
              <w:t>kubectl get resourcequota,limitrange -n &lt;namespace&gt;</w:t>
            </w:r>
          </w:p>
        </w:tc>
        <w:tc>
          <w:tcPr>
            <w:tcW w:type="dxa" w:w="3400"/>
            <w:vAlign w:val="top"/>
          </w:tcPr>
          <w:p>
            <w:r>
              <w:rPr>
                <w:sz w:val="16"/>
              </w:rPr>
              <w:t>Namespace-Grenzen und Default-/Maximalwerte prüfen.</w:t>
            </w:r>
          </w:p>
        </w:tc>
      </w:tr>
      <w:tr>
        <w:tc>
          <w:tcPr>
            <w:tcW w:type="dxa" w:w="3400"/>
            <w:vAlign w:val="top"/>
          </w:tcPr>
          <w:p>
            <w:r>
              <w:rPr>
                <w:sz w:val="16"/>
              </w:rPr>
              <w:t>NetworkPolicy</w:t>
            </w:r>
          </w:p>
        </w:tc>
        <w:tc>
          <w:tcPr>
            <w:tcW w:type="dxa" w:w="3400"/>
            <w:vAlign w:val="top"/>
          </w:tcPr>
          <w:p>
            <w:r>
              <w:rPr>
                <w:sz w:val="16"/>
              </w:rPr>
              <w:t>kubectl get networkpolicy -n &lt;namespace&gt;</w:t>
            </w:r>
          </w:p>
        </w:tc>
        <w:tc>
          <w:tcPr>
            <w:tcW w:type="dxa" w:w="3400"/>
            <w:vAlign w:val="top"/>
          </w:tcPr>
          <w:p>
            <w:r>
              <w:rPr>
                <w:sz w:val="16"/>
              </w:rPr>
              <w:t>Vorhandene Policies und anschließend reale Kommunikationspfade testen.</w:t>
            </w:r>
          </w:p>
        </w:tc>
      </w:tr>
    </w:tbl>
    <w:p/>
    <w:p>
      <w:pPr>
        <w:pStyle w:val="Heading1"/>
      </w:pPr>
      <w:r>
        <w:t>14. IHK-Abgleich und aktueller Nachweisstatus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Prüfpunkt</w:t>
            </w:r>
          </w:p>
        </w:tc>
        <w:tc>
          <w:tcPr>
            <w:tcW w:type="dxa" w:w="3400"/>
            <w:shd w:fill="1F4E78"/>
          </w:tcPr>
          <w:p>
            <w:r>
              <w:rPr>
                <w:b/>
                <w:color w:val="FFFFFF"/>
                <w:sz w:val="16"/>
              </w:rPr>
              <w:t>Stand auf Basis der echten Projektdaten</w:t>
            </w:r>
          </w:p>
        </w:tc>
        <w:tc>
          <w:tcPr>
            <w:tcW w:type="dxa" w:w="3400"/>
            <w:shd w:fill="1F4E78"/>
          </w:tcPr>
          <w:p>
            <w:r>
              <w:rPr>
                <w:b/>
                <w:color w:val="FFFFFF"/>
                <w:sz w:val="16"/>
              </w:rPr>
              <w:t>Primärnachweis / offener Punkt</w:t>
            </w:r>
          </w:p>
        </w:tc>
      </w:tr>
      <w:tr>
        <w:tc>
          <w:tcPr>
            <w:tcW w:type="dxa" w:w="3400"/>
            <w:vAlign w:val="top"/>
          </w:tcPr>
          <w:p>
            <w:r>
              <w:rPr>
                <w:sz w:val="16"/>
              </w:rPr>
              <w:t>Readiness</w:t>
            </w:r>
          </w:p>
        </w:tc>
        <w:tc>
          <w:tcPr>
            <w:tcW w:type="dxa" w:w="3400"/>
            <w:vAlign w:val="top"/>
          </w:tcPr>
          <w:p>
            <w:r>
              <w:rPr>
                <w:sz w:val="16"/>
              </w:rPr>
              <w:t>Fehler-/Fix-Historie 3dcf950 → 98afd8c vorhanden</w:t>
            </w:r>
          </w:p>
        </w:tc>
        <w:tc>
          <w:tcPr>
            <w:tcW w:type="dxa" w:w="3400"/>
            <w:vAlign w:val="top"/>
          </w:tcPr>
          <w:p>
            <w:r>
              <w:rPr>
                <w:sz w:val="16"/>
              </w:rPr>
              <w:t>Aktuellen Readiness-Pfad/Parameter aus finalem Deployment zusätzlich archivieren.</w:t>
            </w:r>
          </w:p>
        </w:tc>
      </w:tr>
      <w:tr>
        <w:tc>
          <w:tcPr>
            <w:tcW w:type="dxa" w:w="3400"/>
            <w:vAlign w:val="top"/>
          </w:tcPr>
          <w:p>
            <w:r>
              <w:rPr>
                <w:sz w:val="16"/>
              </w:rPr>
              <w:t>Liveness</w:t>
            </w:r>
          </w:p>
        </w:tc>
        <w:tc>
          <w:tcPr>
            <w:tcW w:type="dxa" w:w="3400"/>
            <w:vAlign w:val="top"/>
          </w:tcPr>
          <w:p>
            <w:r>
              <w:rPr>
                <w:sz w:val="16"/>
              </w:rPr>
              <w:t>bb4e38c → 93e24a2; Pfad /; Pod Ready, 0 Restarts</w:t>
            </w:r>
          </w:p>
        </w:tc>
        <w:tc>
          <w:tcPr>
            <w:tcW w:type="dxa" w:w="3400"/>
            <w:vAlign w:val="top"/>
          </w:tcPr>
          <w:p>
            <w:r>
              <w:rPr>
                <w:sz w:val="16"/>
              </w:rPr>
              <w:t>Technisch nachgewiesen.</w:t>
            </w:r>
          </w:p>
        </w:tc>
      </w:tr>
      <w:tr>
        <w:tc>
          <w:tcPr>
            <w:tcW w:type="dxa" w:w="3400"/>
            <w:vAlign w:val="top"/>
          </w:tcPr>
          <w:p>
            <w:r>
              <w:rPr>
                <w:sz w:val="16"/>
              </w:rPr>
              <w:t>Startup Probe</w:t>
            </w:r>
          </w:p>
        </w:tc>
        <w:tc>
          <w:tcPr>
            <w:tcW w:type="dxa" w:w="3400"/>
            <w:vAlign w:val="top"/>
          </w:tcPr>
          <w:p>
            <w:r>
              <w:rPr>
                <w:sz w:val="16"/>
              </w:rPr>
              <w:t>httpGet path /, periodSeconds 5, failureThreshold 12 (base/deployment.yaml)</w:t>
            </w:r>
          </w:p>
        </w:tc>
        <w:tc>
          <w:tcPr>
            <w:tcW w:type="dxa" w:w="3400"/>
            <w:vAlign w:val="top"/>
          </w:tcPr>
          <w:p>
            <w:r>
              <w:rPr>
                <w:sz w:val="16"/>
              </w:rPr>
              <w:t>Technisch nachgewiesen.</w:t>
            </w:r>
          </w:p>
        </w:tc>
      </w:tr>
      <w:tr>
        <w:tc>
          <w:tcPr>
            <w:tcW w:type="dxa" w:w="3400"/>
            <w:vAlign w:val="top"/>
          </w:tcPr>
          <w:p>
            <w:r>
              <w:rPr>
                <w:sz w:val="16"/>
              </w:rPr>
              <w:t>SecurityContext</w:t>
            </w:r>
          </w:p>
        </w:tc>
        <w:tc>
          <w:tcPr>
            <w:tcW w:type="dxa" w:w="3400"/>
            <w:vAlign w:val="top"/>
          </w:tcPr>
          <w:p>
            <w:r>
              <w:rPr>
                <w:sz w:val="16"/>
              </w:rPr>
              <w:t>Pacman: runAsNonRoot/runAsUser 1000/seccomp/allowPrivilegeEscalation false/readOnlyRootFilesystem/capabilities drop ALL gesetzt (Abschnitt 4)</w:t>
            </w:r>
          </w:p>
        </w:tc>
        <w:tc>
          <w:tcPr>
            <w:tcW w:type="dxa" w:w="3400"/>
            <w:vAlign w:val="top"/>
          </w:tcPr>
          <w:p>
            <w:r>
              <w:rPr>
                <w:sz w:val="16"/>
              </w:rPr>
              <w:t>Pacman technisch nachgewiesen; MongoDB-StatefulSet ohne SecurityContext bleibt offener Punkt.</w:t>
            </w:r>
          </w:p>
        </w:tc>
      </w:tr>
      <w:tr>
        <w:tc>
          <w:tcPr>
            <w:tcW w:type="dxa" w:w="3400"/>
            <w:vAlign w:val="top"/>
          </w:tcPr>
          <w:p>
            <w:r>
              <w:rPr>
                <w:sz w:val="16"/>
              </w:rPr>
              <w:t>Requests/Limits</w:t>
            </w:r>
          </w:p>
        </w:tc>
        <w:tc>
          <w:tcPr>
            <w:tcW w:type="dxa" w:w="3400"/>
            <w:vAlign w:val="top"/>
          </w:tcPr>
          <w:p>
            <w:r>
              <w:rPr>
                <w:sz w:val="16"/>
              </w:rPr>
              <w:t>AP28 D14 64Mi-Fehler; Fix auf 128Mi/256Mi dokumentiert</w:t>
            </w:r>
          </w:p>
        </w:tc>
        <w:tc>
          <w:tcPr>
            <w:tcW w:type="dxa" w:w="3400"/>
            <w:vAlign w:val="top"/>
          </w:tcPr>
          <w:p>
            <w:r>
              <w:rPr>
                <w:sz w:val="16"/>
              </w:rPr>
              <w:t>Finale CPU-/Memory-Werte beider Umgebungen aus Manifest/Plan nachweisen.</w:t>
            </w:r>
          </w:p>
        </w:tc>
      </w:tr>
      <w:tr>
        <w:tc>
          <w:tcPr>
            <w:tcW w:type="dxa" w:w="3400"/>
            <w:vAlign w:val="top"/>
          </w:tcPr>
          <w:p>
            <w:r>
              <w:rPr>
                <w:sz w:val="16"/>
              </w:rPr>
              <w:t>HPA</w:t>
            </w:r>
          </w:p>
        </w:tc>
        <w:tc>
          <w:tcPr>
            <w:tcW w:type="dxa" w:w="3400"/>
            <w:vAlign w:val="top"/>
          </w:tcPr>
          <w:p>
            <w:r>
              <w:rPr>
                <w:sz w:val="16"/>
              </w:rPr>
              <w:t>Dev 1–3, CPU 60 %, Ist 5 %, Replica 1 nachgewiesen</w:t>
            </w:r>
          </w:p>
        </w:tc>
        <w:tc>
          <w:tcPr>
            <w:tcW w:type="dxa" w:w="3400"/>
            <w:vAlign w:val="top"/>
          </w:tcPr>
          <w:p>
            <w:r>
              <w:rPr>
                <w:sz w:val="16"/>
              </w:rPr>
              <w:t>Technisch nachgewiesener Dev-Stand.</w:t>
            </w:r>
          </w:p>
        </w:tc>
      </w:tr>
      <w:tr>
        <w:tc>
          <w:tcPr>
            <w:tcW w:type="dxa" w:w="3400"/>
            <w:vAlign w:val="top"/>
          </w:tcPr>
          <w:p>
            <w:r>
              <w:rPr>
                <w:sz w:val="16"/>
              </w:rPr>
              <w:t>PDB</w:t>
            </w:r>
          </w:p>
        </w:tc>
        <w:tc>
          <w:tcPr>
            <w:tcW w:type="dxa" w:w="3400"/>
            <w:vAlign w:val="top"/>
          </w:tcPr>
          <w:p>
            <w:r>
              <w:rPr>
                <w:sz w:val="16"/>
              </w:rPr>
              <w:t>Prod minAvailable: 2 (overlays/prod/pdb.yaml); Dev ohne PDB (Abschnitt 7)</w:t>
            </w:r>
          </w:p>
        </w:tc>
        <w:tc>
          <w:tcPr>
            <w:tcW w:type="dxa" w:w="3400"/>
            <w:vAlign w:val="top"/>
          </w:tcPr>
          <w:p>
            <w:r>
              <w:rPr>
                <w:sz w:val="16"/>
              </w:rPr>
              <w:t>Technisch nachgewiesen.</w:t>
            </w:r>
          </w:p>
        </w:tc>
      </w:tr>
      <w:tr>
        <w:tc>
          <w:tcPr>
            <w:tcW w:type="dxa" w:w="3400"/>
            <w:vAlign w:val="top"/>
          </w:tcPr>
          <w:p>
            <w:r>
              <w:rPr>
                <w:sz w:val="16"/>
              </w:rPr>
              <w:t>NetworkPolicy</w:t>
            </w:r>
          </w:p>
        </w:tc>
        <w:tc>
          <w:tcPr>
            <w:tcW w:type="dxa" w:w="3400"/>
            <w:vAlign w:val="top"/>
          </w:tcPr>
          <w:p>
            <w:r>
              <w:rPr>
                <w:sz w:val="16"/>
              </w:rPr>
              <w:t>Fünf Policies aus base/networkpolicy.yaml identifiziert; Allow-Regeln in Dev mangels environment=prod-Label wirkungslos; keine NetworkPolicy-Durchsetzung unter Docker Desktop (Abschnitt 8)</w:t>
            </w:r>
          </w:p>
        </w:tc>
        <w:tc>
          <w:tcPr>
            <w:tcW w:type="dxa" w:w="3400"/>
            <w:vAlign w:val="top"/>
          </w:tcPr>
          <w:p>
            <w:r>
              <w:rPr>
                <w:sz w:val="16"/>
              </w:rPr>
              <w:t>Technisch nachgewiesen; praktische Durchsetzung als Plattform-Einschränkung dokumentiert.</w:t>
            </w:r>
          </w:p>
        </w:tc>
      </w:tr>
      <w:tr>
        <w:tc>
          <w:tcPr>
            <w:tcW w:type="dxa" w:w="3400"/>
            <w:vAlign w:val="top"/>
          </w:tcPr>
          <w:p>
            <w:r>
              <w:rPr>
                <w:sz w:val="16"/>
              </w:rPr>
              <w:t>LimitRange</w:t>
            </w:r>
          </w:p>
        </w:tc>
        <w:tc>
          <w:tcPr>
            <w:tcW w:type="dxa" w:w="3400"/>
            <w:vAlign w:val="top"/>
          </w:tcPr>
          <w:p>
            <w:r>
              <w:rPr>
                <w:sz w:val="16"/>
              </w:rPr>
              <w:t>Dev min 50m/64Mi, max 1 CPU/512Mi (base/limitrange.yaml); Prod min 100m/128Mi, max 2 CPU/1Gi (overlays/prod-Patch)</w:t>
            </w:r>
          </w:p>
        </w:tc>
        <w:tc>
          <w:tcPr>
            <w:tcW w:type="dxa" w:w="3400"/>
            <w:vAlign w:val="top"/>
          </w:tcPr>
          <w:p>
            <w:r>
              <w:rPr>
                <w:sz w:val="16"/>
              </w:rPr>
              <w:t>Technisch nachgewiesen (Abschnitt 9).</w:t>
            </w:r>
          </w:p>
        </w:tc>
      </w:tr>
      <w:tr>
        <w:tc>
          <w:tcPr>
            <w:tcW w:type="dxa" w:w="3400"/>
            <w:vAlign w:val="top"/>
          </w:tcPr>
          <w:p>
            <w:r>
              <w:rPr>
                <w:sz w:val="16"/>
              </w:rPr>
              <w:t>ResourceQuota</w:t>
            </w:r>
          </w:p>
        </w:tc>
        <w:tc>
          <w:tcPr>
            <w:tcW w:type="dxa" w:w="3400"/>
            <w:vAlign w:val="top"/>
          </w:tcPr>
          <w:p>
            <w:r>
              <w:rPr>
                <w:sz w:val="16"/>
              </w:rPr>
              <w:t>Dev limits.cpu 2/limits.memory 1536Mi/pods 6; Prod limits.cpu 6/limits.memory 3Gi/pods 12 (base + overlays/prod-Patch)</w:t>
            </w:r>
          </w:p>
        </w:tc>
        <w:tc>
          <w:tcPr>
            <w:tcW w:type="dxa" w:w="3400"/>
            <w:vAlign w:val="top"/>
          </w:tcPr>
          <w:p>
            <w:r>
              <w:rPr>
                <w:sz w:val="16"/>
              </w:rPr>
              <w:t>Technisch nachgewiesen (Abschnitt 9).</w:t>
            </w:r>
          </w:p>
        </w:tc>
      </w:tr>
      <w:tr>
        <w:tc>
          <w:tcPr>
            <w:tcW w:type="dxa" w:w="3400"/>
            <w:vAlign w:val="top"/>
          </w:tcPr>
          <w:p>
            <w:r>
              <w:rPr>
                <w:sz w:val="16"/>
              </w:rPr>
              <w:t>Secrets</w:t>
            </w:r>
          </w:p>
        </w:tc>
        <w:tc>
          <w:tcPr>
            <w:tcW w:type="dxa" w:w="3400"/>
            <w:vAlign w:val="top"/>
          </w:tcPr>
          <w:p>
            <w:r>
              <w:rPr>
                <w:sz w:val="16"/>
              </w:rPr>
              <w:t>Vier Key-Namen ohne Werte; App-Referenzen und HTTP-200-Nachtest</w:t>
            </w:r>
          </w:p>
        </w:tc>
        <w:tc>
          <w:tcPr>
            <w:tcW w:type="dxa" w:w="3400"/>
            <w:vAlign w:val="top"/>
          </w:tcPr>
          <w:p>
            <w:r>
              <w:rPr>
                <w:sz w:val="16"/>
              </w:rPr>
              <w:t>Technisch nachgewiesen, secret-sicher dokumentiert.</w:t>
            </w:r>
          </w:p>
        </w:tc>
      </w:tr>
      <w:tr>
        <w:tc>
          <w:tcPr>
            <w:tcW w:type="dxa" w:w="3400"/>
            <w:vAlign w:val="top"/>
          </w:tcPr>
          <w:p>
            <w:r>
              <w:rPr>
                <w:sz w:val="16"/>
              </w:rPr>
              <w:t>Argo CD</w:t>
            </w:r>
          </w:p>
        </w:tc>
        <w:tc>
          <w:tcPr>
            <w:tcW w:type="dxa" w:w="3400"/>
            <w:vAlign w:val="top"/>
          </w:tcPr>
          <w:p>
            <w:r>
              <w:rPr>
                <w:sz w:val="16"/>
              </w:rPr>
              <w:t>pacman-dev Synced / Healthy</w:t>
            </w:r>
          </w:p>
        </w:tc>
        <w:tc>
          <w:tcPr>
            <w:tcW w:type="dxa" w:w="3400"/>
            <w:vAlign w:val="top"/>
          </w:tcPr>
          <w:p>
            <w:r>
              <w:rPr>
                <w:sz w:val="16"/>
              </w:rPr>
              <w:t>Technisch nachgewiesener Dev-Endzustand.</w:t>
            </w:r>
          </w:p>
        </w:tc>
      </w:tr>
    </w:tbl>
    <w:p/>
    <w:p>
      <w:pPr>
        <w:pStyle w:val="Heading1"/>
      </w:pPr>
      <w:r>
        <w:t>15. Geeignete IHK-Nachweise</w:t>
      </w:r>
    </w:p>
    <w:p>
      <w:pPr>
        <w:pStyle w:val="ListBullet"/>
      </w:pPr>
      <w:r>
        <w:t>Final gerenderte Kustomize-Manifeste für Dev und Prod</w:t>
      </w:r>
    </w:p>
    <w:p>
      <w:pPr>
        <w:pStyle w:val="ListBullet"/>
      </w:pPr>
      <w:r>
        <w:t>kubectl get pods/deployment/statefulset/service/hpa/pdb -n pacman-dev bzw. pacman-prod</w:t>
      </w:r>
    </w:p>
    <w:p>
      <w:pPr>
        <w:pStyle w:val="ListBullet"/>
      </w:pPr>
      <w:r>
        <w:t>kubectl get resourcequota,limitrange,networkpolicy -n &lt;namespace&gt;</w:t>
      </w:r>
    </w:p>
    <w:p>
      <w:pPr>
        <w:pStyle w:val="ListBullet"/>
      </w:pPr>
      <w:r>
        <w:t>Probe-Pfade und SecurityContext aus kubectl get ... -o yaml/jsonpath</w:t>
      </w:r>
    </w:p>
    <w:p>
      <w:pPr>
        <w:pStyle w:val="ListBullet"/>
      </w:pPr>
      <w:r>
        <w:t>Argo-CD-Status Synced/Healthy</w:t>
      </w:r>
    </w:p>
    <w:p>
      <w:pPr>
        <w:pStyle w:val="ListBullet"/>
      </w:pPr>
      <w:r>
        <w:t>Git-Commits der kontrollierten AP28-Fehler- und Fix-Fälle</w:t>
      </w:r>
    </w:p>
    <w:p>
      <w:pPr>
        <w:pStyle w:val="ListBullet"/>
      </w:pPr>
      <w:r>
        <w:t>Pod-Events bei ImagePull-, Probe-, Quota- oder Volume-Fehlern</w:t>
      </w:r>
    </w:p>
    <w:p>
      <w:pPr>
        <w:pStyle w:val="ListBullet"/>
      </w:pPr>
      <w:r>
        <w:t>HTTP-200-Nachtests über temporäre curl-Pods</w:t>
      </w:r>
    </w:p>
    <w:p>
      <w:pPr>
        <w:pStyle w:val="ListBullet"/>
      </w:pPr>
      <w:r>
        <w:t>Secret-Referenzen und ausschließlich Key-Namen – niemals Secret-Werte</w:t>
      </w:r>
    </w:p>
    <w:p>
      <w:pPr>
        <w:pStyle w:val="ListBullet"/>
      </w:pPr>
      <w:r>
        <w:t>Fehlerprotokoll.csv und zugehörige Test-/Nachweisdateien</w:t>
      </w:r>
    </w:p>
    <w:p>
      <w:pPr>
        <w:pStyle w:val="Heading1"/>
      </w:pPr>
      <w:r>
        <w:t>16. Ergebnis</w:t>
      </w:r>
    </w:p>
    <w:p>
      <w:r>
        <w:t>Der Kubernetes-Betrieb des Pacman-Projekts wird nicht nur durch funktionierende Deployments, sondern durch mehrere Schutz- und Regelmechanismen abgesichert. Probes überwachen Betriebsbereitschaft und Lebensfähigkeit, Ressourcenregeln begrenzen Verbrauch, HPA ermöglicht kontrollierte Skalierung, NetworkPolicies begrenzen Kommunikationspfade und GitOps hält den gewünschten Zustand nachvollziehbar.</w:t>
      </w:r>
    </w:p>
    <w:p>
      <w:r>
        <w:t>Besonders belastbar sind die im Projekt tatsächlich durchgeführten Fehler-/Fix-Fälle: fehlerhafte Readiness und Liveness, zu niedrige Memory-Werte, HPA-/Argo-CD-Konflikt, ResourceQuota-Test, fehlerhafte NetworkPolicy sowie falsche Secrets wurden gezielt erzeugt und wieder korrigiert. SecurityContext, Startup Probe, PDB, LimitRange und NetworkPolicy sind inzwischen mit konkreten, aus den finalen YAML-Manifesten gelesenen Werten belegt (Abschnitte 4, 3, 7, 9, 8). Zwei reale offene Punkte bleiben bewusst sichtbar dokumentiert statt beschönigt: dem MongoDB-StatefulSet fehlt aktuell ein SecurityContext, und NetworkPolicies werden im lokalen Docker-Desktop-Cluster mangels durchsetzendem CNI nicht aktiv erzwungen.</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Pacman DevOps-Abschlussprojekt - Kubernetes Sicherheit und Betrieb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Kubernetes Sicherheit und Betrieb</dc:title>
  <dc:subject>Pacman DevOps-/GitOps-Abschlussprojekt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