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Projektübersicht</w:t>
      </w:r>
    </w:p>
    <w:p>
      <w:pPr>
        <w:jc w:val="center"/>
      </w:pPr>
      <w:r>
        <w:rPr>
          <w:b/>
          <w:sz w:val="26"/>
        </w:rPr>
        <w:t>DevOps und GitOps in der Softwareentwicklung – Pacman</w:t>
      </w:r>
    </w:p>
    <w:p>
      <w:pPr>
        <w:jc w:val="center"/>
      </w:pPr>
      <w:r>
        <w:rPr>
          <w:i/>
        </w:rPr>
        <w:t>Konsolidierte Übersicht auf Basis des Projekthauptdokuments</w:t>
      </w:r>
    </w:p>
    <w:p>
      <w:pPr>
        <w:pStyle w:val="Heading1"/>
      </w:pPr>
      <w:r>
        <w:t>1. Ausgangssituation</w:t>
      </w:r>
    </w:p>
    <w:p>
      <w:r>
        <w:t>Ausgangspunkt war eine bereits containerisierte Pacman-Webanwendung mit einer bestehenden Docker-Umgebung. Die Anwendung war grundsätzlich lauffähig, der Entwicklungs- und Bereitstellungsprozess war jedoch weitgehend manuell. Automatisierte Build- und Testprozesse, eine zentrale Container Registry sowie eine automatisierte Kubernetes-Bereitstellung waren nicht vorhanden. Dadurch entstanden zusätzlicher manueller Aufwand und ein erhöhtes Fehlerrisiko.</w:t>
      </w:r>
    </w:p>
    <w:p>
      <w:pPr>
        <w:pStyle w:val="Heading1"/>
      </w:pPr>
      <w:r>
        <w:t>2. Projektziel</w:t>
      </w:r>
    </w:p>
    <w:p>
      <w:r>
        <w:t>Ziel des Projekts ist die Modernisierung der bestehenden Pacman-Anwendung durch eine durchgängige DevOps- und GitOps-Lösung. Änderungen werden versioniert, automatisiert geprüft und gebaut, als eindeutig referenzierbare Container-Images in GHCR veröffentlicht und über einen getrennten GitOps-Sollzustand mit Argo CD auf Kubernetes bereitgestellt. Zum Gesamtumfang gehören außerdem Dev-/Prod-Trennung, Persistenz, Probes und Skalierung, Monitoring und Alerting, Backup/Restore, kontrollierte Promotion und Rollback sowie die dokumentierte Qualitätssicherung mit 30 Tests, 15 DevOps-Fällen und acht kontrollierten Fehlerfällen.</w:t>
      </w:r>
    </w:p>
    <w:p>
      <w:pPr>
        <w:pStyle w:val="Heading1"/>
      </w:pPr>
      <w:r>
        <w:t>3. Anwendung und technische Basis</w:t>
      </w:r>
    </w:p>
    <w:tbl>
      <w:tblPr>
        <w:tblStyle w:val="TableGrid"/>
        <w:tblW w:type="auto" w:w="0"/>
        <w:jc w:val="center"/>
        <w:tblLook w:firstColumn="1" w:firstRow="1" w:lastColumn="0" w:lastRow="0" w:noHBand="0" w:noVBand="1" w:val="04A0"/>
      </w:tblPr>
      <w:tblGrid>
        <w:gridCol w:w="4816"/>
        <w:gridCol w:w="4816"/>
      </w:tblGrid>
      <w:tr>
        <w:tc>
          <w:tcPr>
            <w:tcW w:type="dxa" w:w="4816"/>
          </w:tcPr>
          <w:p>
            <w:r>
              <w:t>Bereich</w:t>
            </w:r>
          </w:p>
        </w:tc>
        <w:tc>
          <w:tcPr>
            <w:tcW w:type="dxa" w:w="4816"/>
          </w:tcPr>
          <w:p>
            <w:r>
              <w:t>Projektstand / Aufgabe</w:t>
            </w:r>
          </w:p>
        </w:tc>
      </w:tr>
      <w:tr>
        <w:tc>
          <w:tcPr>
            <w:tcW w:type="dxa" w:w="4816"/>
            <w:vAlign w:val="center"/>
          </w:tcPr>
          <w:p>
            <w:r>
              <w:t>Anwendung</w:t>
            </w:r>
          </w:p>
        </w:tc>
        <w:tc>
          <w:tcPr>
            <w:tcW w:type="dxa" w:w="4816"/>
            <w:vAlign w:val="center"/>
          </w:tcPr>
          <w:p>
            <w:r>
              <w:t>Webbasierte Pacman-Anwendung auf Node.js und Express.js</w:t>
            </w:r>
          </w:p>
        </w:tc>
      </w:tr>
      <w:tr>
        <w:tc>
          <w:tcPr>
            <w:tcW w:type="dxa" w:w="4816"/>
            <w:vAlign w:val="center"/>
          </w:tcPr>
          <w:p>
            <w:r>
              <w:t>Datenhaltung</w:t>
            </w:r>
          </w:p>
        </w:tc>
        <w:tc>
          <w:tcPr>
            <w:tcW w:type="dxa" w:w="4816"/>
            <w:vAlign w:val="center"/>
          </w:tcPr>
          <w:p>
            <w:r>
              <w:t>MongoDB; im Kubernetes-Betrieb als StatefulSet mit persistentem Speicher</w:t>
            </w:r>
          </w:p>
        </w:tc>
      </w:tr>
      <w:tr>
        <w:tc>
          <w:tcPr>
            <w:tcW w:type="dxa" w:w="4816"/>
            <w:vAlign w:val="center"/>
          </w:tcPr>
          <w:p>
            <w:r>
              <w:t>Containerisierung</w:t>
            </w:r>
          </w:p>
        </w:tc>
        <w:tc>
          <w:tcPr>
            <w:tcW w:type="dxa" w:w="4816"/>
            <w:vAlign w:val="center"/>
          </w:tcPr>
          <w:p>
            <w:r>
              <w:t>Docker; Modernisierung der bestehenden Docker-Umgebung</w:t>
            </w:r>
          </w:p>
        </w:tc>
      </w:tr>
      <w:tr>
        <w:tc>
          <w:tcPr>
            <w:tcW w:type="dxa" w:w="4816"/>
            <w:vAlign w:val="center"/>
          </w:tcPr>
          <w:p>
            <w:r>
              <w:t>Versionsverwaltung</w:t>
            </w:r>
          </w:p>
        </w:tc>
        <w:tc>
          <w:tcPr>
            <w:tcW w:type="dxa" w:w="4816"/>
            <w:vAlign w:val="center"/>
          </w:tcPr>
          <w:p>
            <w:r>
              <w:t>Git und GitHub</w:t>
            </w:r>
          </w:p>
        </w:tc>
      </w:tr>
      <w:tr>
        <w:tc>
          <w:tcPr>
            <w:tcW w:type="dxa" w:w="4816"/>
            <w:vAlign w:val="center"/>
          </w:tcPr>
          <w:p>
            <w:r>
              <w:t>CI</w:t>
            </w:r>
          </w:p>
        </w:tc>
        <w:tc>
          <w:tcPr>
            <w:tcW w:type="dxa" w:w="4816"/>
            <w:vAlign w:val="center"/>
          </w:tcPr>
          <w:p>
            <w:r>
              <w:t>GitHub Actions für automatisierte Builds und Tests</w:t>
            </w:r>
          </w:p>
        </w:tc>
      </w:tr>
      <w:tr>
        <w:tc>
          <w:tcPr>
            <w:tcW w:type="dxa" w:w="4816"/>
            <w:vAlign w:val="center"/>
          </w:tcPr>
          <w:p>
            <w:r>
              <w:t>Container Registry</w:t>
            </w:r>
          </w:p>
        </w:tc>
        <w:tc>
          <w:tcPr>
            <w:tcW w:type="dxa" w:w="4816"/>
            <w:vAlign w:val="center"/>
          </w:tcPr>
          <w:p>
            <w:r>
              <w:t>GitHub Container Registry (GHCR)</w:t>
            </w:r>
          </w:p>
        </w:tc>
      </w:tr>
      <w:tr>
        <w:tc>
          <w:tcPr>
            <w:tcW w:type="dxa" w:w="4816"/>
            <w:vAlign w:val="center"/>
          </w:tcPr>
          <w:p>
            <w:r>
              <w:t>Orchestrierung</w:t>
            </w:r>
          </w:p>
        </w:tc>
        <w:tc>
          <w:tcPr>
            <w:tcW w:type="dxa" w:w="4816"/>
            <w:vAlign w:val="center"/>
          </w:tcPr>
          <w:p>
            <w:r>
              <w:t>Kubernetes</w:t>
            </w:r>
          </w:p>
        </w:tc>
      </w:tr>
      <w:tr>
        <w:tc>
          <w:tcPr>
            <w:tcW w:type="dxa" w:w="4816"/>
            <w:vAlign w:val="center"/>
          </w:tcPr>
          <w:p>
            <w:r>
              <w:t>Konfigurationsmanagement</w:t>
            </w:r>
          </w:p>
        </w:tc>
        <w:tc>
          <w:tcPr>
            <w:tcW w:type="dxa" w:w="4816"/>
            <w:vAlign w:val="center"/>
          </w:tcPr>
          <w:p>
            <w:r>
              <w:t>Kustomize mit getrennten Umgebungen</w:t>
            </w:r>
          </w:p>
        </w:tc>
      </w:tr>
      <w:tr>
        <w:tc>
          <w:tcPr>
            <w:tcW w:type="dxa" w:w="4816"/>
            <w:vAlign w:val="center"/>
          </w:tcPr>
          <w:p>
            <w:r>
              <w:t>GitOps</w:t>
            </w:r>
          </w:p>
        </w:tc>
        <w:tc>
          <w:tcPr>
            <w:tcW w:type="dxa" w:w="4816"/>
            <w:vAlign w:val="center"/>
          </w:tcPr>
          <w:p>
            <w:r>
              <w:t>Argo CD mit separatem GitOps-Repository</w:t>
            </w:r>
          </w:p>
        </w:tc>
      </w:tr>
      <w:tr>
        <w:tc>
          <w:tcPr>
            <w:tcW w:type="dxa" w:w="4816"/>
            <w:vAlign w:val="center"/>
          </w:tcPr>
          <w:p>
            <w:r>
              <w:t>Monitoring</w:t>
            </w:r>
          </w:p>
        </w:tc>
        <w:tc>
          <w:tcPr>
            <w:tcW w:type="dxa" w:w="4816"/>
            <w:vAlign w:val="center"/>
          </w:tcPr>
          <w:p>
            <w:r>
              <w:t>Prometheus und Grafana</w:t>
            </w:r>
          </w:p>
        </w:tc>
      </w:tr>
      <w:tr>
        <w:tc>
          <w:tcPr>
            <w:tcW w:type="dxa" w:w="4816"/>
            <w:vAlign w:val="top"/>
          </w:tcPr>
          <w:p>
            <w:r>
              <w:t>Arbeitsumgebung</w:t>
            </w:r>
          </w:p>
        </w:tc>
        <w:tc>
          <w:tcPr>
            <w:tcW w:type="dxa" w:w="4816"/>
            <w:vAlign w:val="top"/>
          </w:tcPr>
          <w:p>
            <w:r>
              <w:t>Windows 11 mit WSL 2; Docker Desktop als Container-Plattform und lokaler Kubernetes-Cluster</w:t>
            </w:r>
          </w:p>
        </w:tc>
      </w:tr>
      <w:tr>
        <w:tc>
          <w:tcPr>
            <w:tcW w:type="dxa" w:w="4816"/>
            <w:vAlign w:val="top"/>
          </w:tcPr>
          <w:p>
            <w:r>
              <w:t>Kubernetes-Umgebungen</w:t>
            </w:r>
          </w:p>
        </w:tc>
        <w:tc>
          <w:tcPr>
            <w:tcW w:type="dxa" w:w="4816"/>
            <w:vAlign w:val="top"/>
          </w:tcPr>
          <w:p>
            <w:r>
              <w:t>pacman-dev und pacman-prod als getrennte Namespaces mit Kustomize-Overlays</w:t>
            </w:r>
          </w:p>
        </w:tc>
      </w:tr>
      <w:tr>
        <w:tc>
          <w:tcPr>
            <w:tcW w:type="dxa" w:w="4816"/>
            <w:vAlign w:val="top"/>
          </w:tcPr>
          <w:p>
            <w:r>
              <w:t>Container-Basis</w:t>
            </w:r>
          </w:p>
        </w:tc>
        <w:tc>
          <w:tcPr>
            <w:tcW w:type="dxa" w:w="4816"/>
            <w:vAlign w:val="top"/>
          </w:tcPr>
          <w:p>
            <w:r>
              <w:t>Pacman: node:16.19.0-bullseye-slim; MongoDB: mongo:4.4.30-focal</w:t>
            </w:r>
          </w:p>
        </w:tc>
      </w:tr>
      <w:tr>
        <w:tc>
          <w:tcPr>
            <w:tcW w:type="dxa" w:w="4816"/>
            <w:vAlign w:val="top"/>
          </w:tcPr>
          <w:p>
            <w:r>
              <w:t>Zuverlässigkeit</w:t>
            </w:r>
          </w:p>
        </w:tc>
        <w:tc>
          <w:tcPr>
            <w:tcW w:type="dxa" w:w="4816"/>
            <w:vAlign w:val="top"/>
          </w:tcPr>
          <w:p>
            <w:r>
              <w:t>Startup-, Readiness- und Liveness-Probes, RollingUpdate, HPA, PDB, LimitRange und ResourceQuota</w:t>
            </w:r>
          </w:p>
        </w:tc>
      </w:tr>
      <w:tr>
        <w:tc>
          <w:tcPr>
            <w:tcW w:type="dxa" w:w="4816"/>
            <w:vAlign w:val="top"/>
          </w:tcPr>
          <w:p>
            <w:r>
              <w:t>Betrieb</w:t>
            </w:r>
          </w:p>
        </w:tc>
        <w:tc>
          <w:tcPr>
            <w:tcW w:type="dxa" w:w="4816"/>
            <w:vAlign w:val="top"/>
          </w:tcPr>
          <w:p>
            <w:r>
              <w:t>Monitoring/Alerting, MongoDB-Backup/Restore, Diagnose, Promotion und Rollback</w:t>
            </w:r>
          </w:p>
        </w:tc>
      </w:tr>
    </w:tbl>
    <w:p>
      <w:pPr>
        <w:pStyle w:val="Heading1"/>
      </w:pPr>
      <w:r>
        <w:t>4. Zielarchitektur und Datenfluss</w:t>
      </w:r>
    </w:p>
    <w:p>
      <w:r>
        <w:t>Der Anwendungscode wird im Repository „pacman-app“ verwaltet. Änderungen am Quellcode lösen die GitHub-Actions-Pipeline aus. Nach Checkout, Installation der Abhängigkeiten und den vorgesehenen Prüfungen wird ein Docker-Image erstellt und in GHCR veröffentlicht. Die Kubernetes-Konfiguration wird getrennt davon im Repository „pacman-gitops“ verwaltet. Argo CD überwacht dieses Repository und synchronisiert den dort definierten Soll-Zustand mit dem Kubernetes-Cluster. Kubernetes stellt die Anwendung über Deployment, Service und Ingress bereit. MongoDB wird als StatefulSet mit PVC betrieben. Prometheus und Grafana bilden die Monitoring-Schicht.</w:t>
      </w:r>
    </w:p>
    <w:p>
      <w:pPr>
        <w:jc w:val="center"/>
      </w:pPr>
      <w:r>
        <w:rPr>
          <w:b/>
        </w:rPr>
        <w:t>GitHub → GitHub Actions → GHCR → GitOps-Repository → Argo CD → Kubernetes → Pacman</w:t>
      </w:r>
    </w:p>
    <w:p>
      <w:pPr>
        <w:pStyle w:val="Heading1"/>
      </w:pPr>
      <w:r>
        <w:t>5. Wesentliche Modernisierungsmaßnahmen</w:t>
      </w:r>
    </w:p>
    <w:p>
      <w:pPr>
        <w:pStyle w:val="ListBullet"/>
      </w:pPr>
      <w:r>
        <w:t>Versionsverwaltung und nachvollziehbare Änderungen mit Git und GitHub.</w:t>
      </w:r>
    </w:p>
    <w:p>
      <w:pPr>
        <w:pStyle w:val="ListBullet"/>
      </w:pPr>
      <w:r>
        <w:t>Modernisierung der Containerisierung mit der verbindlichen Basis node:16.19.0-bullseye-slim, reproduzierbarer Installation über npm ci, .dockerignore, nicht privilegiertem Benutzer und Healthcheck.</w:t>
      </w:r>
    </w:p>
    <w:p>
      <w:pPr>
        <w:pStyle w:val="ListBullet"/>
      </w:pPr>
      <w:r>
        <w:t>Automatisierung von Build und Tests über GitHub Actions.</w:t>
      </w:r>
    </w:p>
    <w:p>
      <w:pPr>
        <w:pStyle w:val="ListBullet"/>
      </w:pPr>
      <w:r>
        <w:t>Zentrale, versionierte Bereitstellung der Container-Images über GHCR.</w:t>
      </w:r>
    </w:p>
    <w:p>
      <w:pPr>
        <w:pStyle w:val="ListBullet"/>
      </w:pPr>
      <w:r>
        <w:t>Deklarative Kubernetes-Bereitstellung und Trennung der Umgebungen.</w:t>
      </w:r>
    </w:p>
    <w:p>
      <w:pPr>
        <w:pStyle w:val="ListBullet"/>
      </w:pPr>
      <w:r>
        <w:t>GitOps-basierte Synchronisierung über Argo CD.</w:t>
      </w:r>
    </w:p>
    <w:p>
      <w:pPr>
        <w:pStyle w:val="ListBullet"/>
      </w:pPr>
      <w:r>
        <w:t>Persistente MongoDB-Datenhaltung über StatefulSet und PVC.</w:t>
      </w:r>
    </w:p>
    <w:p>
      <w:pPr>
        <w:pStyle w:val="ListBullet"/>
      </w:pPr>
      <w:r>
        <w:t>Trennung sensibler Zugangsdaten von der versionierten GitOps-Konfiguration.</w:t>
      </w:r>
    </w:p>
    <w:p>
      <w:pPr>
        <w:pStyle w:val="ListBullet"/>
      </w:pPr>
      <w:r>
        <w:t>Überwachung über Prometheus und Grafana.</w:t>
      </w:r>
    </w:p>
    <w:p>
      <w:pPr>
        <w:pStyle w:val="ListBullet"/>
      </w:pPr>
      <w:r>
        <w:t>Kontrollierte Dev-zu-Prod-Promotion und Git-basierter Rollback mit Argo CD.</w:t>
      </w:r>
    </w:p>
    <w:p>
      <w:pPr>
        <w:pStyle w:val="ListBullet"/>
      </w:pPr>
      <w:r>
        <w:t>MongoDB-Backup und Restore als Bestandteil des Betriebs- und Wiederherstellungskonzepts.</w:t>
      </w:r>
    </w:p>
    <w:p>
      <w:pPr>
        <w:pStyle w:val="ListBullet"/>
      </w:pPr>
      <w:r>
        <w:t>Qualitätssicherung über 30 Tests, 15 DevOps-Fälle und acht Fehleranalysen mit Nachtests.</w:t>
      </w:r>
    </w:p>
    <w:p>
      <w:pPr>
        <w:pStyle w:val="Heading1"/>
      </w:pPr>
      <w:r>
        <w:t>6. Qualitätssicherung und Sicherheit</w:t>
      </w:r>
    </w:p>
    <w:p>
      <w:r>
        <w:t>Die Qualitätssicherung wurde über Funktions-, Docker-, CI-, Kubernetes-, GitOps- und Betriebstests strukturiert. Das konsolidierte Testprotokoll umfasst T01 bis T30; zusätzlich wurden 15 realistische DevOps-Fälle sowie die acht Pflichtfehler F01 bis F08 mit Hypothese, Ursache, Maßnahme und Nachtest dokumentiert. Zum technischen Nachweis gehören außerdem Smoke-Tests, Persistenzprüfungen, Drift/Self-Heal, Promotion/Rollback und die Produktionsabnahme. Der bereits dokumentierte HTTP-Lasttest verwendete 1.000 Requests bei einer Parallelität von 20 und wies 0 fehlgeschlagene Requests sowie 529,82 Requests pro Sekunde aus.</w:t>
      </w:r>
    </w:p>
    <w:p>
      <w:r>
        <w:t>Sicherheitsrelevant sind insbesondere der Betrieb des Anwendungscontainers ohne Root-Rechte, die Behandlung von Secrets außerhalb des GitOps-Repositories sowie die nachvollziehbare Versionierung von Konfigurationsänderungen. Für extern verwaltete Secrets wird im Hauptdokument bewusst ein GitOps-Grenzfall beschrieben: Ein vollständiger Neuaufbau benötigt einen separaten sicheren Prozess zur Bereitstellung dieser Secrets.</w:t>
      </w:r>
    </w:p>
    <w:p>
      <w:pPr>
        <w:pStyle w:val="Heading1"/>
      </w:pPr>
      <w:r>
        <w:t>7. Projektgrenzen</w:t>
      </w:r>
    </w:p>
    <w:p>
      <w:r>
        <w:t>Der Schwerpunkt liegt auf der technischen Modernisierung und Bereitstellung der vorhandenen Anwendung. Nicht Bestandteil sind die Weiterentwicklung der Pacman-Spiellogik, neue fachliche Anwendungsfunktionen, eine Cloud-Migration auf AWS, Azure oder GCP, ein hochverfügbarer Multi-Node-Kubernetes-Cluster sowie eine neue Benutzerverwaltung oder Authentifizierung.</w:t>
      </w:r>
    </w:p>
    <w:p>
      <w:pPr>
        <w:pStyle w:val="Heading1"/>
      </w:pPr>
      <w:r>
        <w:t>8. Abnahmekriterien</w:t>
      </w:r>
    </w:p>
    <w:tbl>
      <w:tblPr>
        <w:tblStyle w:val="TableGrid"/>
        <w:tblW w:type="auto" w:w="0"/>
        <w:jc w:val="center"/>
        <w:tblLook w:firstColumn="1" w:firstRow="1" w:lastColumn="0" w:lastRow="0" w:noHBand="0" w:noVBand="1" w:val="04A0"/>
      </w:tblPr>
      <w:tblGrid>
        <w:gridCol w:w="4816"/>
        <w:gridCol w:w="4816"/>
      </w:tblGrid>
      <w:tr>
        <w:tc>
          <w:tcPr>
            <w:tcW w:type="dxa" w:w="4816"/>
          </w:tcPr>
          <w:p>
            <w:r>
              <w:t>Nr.</w:t>
            </w:r>
          </w:p>
        </w:tc>
        <w:tc>
          <w:tcPr>
            <w:tcW w:type="dxa" w:w="4816"/>
          </w:tcPr>
          <w:p>
            <w:r>
              <w:t>Abnahmekriterium</w:t>
            </w:r>
          </w:p>
        </w:tc>
      </w:tr>
      <w:tr>
        <w:tc>
          <w:tcPr>
            <w:tcW w:type="dxa" w:w="4816"/>
          </w:tcPr>
          <w:p>
            <w:r>
              <w:t>AK-01</w:t>
            </w:r>
          </w:p>
        </w:tc>
        <w:tc>
          <w:tcPr>
            <w:tcW w:type="dxa" w:w="4816"/>
          </w:tcPr>
          <w:p>
            <w:r>
              <w:t>Anwendung lässt sich als Docker-Container erstellen und starten.</w:t>
            </w:r>
          </w:p>
        </w:tc>
      </w:tr>
      <w:tr>
        <w:tc>
          <w:tcPr>
            <w:tcW w:type="dxa" w:w="4816"/>
          </w:tcPr>
          <w:p>
            <w:r>
              <w:t>AK-02</w:t>
            </w:r>
          </w:p>
        </w:tc>
        <w:tc>
          <w:tcPr>
            <w:tcW w:type="dxa" w:w="4816"/>
          </w:tcPr>
          <w:p>
            <w:r>
              <w:t>GitHub-Actions-Pipeline wird erfolgreich ausgeführt.</w:t>
            </w:r>
          </w:p>
        </w:tc>
      </w:tr>
      <w:tr>
        <w:tc>
          <w:tcPr>
            <w:tcW w:type="dxa" w:w="4816"/>
          </w:tcPr>
          <w:p>
            <w:r>
              <w:t>AK-03</w:t>
            </w:r>
          </w:p>
        </w:tc>
        <w:tc>
          <w:tcPr>
            <w:tcW w:type="dxa" w:w="4816"/>
          </w:tcPr>
          <w:p>
            <w:r>
              <w:t>Docker-Image wird in GHCR veröffentlicht.</w:t>
            </w:r>
          </w:p>
        </w:tc>
      </w:tr>
      <w:tr>
        <w:tc>
          <w:tcPr>
            <w:tcW w:type="dxa" w:w="4816"/>
          </w:tcPr>
          <w:p>
            <w:r>
              <w:t>AK-04</w:t>
            </w:r>
          </w:p>
        </w:tc>
        <w:tc>
          <w:tcPr>
            <w:tcW w:type="dxa" w:w="4816"/>
          </w:tcPr>
          <w:p>
            <w:r>
              <w:t>Anwendung wird im Kubernetes-Cluster bereitgestellt.</w:t>
            </w:r>
          </w:p>
        </w:tc>
      </w:tr>
      <w:tr>
        <w:tc>
          <w:tcPr>
            <w:tcW w:type="dxa" w:w="4816"/>
          </w:tcPr>
          <w:p>
            <w:r>
              <w:t>AK-05</w:t>
            </w:r>
          </w:p>
        </w:tc>
        <w:tc>
          <w:tcPr>
            <w:tcW w:type="dxa" w:w="4816"/>
          </w:tcPr>
          <w:p>
            <w:r>
              <w:t>Argo CD synchronisiert das GitOps-Repository mit dem Cluster.</w:t>
            </w:r>
          </w:p>
        </w:tc>
      </w:tr>
      <w:tr>
        <w:tc>
          <w:tcPr>
            <w:tcW w:type="dxa" w:w="4816"/>
          </w:tcPr>
          <w:p>
            <w:r>
              <w:t>AK-06</w:t>
            </w:r>
          </w:p>
        </w:tc>
        <w:tc>
          <w:tcPr>
            <w:tcW w:type="dxa" w:w="4816"/>
          </w:tcPr>
          <w:p>
            <w:r>
              <w:t>MongoDB speichert Daten dauerhaft über einen PVC.</w:t>
            </w:r>
          </w:p>
        </w:tc>
      </w:tr>
      <w:tr>
        <w:tc>
          <w:tcPr>
            <w:tcW w:type="dxa" w:w="4816"/>
          </w:tcPr>
          <w:p>
            <w:r>
              <w:t>AK-07</w:t>
            </w:r>
          </w:p>
        </w:tc>
        <w:tc>
          <w:tcPr>
            <w:tcW w:type="dxa" w:w="4816"/>
          </w:tcPr>
          <w:p>
            <w:r>
              <w:t>Prometheus sammelt Metriken der Anwendung und des Clusters.</w:t>
            </w:r>
          </w:p>
        </w:tc>
      </w:tr>
      <w:tr>
        <w:tc>
          <w:tcPr>
            <w:tcW w:type="dxa" w:w="4816"/>
          </w:tcPr>
          <w:p>
            <w:r>
              <w:t>AK-08</w:t>
            </w:r>
          </w:p>
        </w:tc>
        <w:tc>
          <w:tcPr>
            <w:tcW w:type="dxa" w:w="4816"/>
          </w:tcPr>
          <w:p>
            <w:r>
              <w:t>Grafana visualisiert die Metriken in Dashboards.</w:t>
            </w:r>
          </w:p>
        </w:tc>
      </w:tr>
    </w:tbl>
    <w:p>
      <w:pPr>
        <w:pStyle w:val="Heading1"/>
      </w:pPr>
      <w:r>
        <w:t>9. Nachweisführung</w:t>
      </w:r>
    </w:p>
    <w:p>
      <w:r>
        <w:t>Die technische Nachweisführung erfolgt über versionierte Repository-Inhalte und Betriebsnachweise: Git-Commits und Pull Requests, GitHub-Actions-Runs, GHCR-Image-Tags und Digests, Kubernetes-Ressourcen und Pod-Status, Argo-CD-Sync-/Health-Status, Test- und Fehlerprotokolle, Monitoring-, Backup-/Restore- und Rollback-Nachweise. Secret-Werte, Tokens, Kennwörter, private Schlüssel und produktive kubeconfig-Dateien dürfen weder in Screenshots noch in den Abgabeunterlagen offengelegt werden.</w:t>
      </w:r>
    </w:p>
    <w:p>
      <w:pPr>
        <w:pStyle w:val="Heading1"/>
      </w:pPr>
      <w:r>
        <w:t>10. Einordnung dieser Datei</w:t>
      </w:r>
    </w:p>
    <w:p>
      <w:r>
        <w:t>Diese Datei dient als kompakte Orientierung zum Gesamtprojekt. Detailanalysen, konkrete Konfigurationen, Testprotokolle und technische Einzelnachweise werden in den nachfolgenden Dokumentationsdateien und Nachweisordnern geführt. Sie ersetzt daher nicht die technische Detaildokumentation, sondern bildet deren Einstiegspunkt.</w:t>
      </w:r>
    </w:p>
    <w:p>
      <w:pPr>
        <w:pStyle w:val="Heading1"/>
      </w:pPr>
      <w:r>
        <w:t>11. Gesamtprojektstatus und Prüfungsabgleich</w:t>
      </w:r>
    </w:p>
    <w:p>
      <w:r>
        <w:t>Die Projektübersicht wird während des Gesamtprojekts fortgeschrieben. Der folgende Abgleich trennt bereits dokumentierte Projektbestandteile von Nachweisen, die in den jeweiligen Detaildokumenten abschließend verifiziert werden müssen. Dadurch werden keine noch nicht belegten Ergebnisse als erfolgreich dargestellt.</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fill="1F4E78"/>
          </w:tcPr>
          <w:p>
            <w:r>
              <w:rPr>
                <w:b/>
                <w:color w:val="FFFFFF"/>
              </w:rPr>
              <w:t>Prüfbereich</w:t>
            </w:r>
          </w:p>
        </w:tc>
        <w:tc>
          <w:tcPr>
            <w:tcW w:type="dxa" w:w="3211"/>
            <w:shd w:fill="1F4E78"/>
          </w:tcPr>
          <w:p>
            <w:r>
              <w:rPr>
                <w:b/>
                <w:color w:val="FFFFFF"/>
              </w:rPr>
              <w:t>Stand in der Projektdokumentation</w:t>
            </w:r>
          </w:p>
        </w:tc>
        <w:tc>
          <w:tcPr>
            <w:tcW w:type="dxa" w:w="3211"/>
            <w:shd w:fill="1F4E78"/>
          </w:tcPr>
          <w:p>
            <w:r>
              <w:rPr>
                <w:b/>
                <w:color w:val="FFFFFF"/>
              </w:rPr>
              <w:t>Bewertung / weiterer Nachweis</w:t>
            </w:r>
          </w:p>
        </w:tc>
      </w:tr>
      <w:tr>
        <w:tc>
          <w:tcPr>
            <w:tcW w:type="dxa" w:w="3211"/>
            <w:vAlign w:val="top"/>
          </w:tcPr>
          <w:p>
            <w:r>
              <w:t>Git, Docker, CI/CD, GHCR</w:t>
            </w:r>
          </w:p>
        </w:tc>
        <w:tc>
          <w:tcPr>
            <w:tcW w:type="dxa" w:w="3211"/>
            <w:vAlign w:val="top"/>
          </w:tcPr>
          <w:p>
            <w:r>
              <w:t>Umsetzung und technische Nachweise im Projekt vorhanden</w:t>
            </w:r>
          </w:p>
        </w:tc>
        <w:tc>
          <w:tcPr>
            <w:tcW w:type="dxa" w:w="3211"/>
            <w:vAlign w:val="top"/>
          </w:tcPr>
          <w:p>
            <w:r>
              <w:t>Detailprüfung in 02–04</w:t>
            </w:r>
          </w:p>
        </w:tc>
      </w:tr>
      <w:tr>
        <w:tc>
          <w:tcPr>
            <w:tcW w:type="dxa" w:w="3211"/>
            <w:vAlign w:val="top"/>
          </w:tcPr>
          <w:p>
            <w:r>
              <w:t>Kubernetes / GitOps</w:t>
            </w:r>
          </w:p>
        </w:tc>
        <w:tc>
          <w:tcPr>
            <w:tcW w:type="dxa" w:w="3211"/>
            <w:vAlign w:val="top"/>
          </w:tcPr>
          <w:p>
            <w:r>
              <w:t>Dev/Prod, Workloads, Persistenz, Argo CD, Drift, Promotion und Rollback dokumentiert</w:t>
            </w:r>
          </w:p>
        </w:tc>
        <w:tc>
          <w:tcPr>
            <w:tcW w:type="dxa" w:w="3211"/>
            <w:vAlign w:val="top"/>
          </w:tcPr>
          <w:p>
            <w:r>
              <w:t>Detailprüfung in 05–07</w:t>
            </w:r>
          </w:p>
        </w:tc>
      </w:tr>
      <w:tr>
        <w:tc>
          <w:tcPr>
            <w:tcW w:type="dxa" w:w="3211"/>
            <w:vAlign w:val="top"/>
          </w:tcPr>
          <w:p>
            <w:r>
              <w:t>Qualität</w:t>
            </w:r>
          </w:p>
        </w:tc>
        <w:tc>
          <w:tcPr>
            <w:tcW w:type="dxa" w:w="3211"/>
            <w:vAlign w:val="top"/>
          </w:tcPr>
          <w:p>
            <w:r>
              <w:t>30 Tests, 15 DevOps-Fälle und 8 Fehlerfälle konsolidiert</w:t>
            </w:r>
          </w:p>
        </w:tc>
        <w:tc>
          <w:tcPr>
            <w:tcW w:type="dxa" w:w="3211"/>
            <w:vAlign w:val="top"/>
          </w:tcPr>
          <w:p>
            <w:r>
              <w:t>Detailprüfung in 09 sowie den CSV-Protokollen</w:t>
            </w:r>
          </w:p>
        </w:tc>
      </w:tr>
      <w:tr>
        <w:tc>
          <w:tcPr>
            <w:tcW w:type="dxa" w:w="3211"/>
            <w:vAlign w:val="top"/>
          </w:tcPr>
          <w:p>
            <w:r>
              <w:t>Monitoring / Backup / Restore</w:t>
            </w:r>
          </w:p>
        </w:tc>
        <w:tc>
          <w:tcPr>
            <w:tcW w:type="dxa" w:w="3211"/>
            <w:vAlign w:val="top"/>
          </w:tcPr>
          <w:p>
            <w:r>
              <w:t>Teil des verpflichtenden Gesamtumfangs</w:t>
            </w:r>
          </w:p>
        </w:tc>
        <w:tc>
          <w:tcPr>
            <w:tcW w:type="dxa" w:w="3211"/>
            <w:vAlign w:val="top"/>
          </w:tcPr>
          <w:p>
            <w:r>
              <w:t>Erfolg nur anhand der Nachweise in 08 und den zugehörigen Logs/Screenshots als abgeschlossen werten</w:t>
            </w:r>
          </w:p>
        </w:tc>
      </w:tr>
      <w:tr>
        <w:tc>
          <w:tcPr>
            <w:tcW w:type="dxa" w:w="3211"/>
            <w:vAlign w:val="top"/>
          </w:tcPr>
          <w:p>
            <w:r>
              <w:t>Originalarchive</w:t>
            </w:r>
          </w:p>
        </w:tc>
        <w:tc>
          <w:tcPr>
            <w:tcW w:type="dxa" w:w="3211"/>
            <w:vAlign w:val="top"/>
          </w:tcPr>
          <w:p>
            <w:r>
              <w:t>AP08 verlangt SHA-256 für pacman-master.zip und docker.zip</w:t>
            </w:r>
          </w:p>
        </w:tc>
        <w:tc>
          <w:tcPr>
            <w:tcW w:type="dxa" w:w="3211"/>
            <w:vAlign w:val="top"/>
          </w:tcPr>
          <w:p>
            <w:r>
              <w:t>Prüfsummen der Originalarchive separat verifizieren; Prüfsummen späterer Projektdateien ersetzen diesen Nachweis nicht</w:t>
            </w:r>
          </w:p>
        </w:tc>
      </w:tr>
      <w:tr>
        <w:tc>
          <w:tcPr>
            <w:tcW w:type="dxa" w:w="3211"/>
            <w:vAlign w:val="top"/>
          </w:tcPr>
          <w:p>
            <w:r>
              <w:t>Präsentation / Live-Demo</w:t>
            </w:r>
          </w:p>
        </w:tc>
        <w:tc>
          <w:tcPr>
            <w:tcW w:type="dxa" w:w="3211"/>
            <w:vAlign w:val="top"/>
          </w:tcPr>
          <w:p>
            <w:r>
              <w:t>Eigenständige Abschlussabgabe</w:t>
            </w:r>
          </w:p>
        </w:tc>
        <w:tc>
          <w:tcPr>
            <w:tcW w:type="dxa" w:w="3211"/>
            <w:vAlign w:val="top"/>
          </w:tcPr>
          <w:p>
            <w:r>
              <w:t>Erst nach fertiger Präsentation und Ersatznachweisen als abgeschlossen markieren</w:t>
            </w:r>
          </w:p>
        </w:tc>
      </w:tr>
    </w:tbl>
    <w:p/>
    <w:p>
      <w:pPr>
        <w:pStyle w:val="Heading1"/>
      </w:pPr>
      <w:r>
        <w:t>12. Offene Punkte</w:t>
      </w:r>
    </w:p>
    <w:p>
      <w:r>
        <w:t xml:space="preserve">Die vollständige, laufend gepflegte Liste offener Punkte und technischer Schulden wird in textdateien/offene_punkte.txt geführt. Diese Projektübersicht fasst den Stand zum Zeitpunkt der letzten Konsolidierung zusammen und verschweigt keine offenen Punkte.</w:t>
      </w:r>
    </w:p>
    <w:p>
      <w:r>
        <w:rPr>
          <w:b/>
        </w:rPr>
        <w:t xml:space="preserve">Noch offen vor finaler Abgabe:</w:t>
      </w:r>
    </w:p>
    <w:p>
      <w:r>
        <w:t xml:space="preserve">1. Finale Git-Commits beider Repositories und aktuell eingesetzte Image-Digests sind unmittelbar vor Abgabe erneut zu erfassen, da sich der Repository-Stand bis zur Abgabe ändern kann.</w:t>
      </w:r>
    </w:p>
    <w:p>
      <w:r>
        <w:t xml:space="preserve">2. Ein vollständiger, mit Datenvergleich abgeschlossener Restore-Nachweis liegt für pacman-dev vor (Testfall IHK-RESTORE-UI-001); für pacman-prod wurde bisher nur der Backup-CronJob-Status, kein vollständiger Restore mit Datenvergleich durchgeführt.</w:t>
      </w:r>
    </w:p>
    <w:p>
      <w:r>
        <w:t xml:space="preserve">3. Temporäre Diagnose-Pods, Port-Forwards, Test-Tokens und nicht benötigte lokale Images sind erst unmittelbar vor der Abgabe final zu bereinigen, nicht während der laufenden Weiterentwicklung.</w:t>
      </w:r>
    </w:p>
    <w:p>
      <w:r>
        <w:t xml:space="preserve">Bekannte, bewusst dokumentierte Projektgrenzen (kein offener Fehler, sondern Rahmenbedingung): lokaler Single-Node-Cluster ohne echte Node-Hochverfügbarkeit, unter Docker Desktop nicht durchgehend erzwingbare NetworkPolicy-Durchsetzung, sowie fehlende eigene fachliche Pacman-Anwendungsmetriken (nur Plattform-/Kubernetes-Metriken vorhanden).</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Pacman – DevOps/GitOps Abschlussprojekt | Projektübersicht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 – Projektübersicht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