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wmf" ContentType="image/x-wmf"/>
  <Override PartName="/word/media/image12.png" ContentType="image/png"/>
  <Override PartName="/word/media/image13.png" ContentType="image/png"/>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rPr>
      </w:pPr>
      <w:r>
        <w:rPr/>
        <w:drawing>
          <wp:inline distT="0" distB="0" distL="0" distR="0">
            <wp:extent cx="1892300" cy="417830"/>
            <wp:effectExtent l="0" t="0" r="0" b="0"/>
            <wp:docPr id="1" name="Picture 2" descr="\\iaea.org\Secretariat\MTCD\PublishingCurrent\2017\IAEA\17-42841_LOGO_IAEA_update\Design\Presentation_IAEA\IAEA_Logo_E_horizontal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aea.org\Secretariat\MTCD\PublishingCurrent\2017\IAEA\17-42841_LOGO_IAEA_update\Design\Presentation_IAEA\IAEA_Logo_E_horizontal_Blue.png"/>
                    <pic:cNvPicPr>
                      <a:picLocks noChangeAspect="1" noChangeArrowheads="1"/>
                    </pic:cNvPicPr>
                  </pic:nvPicPr>
                  <pic:blipFill>
                    <a:blip r:embed="rId2"/>
                    <a:stretch>
                      <a:fillRect/>
                    </a:stretch>
                  </pic:blipFill>
                  <pic:spPr bwMode="auto">
                    <a:xfrm>
                      <a:off x="0" y="0"/>
                      <a:ext cx="1892300" cy="417830"/>
                    </a:xfrm>
                    <a:prstGeom prst="rect">
                      <a:avLst/>
                    </a:prstGeom>
                    <a:noFill/>
                  </pic:spPr>
                </pic:pic>
              </a:graphicData>
            </a:graphic>
          </wp:inline>
        </w:drawing>
      </w:r>
    </w:p>
    <w:p>
      <w:pPr>
        <w:pStyle w:val="Normal"/>
        <w:rPr/>
      </w:pPr>
      <w:r>
        <w:rPr/>
      </w:r>
    </w:p>
    <w:p>
      <w:pPr>
        <w:pStyle w:val="Normal"/>
        <w:rPr/>
      </w:pPr>
      <w:r>
        <w:rPr/>
      </w:r>
    </w:p>
    <w:p>
      <w:pPr>
        <w:pStyle w:val="Heading1"/>
        <w:jc w:val="center"/>
        <w:rPr>
          <w:rFonts w:ascii="Calibri" w:hAnsi="Calibri"/>
        </w:rPr>
      </w:pPr>
      <w:bookmarkStart w:id="0" w:name="__RefHeading___Toc3263_3529209179"/>
      <w:bookmarkEnd w:id="0"/>
      <w:r>
        <w:rPr>
          <w:sz w:val="64"/>
          <w:szCs w:val="64"/>
        </w:rPr>
        <w:t>ZODIAC Anonymization Guideline</w:t>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r>
    </w:p>
    <w:p>
      <w:pPr>
        <w:pStyle w:val="Normal"/>
        <w:rPr>
          <w:rFonts w:ascii="Calibri" w:hAnsi="Calibri"/>
        </w:rPr>
      </w:pPr>
      <w:r>
        <w:rPr>
          <w:rFonts w:ascii="Calibri" w:hAnsi="Calibri"/>
        </w:rPr>
        <w:t>Version 0.4 (Draft – Not Approved)</w:t>
      </w:r>
    </w:p>
    <w:p>
      <w:pPr>
        <w:pStyle w:val="Normal"/>
        <w:rPr>
          <w:rFonts w:ascii="Calibri" w:hAnsi="Calibri"/>
        </w:rPr>
      </w:pPr>
      <w:r>
        <w:rPr>
          <w:rFonts w:ascii="Calibri" w:hAnsi="Calibri"/>
        </w:rPr>
        <w:t>Prepared by: IAEA NMDI / ZODIAC Team</w:t>
      </w:r>
    </w:p>
    <w:p>
      <w:pPr>
        <w:pStyle w:val="Normal"/>
        <w:rPr>
          <w:rFonts w:ascii="Calibri" w:hAnsi="Calibri"/>
        </w:rPr>
      </w:pPr>
      <w:r>
        <w:rPr>
          <w:rFonts w:ascii="Calibri" w:hAnsi="Calibri"/>
        </w:rPr>
        <w:t xml:space="preserve">Classification: Internal Use </w:t>
      </w:r>
    </w:p>
    <w:sdt>
      <w:sdtPr>
        <w:docPartObj>
          <w:docPartGallery w:val="Table of Contents"/>
          <w:docPartUnique w:val="true"/>
        </w:docPartObj>
      </w:sdtPr>
      <w:sdtContent>
        <w:p>
          <w:pPr>
            <w:pStyle w:val="TOCHeading"/>
            <w:rPr/>
          </w:pPr>
          <w:r>
            <w:rPr/>
            <w:t>Table of Contents</w:t>
          </w:r>
        </w:p>
        <w:p>
          <w:pPr>
            <w:pStyle w:val="TOC1"/>
            <w:tabs>
              <w:tab w:val="clear" w:pos="8640"/>
              <w:tab w:val="right" w:pos="8639" w:leader="dot"/>
            </w:tabs>
            <w:rPr/>
          </w:pPr>
          <w:r>
            <w:fldChar w:fldCharType="begin"/>
          </w:r>
          <w:r>
            <w:rPr>
              <w:rStyle w:val="IndexLink"/>
            </w:rPr>
            <w:instrText xml:space="preserve"> TOC \f \o "1-9" \h</w:instrText>
          </w:r>
          <w:r>
            <w:rPr>
              <w:rStyle w:val="IndexLink"/>
            </w:rPr>
            <w:fldChar w:fldCharType="separate"/>
          </w:r>
          <w:hyperlink w:anchor="__RefHeading___Toc3263_3529209179">
            <w:r>
              <w:rPr>
                <w:rStyle w:val="IndexLink"/>
              </w:rPr>
              <w:t>ZODIAC Anonymization Guideline</w:t>
              <w:tab/>
              <w:t>1</w:t>
            </w:r>
          </w:hyperlink>
        </w:p>
        <w:p>
          <w:pPr>
            <w:pStyle w:val="TOC2"/>
            <w:tabs>
              <w:tab w:val="clear" w:pos="8357"/>
              <w:tab w:val="right" w:pos="8639" w:leader="dot"/>
            </w:tabs>
            <w:rPr/>
          </w:pPr>
          <w:hyperlink w:anchor="__RefHeading___Toc2539_1635066637">
            <w:r>
              <w:rPr>
                <w:rStyle w:val="IndexLink"/>
              </w:rPr>
              <w:t>1. Purpose and Scope</w:t>
              <w:tab/>
              <w:t>3</w:t>
            </w:r>
          </w:hyperlink>
        </w:p>
        <w:p>
          <w:pPr>
            <w:pStyle w:val="TOC2"/>
            <w:tabs>
              <w:tab w:val="clear" w:pos="8357"/>
              <w:tab w:val="right" w:pos="8639" w:leader="dot"/>
            </w:tabs>
            <w:rPr/>
          </w:pPr>
          <w:hyperlink w:anchor="__RefHeading___Toc3265_3529209179">
            <w:r>
              <w:rPr>
                <w:rStyle w:val="IndexLink"/>
              </w:rPr>
              <w:t>2. Privacy-by-Design and Data Minimization</w:t>
              <w:tab/>
              <w:t>3</w:t>
            </w:r>
          </w:hyperlink>
        </w:p>
        <w:p>
          <w:pPr>
            <w:pStyle w:val="TOC2"/>
            <w:tabs>
              <w:tab w:val="clear" w:pos="8357"/>
              <w:tab w:val="right" w:pos="8639" w:leader="dot"/>
            </w:tabs>
            <w:rPr/>
          </w:pPr>
          <w:hyperlink w:anchor="__RefHeading___Toc2541_1635066637">
            <w:r>
              <w:rPr>
                <w:rStyle w:val="IndexLink"/>
              </w:rPr>
              <w:t>3. Roles and Responsibilities</w:t>
              <w:tab/>
              <w:t>4</w:t>
            </w:r>
          </w:hyperlink>
        </w:p>
        <w:p>
          <w:pPr>
            <w:pStyle w:val="TOC2"/>
            <w:tabs>
              <w:tab w:val="clear" w:pos="8357"/>
              <w:tab w:val="right" w:pos="8639" w:leader="dot"/>
            </w:tabs>
            <w:rPr/>
          </w:pPr>
          <w:hyperlink w:anchor="__RefHeading___Toc2543_1635066637">
            <w:r>
              <w:rPr>
                <w:rStyle w:val="IndexLink"/>
              </w:rPr>
              <w:t>4. Workflow Overview</w:t>
              <w:tab/>
              <w:t>4</w:t>
            </w:r>
          </w:hyperlink>
        </w:p>
        <w:p>
          <w:pPr>
            <w:pStyle w:val="TOC3"/>
            <w:tabs>
              <w:tab w:val="clear" w:pos="8073"/>
              <w:tab w:val="right" w:pos="8639" w:leader="dot"/>
            </w:tabs>
            <w:rPr/>
          </w:pPr>
          <w:hyperlink w:anchor="__RefHeading___Toc3267_3529209179">
            <w:r>
              <w:rPr>
                <w:rStyle w:val="IndexLink"/>
              </w:rPr>
              <w:t>Step 1 — Anonymize DICOM and Clinical Data (client-side)</w:t>
              <w:tab/>
              <w:t>4</w:t>
            </w:r>
          </w:hyperlink>
        </w:p>
        <w:p>
          <w:pPr>
            <w:pStyle w:val="TOC3"/>
            <w:tabs>
              <w:tab w:val="clear" w:pos="8073"/>
              <w:tab w:val="right" w:pos="8639" w:leader="dot"/>
            </w:tabs>
            <w:rPr/>
          </w:pPr>
          <w:hyperlink w:anchor="__RefHeading___Toc3269_3529209179">
            <w:r>
              <w:rPr>
                <w:rStyle w:val="IndexLink"/>
              </w:rPr>
              <w:t>Step 2 — Upload Anonymized Studies</w:t>
              <w:tab/>
              <w:t>5</w:t>
            </w:r>
          </w:hyperlink>
        </w:p>
        <w:p>
          <w:pPr>
            <w:pStyle w:val="TOC3"/>
            <w:tabs>
              <w:tab w:val="clear" w:pos="8073"/>
              <w:tab w:val="right" w:pos="8639" w:leader="dot"/>
            </w:tabs>
            <w:rPr/>
          </w:pPr>
          <w:hyperlink w:anchor="__RefHeading___Toc3271_3529209179">
            <w:r>
              <w:rPr>
                <w:rStyle w:val="IndexLink"/>
              </w:rPr>
              <w:t>Step 3 — Review and Visualize Uploaded Data</w:t>
              <w:tab/>
              <w:t>8</w:t>
            </w:r>
          </w:hyperlink>
        </w:p>
        <w:p>
          <w:pPr>
            <w:pStyle w:val="TOC2"/>
            <w:tabs>
              <w:tab w:val="clear" w:pos="8357"/>
              <w:tab w:val="right" w:pos="8639" w:leader="dot"/>
            </w:tabs>
            <w:rPr/>
          </w:pPr>
          <w:hyperlink w:anchor="__RefHeading___Toc2545_1635066637">
            <w:r>
              <w:rPr>
                <w:rStyle w:val="IndexLink"/>
              </w:rPr>
              <w:t>5. Anonymizer &amp; Upload Interface</w:t>
              <w:tab/>
              <w:t>9</w:t>
            </w:r>
          </w:hyperlink>
        </w:p>
        <w:p>
          <w:pPr>
            <w:pStyle w:val="TOC2"/>
            <w:tabs>
              <w:tab w:val="clear" w:pos="8357"/>
              <w:tab w:val="right" w:pos="8639" w:leader="dot"/>
            </w:tabs>
            <w:rPr/>
          </w:pPr>
          <w:hyperlink w:anchor="__RefHeading___Toc3273_3529209179">
            <w:r>
              <w:rPr>
                <w:rStyle w:val="IndexLink"/>
              </w:rPr>
              <w:t>6. Configuration and Profiles</w:t>
              <w:tab/>
              <w:t>11</w:t>
            </w:r>
          </w:hyperlink>
        </w:p>
        <w:p>
          <w:pPr>
            <w:pStyle w:val="TOC2"/>
            <w:tabs>
              <w:tab w:val="clear" w:pos="8357"/>
              <w:tab w:val="right" w:pos="8639" w:leader="dot"/>
            </w:tabs>
            <w:rPr/>
          </w:pPr>
          <w:hyperlink w:anchor="__RefHeading___Toc2549_1635066637">
            <w:r>
              <w:rPr>
                <w:rStyle w:val="IndexLink"/>
              </w:rPr>
              <w:t>7. Clinical Data (Excel)</w:t>
              <w:tab/>
              <w:t>14</w:t>
            </w:r>
          </w:hyperlink>
        </w:p>
        <w:p>
          <w:pPr>
            <w:pStyle w:val="TOC2"/>
            <w:tabs>
              <w:tab w:val="clear" w:pos="8357"/>
              <w:tab w:val="right" w:pos="8639" w:leader="dot"/>
            </w:tabs>
            <w:rPr/>
          </w:pPr>
          <w:hyperlink w:anchor="__RefHeading___Toc2551_1635066637">
            <w:r>
              <w:rPr>
                <w:rStyle w:val="IndexLink"/>
              </w:rPr>
              <w:t>8. Validation and Audit</w:t>
              <w:tab/>
              <w:t>15</w:t>
            </w:r>
          </w:hyperlink>
        </w:p>
        <w:p>
          <w:pPr>
            <w:pStyle w:val="TOC2"/>
            <w:tabs>
              <w:tab w:val="clear" w:pos="8357"/>
              <w:tab w:val="right" w:pos="8639" w:leader="dot"/>
            </w:tabs>
            <w:rPr/>
          </w:pPr>
          <w:hyperlink w:anchor="__RefHeading___Toc2553_1635066637">
            <w:r>
              <w:rPr>
                <w:rStyle w:val="IndexLink"/>
              </w:rPr>
              <w:t>9. Compliance Mapping</w:t>
              <w:tab/>
              <w:t>16</w:t>
            </w:r>
          </w:hyperlink>
        </w:p>
        <w:p>
          <w:pPr>
            <w:pStyle w:val="TOC2"/>
            <w:tabs>
              <w:tab w:val="clear" w:pos="8357"/>
              <w:tab w:val="right" w:pos="8639" w:leader="dot"/>
            </w:tabs>
            <w:rPr/>
          </w:pPr>
          <w:hyperlink w:anchor="__RefHeading___Toc2555_1635066637">
            <w:r>
              <w:rPr>
                <w:rStyle w:val="IndexLink"/>
              </w:rPr>
              <w:t>10. Retention and Deletion</w:t>
              <w:tab/>
              <w:t>17</w:t>
            </w:r>
          </w:hyperlink>
        </w:p>
        <w:p>
          <w:pPr>
            <w:pStyle w:val="TOC2"/>
            <w:tabs>
              <w:tab w:val="clear" w:pos="8357"/>
              <w:tab w:val="right" w:pos="8639" w:leader="dot"/>
            </w:tabs>
            <w:rPr/>
          </w:pPr>
          <w:hyperlink w:anchor="__RefHeading___Toc2559_1635066637">
            <w:r>
              <w:rPr>
                <w:rStyle w:val="IndexLink"/>
              </w:rPr>
              <w:t>11. Change Log</w:t>
              <w:tab/>
              <w:t>17</w:t>
            </w:r>
          </w:hyperlink>
          <w:r>
            <w:rPr>
              <w:rStyle w:val="IndexLink"/>
            </w:rPr>
            <w:fldChar w:fldCharType="end"/>
          </w:r>
        </w:p>
      </w:sdtContent>
    </w:sdt>
    <w:p>
      <w:pPr>
        <w:pStyle w:val="Normal"/>
        <w:rPr>
          <w:rFonts w:ascii="Calibri" w:hAnsi="Calibri"/>
        </w:rPr>
      </w:pPr>
      <w:r>
        <w:rPr>
          <w:rFonts w:ascii="Calibri" w:hAnsi="Calibri"/>
        </w:rPr>
      </w:r>
      <w:r>
        <w:br w:type="page"/>
      </w:r>
    </w:p>
    <w:p>
      <w:pPr>
        <w:pStyle w:val="Heading2"/>
        <w:numPr>
          <w:ilvl w:val="0"/>
          <w:numId w:val="9"/>
        </w:numPr>
        <w:spacing w:before="0" w:after="0"/>
        <w:ind w:hanging="360" w:left="360"/>
        <w:rPr>
          <w:rFonts w:ascii="Calibri" w:hAnsi="Calibri"/>
        </w:rPr>
      </w:pPr>
      <w:bookmarkStart w:id="1" w:name="__RefHeading___Toc2539_1635066637"/>
      <w:bookmarkEnd w:id="1"/>
      <w:r>
        <w:rPr/>
        <w:t>Purpose and Scope</w:t>
      </w:r>
    </w:p>
    <w:p>
      <w:pPr>
        <w:pStyle w:val="BodyText"/>
        <w:spacing w:before="0" w:after="200"/>
        <w:rPr>
          <w:rFonts w:ascii="Calibri" w:hAnsi="Calibri"/>
        </w:rPr>
      </w:pPr>
      <w:r>
        <w:rPr>
          <w:rFonts w:ascii="Calibri" w:hAnsi="Calibri"/>
        </w:rPr>
        <w:t>This document describes the anonymization and upload process for medical imaging (DICOM) and associated clinical data in the ZODIAC Pillar-4 platform.</w:t>
      </w:r>
    </w:p>
    <w:p>
      <w:pPr>
        <w:pStyle w:val="BodyText"/>
        <w:spacing w:before="0" w:after="200"/>
        <w:rPr>
          <w:rFonts w:ascii="Calibri" w:hAnsi="Calibri"/>
        </w:rPr>
      </w:pPr>
      <w:r>
        <w:rPr>
          <w:rFonts w:ascii="Calibri" w:hAnsi="Calibri"/>
        </w:rPr>
        <w:t>The system ensures that no identifiable patient data is transferred to or stored on the central platform. All anonymization is performed client-side in the uploader’s web browser before any data leaves the institute’s control.</w:t>
      </w:r>
    </w:p>
    <w:p>
      <w:pPr>
        <w:pStyle w:val="BodyText"/>
        <w:spacing w:before="0" w:after="200"/>
        <w:rPr>
          <w:rFonts w:ascii="Calibri" w:hAnsi="Calibri"/>
        </w:rPr>
      </w:pPr>
      <w:r>
        <w:rPr>
          <w:rFonts w:ascii="Calibri" w:hAnsi="Calibri"/>
        </w:rPr>
        <w:t>This guideline is intended for:</w:t>
      </w:r>
    </w:p>
    <w:p>
      <w:pPr>
        <w:pStyle w:val="BodyText"/>
        <w:numPr>
          <w:ilvl w:val="0"/>
          <w:numId w:val="8"/>
        </w:numPr>
        <w:tabs>
          <w:tab w:val="clear" w:pos="720"/>
          <w:tab w:val="left" w:pos="0" w:leader="none"/>
        </w:tabs>
        <w:spacing w:before="0" w:after="0"/>
        <w:rPr>
          <w:rFonts w:ascii="Calibri" w:hAnsi="Calibri"/>
        </w:rPr>
      </w:pPr>
      <w:r>
        <w:rPr>
          <w:rFonts w:ascii="Calibri" w:hAnsi="Calibri"/>
        </w:rPr>
        <w:t xml:space="preserve">Participating institutes uploading data </w:t>
      </w:r>
    </w:p>
    <w:p>
      <w:pPr>
        <w:pStyle w:val="BodyText"/>
        <w:numPr>
          <w:ilvl w:val="0"/>
          <w:numId w:val="8"/>
        </w:numPr>
        <w:tabs>
          <w:tab w:val="clear" w:pos="720"/>
          <w:tab w:val="left" w:pos="0" w:leader="none"/>
        </w:tabs>
        <w:spacing w:before="0" w:after="0"/>
        <w:rPr>
          <w:rFonts w:ascii="Calibri" w:hAnsi="Calibri"/>
        </w:rPr>
      </w:pPr>
      <w:r>
        <w:rPr>
          <w:rFonts w:ascii="Calibri" w:hAnsi="Calibri"/>
        </w:rPr>
        <w:t xml:space="preserve">IAEA platform administrators </w:t>
      </w:r>
    </w:p>
    <w:p>
      <w:pPr>
        <w:pStyle w:val="BodyText"/>
        <w:numPr>
          <w:ilvl w:val="0"/>
          <w:numId w:val="8"/>
        </w:numPr>
        <w:tabs>
          <w:tab w:val="clear" w:pos="720"/>
          <w:tab w:val="left" w:pos="0" w:leader="none"/>
        </w:tabs>
        <w:rPr>
          <w:rFonts w:ascii="Calibri" w:hAnsi="Calibri"/>
        </w:rPr>
      </w:pPr>
      <w:r>
        <w:rPr>
          <w:rFonts w:ascii="Calibri" w:hAnsi="Calibri"/>
        </w:rPr>
        <w:t xml:space="preserve">Data privacy and security reviewers </w:t>
      </w:r>
    </w:p>
    <w:p>
      <w:pPr>
        <w:pStyle w:val="BodyText"/>
        <w:spacing w:before="0" w:after="200"/>
        <w:rPr>
          <w:rFonts w:ascii="Calibri" w:hAnsi="Calibri"/>
        </w:rPr>
      </w:pPr>
      <w:r>
        <w:rPr>
          <w:rFonts w:ascii="Calibri" w:hAnsi="Calibri"/>
        </w:rPr>
        <w:t>It demonstrates compliance with IAEA information security requirements (AM.IV/3), DICOM PS3.15 Basic Application Level Confidentiality Profile principles, and GDPR Recital 26 (anonymized data is not personal data).</w:t>
      </w:r>
    </w:p>
    <w:p>
      <w:pPr>
        <w:pStyle w:val="BodyText"/>
        <w:spacing w:before="0" w:after="200"/>
        <w:rPr>
          <w:rFonts w:ascii="Calibri" w:hAnsi="Calibri"/>
        </w:rPr>
      </w:pPr>
      <w:r>
        <w:rPr>
          <w:rFonts w:ascii="Calibri" w:hAnsi="Calibri"/>
        </w:rPr>
      </w:r>
    </w:p>
    <w:p>
      <w:pPr>
        <w:pStyle w:val="Heading2"/>
        <w:numPr>
          <w:ilvl w:val="0"/>
          <w:numId w:val="9"/>
        </w:numPr>
        <w:ind w:hanging="360" w:left="360"/>
        <w:rPr/>
      </w:pPr>
      <w:bookmarkStart w:id="2" w:name="__RefHeading___Toc3265_3529209179"/>
      <w:bookmarkEnd w:id="2"/>
      <w:r>
        <w:rPr/>
        <w:t>P</w:t>
      </w:r>
      <w:r>
        <w:rPr>
          <w:rStyle w:val="Strong"/>
          <w:b/>
          <w:bCs/>
        </w:rPr>
        <w:t>rivacy-by-Design and Data Minimization</w:t>
      </w:r>
    </w:p>
    <w:p>
      <w:pPr>
        <w:pStyle w:val="BodyText"/>
        <w:spacing w:before="0" w:after="200"/>
        <w:rPr>
          <w:rFonts w:ascii="Calibri" w:hAnsi="Calibri"/>
        </w:rPr>
      </w:pPr>
      <w:r>
        <w:rPr>
          <w:rFonts w:ascii="Calibri" w:hAnsi="Calibri"/>
        </w:rPr>
        <w:t>The ZODIAC platform is designed according to privacy-by-design and data minimization principles:</w:t>
      </w:r>
    </w:p>
    <w:p>
      <w:pPr>
        <w:pStyle w:val="BodyText"/>
        <w:numPr>
          <w:ilvl w:val="0"/>
          <w:numId w:val="7"/>
        </w:numPr>
        <w:tabs>
          <w:tab w:val="clear" w:pos="720"/>
          <w:tab w:val="left" w:pos="0" w:leader="none"/>
        </w:tabs>
        <w:spacing w:before="0" w:after="0"/>
        <w:rPr/>
      </w:pPr>
      <w:r>
        <w:rPr>
          <w:rFonts w:ascii="Calibri" w:hAnsi="Calibri"/>
        </w:rPr>
        <w:t xml:space="preserve">All anonymization of patient identifiers occurs </w:t>
      </w:r>
      <w:r>
        <w:rPr>
          <w:rStyle w:val="Strong"/>
          <w:rFonts w:ascii="Calibri" w:hAnsi="Calibri"/>
        </w:rPr>
        <w:t>exclusively at the participating institute</w:t>
      </w:r>
      <w:r>
        <w:rPr>
          <w:rFonts w:ascii="Calibri" w:hAnsi="Calibri"/>
        </w:rPr>
        <w:t xml:space="preserve">, using a fully client-side tool running in the uploader’s web browser. </w:t>
      </w:r>
    </w:p>
    <w:p>
      <w:pPr>
        <w:pStyle w:val="BodyText"/>
        <w:numPr>
          <w:ilvl w:val="0"/>
          <w:numId w:val="7"/>
        </w:numPr>
        <w:tabs>
          <w:tab w:val="clear" w:pos="720"/>
          <w:tab w:val="left" w:pos="0" w:leader="none"/>
        </w:tabs>
        <w:spacing w:before="0" w:after="0"/>
        <w:rPr>
          <w:rFonts w:ascii="Calibri" w:hAnsi="Calibri"/>
        </w:rPr>
      </w:pPr>
      <w:r>
        <w:rPr>
          <w:rFonts w:ascii="Calibri" w:hAnsi="Calibri"/>
        </w:rPr>
        <w:t xml:space="preserve">No original, partially anonymized, or identifiable patient data is ever transmitted to or processed by IAEA systems. </w:t>
      </w:r>
    </w:p>
    <w:p>
      <w:pPr>
        <w:pStyle w:val="BodyText"/>
        <w:numPr>
          <w:ilvl w:val="0"/>
          <w:numId w:val="7"/>
        </w:numPr>
        <w:tabs>
          <w:tab w:val="clear" w:pos="720"/>
          <w:tab w:val="left" w:pos="0" w:leader="none"/>
        </w:tabs>
        <w:spacing w:before="0" w:after="0"/>
        <w:rPr/>
      </w:pPr>
      <w:r>
        <w:rPr>
          <w:rFonts w:ascii="Calibri" w:hAnsi="Calibri"/>
        </w:rPr>
        <w:t xml:space="preserve">Any local identity mapping or traceability files remain under sole control of the institute and are </w:t>
      </w:r>
      <w:r>
        <w:rPr>
          <w:rStyle w:val="Strong"/>
          <w:rFonts w:ascii="Calibri" w:hAnsi="Calibri"/>
        </w:rPr>
        <w:t>never uploaded</w:t>
      </w:r>
      <w:r>
        <w:rPr>
          <w:rFonts w:ascii="Calibri" w:hAnsi="Calibri"/>
        </w:rPr>
        <w:t xml:space="preserve">. </w:t>
      </w:r>
    </w:p>
    <w:p>
      <w:pPr>
        <w:pStyle w:val="BodyText"/>
        <w:numPr>
          <w:ilvl w:val="0"/>
          <w:numId w:val="7"/>
        </w:numPr>
        <w:tabs>
          <w:tab w:val="clear" w:pos="720"/>
          <w:tab w:val="left" w:pos="0" w:leader="none"/>
        </w:tabs>
        <w:rPr>
          <w:rFonts w:ascii="Calibri" w:hAnsi="Calibri"/>
        </w:rPr>
      </w:pPr>
      <w:r>
        <w:rPr>
          <w:rFonts w:ascii="Calibri" w:hAnsi="Calibri"/>
        </w:rPr>
        <w:t xml:space="preserve">Clinical data (.xlsx or .json) is anonymized using the same deterministic rules as DICOM metadata. </w:t>
      </w:r>
    </w:p>
    <w:p>
      <w:pPr>
        <w:pStyle w:val="BodyText"/>
        <w:numPr>
          <w:ilvl w:val="0"/>
          <w:numId w:val="7"/>
        </w:numPr>
        <w:tabs>
          <w:tab w:val="clear" w:pos="720"/>
          <w:tab w:val="left" w:pos="0" w:leader="none"/>
        </w:tabs>
        <w:rPr>
          <w:rFonts w:ascii="Calibri" w:hAnsi="Calibri"/>
        </w:rPr>
      </w:pPr>
      <w:r>
        <w:rPr>
          <w:rFonts w:ascii="Calibri" w:hAnsi="Calibri"/>
        </w:rPr>
        <w:t>To further reduce re-identification risk while preserving analytical validity, exact dates of birth are removed, age values are generalized into 5-year ranges, and all other date fields are shifted by a small random offset applied consistently per patient.</w:t>
      </w:r>
    </w:p>
    <w:p>
      <w:pPr>
        <w:pStyle w:val="BodyText"/>
        <w:spacing w:before="0" w:after="200"/>
        <w:rPr/>
      </w:pPr>
      <w:r>
        <w:rPr>
          <w:rFonts w:ascii="Calibri" w:hAnsi="Calibri"/>
        </w:rPr>
        <w:t xml:space="preserve">As a result, the IAEA platform receives, stores, and processes </w:t>
      </w:r>
      <w:r>
        <w:rPr>
          <w:rStyle w:val="Strong"/>
          <w:rFonts w:ascii="Calibri" w:hAnsi="Calibri"/>
        </w:rPr>
        <w:t>only anonymized datasets</w:t>
      </w:r>
      <w:r>
        <w:rPr>
          <w:rFonts w:ascii="Calibri" w:hAnsi="Calibri"/>
        </w:rPr>
        <w:t>. In accordance with GDPR Recital 26, such data is no longer considered personal data when re-identification is not reasonably possible by IAEA or any platform user, as the required mapping information is never transmitted and remains exclusively under the institute’s control.</w:t>
      </w:r>
    </w:p>
    <w:p>
      <w:pPr>
        <w:pStyle w:val="Heading2"/>
        <w:numPr>
          <w:ilvl w:val="0"/>
          <w:numId w:val="9"/>
        </w:numPr>
        <w:ind w:hanging="360" w:left="360"/>
        <w:rPr>
          <w:rFonts w:ascii="Calibri" w:hAnsi="Calibri"/>
        </w:rPr>
      </w:pPr>
      <w:bookmarkStart w:id="3" w:name="__RefHeading___Toc2541_1635066637"/>
      <w:bookmarkEnd w:id="3"/>
      <w:r>
        <w:rPr/>
        <w:t>Roles and Responsibilities</w:t>
      </w:r>
    </w:p>
    <w:tbl>
      <w:tblPr>
        <w:tblW w:w="8369" w:type="dxa"/>
        <w:jc w:val="left"/>
        <w:tblInd w:w="45" w:type="dxa"/>
        <w:tblLayout w:type="fixed"/>
        <w:tblCellMar>
          <w:top w:w="0" w:type="dxa"/>
          <w:left w:w="108" w:type="dxa"/>
          <w:bottom w:w="0" w:type="dxa"/>
          <w:right w:w="108" w:type="dxa"/>
        </w:tblCellMar>
        <w:tblLook w:firstRow="1" w:noVBand="1" w:lastRow="0" w:firstColumn="1" w:lastColumn="0" w:noHBand="0" w:val="04a0"/>
      </w:tblPr>
      <w:tblGrid>
        <w:gridCol w:w="4048"/>
        <w:gridCol w:w="4320"/>
      </w:tblGrid>
      <w:tr>
        <w:trPr/>
        <w:tc>
          <w:tcPr>
            <w:tcW w:w="4048" w:type="dxa"/>
            <w:tcBorders>
              <w:top w:val="single" w:sz="4" w:space="0" w:color="000000"/>
              <w:left w:val="single" w:sz="4" w:space="0" w:color="000000"/>
              <w:bottom w:val="single" w:sz="4" w:space="0" w:color="000000"/>
              <w:right w:val="single" w:sz="4" w:space="0" w:color="000000"/>
            </w:tcBorders>
            <w:shd w:color="auto" w:fill="DDDDDD" w:val="clear"/>
          </w:tcPr>
          <w:p>
            <w:pPr>
              <w:pStyle w:val="Normal"/>
              <w:spacing w:lineRule="auto" w:line="240" w:before="0" w:after="0"/>
              <w:rPr>
                <w:rFonts w:ascii="Calibri" w:hAnsi="Calibri"/>
              </w:rPr>
            </w:pPr>
            <w:r>
              <w:rPr>
                <w:rFonts w:ascii="Calibri" w:hAnsi="Calibri"/>
                <w:b/>
                <w:bCs/>
              </w:rPr>
              <w:t>Role</w:t>
            </w:r>
          </w:p>
        </w:tc>
        <w:tc>
          <w:tcPr>
            <w:tcW w:w="4320" w:type="dxa"/>
            <w:tcBorders>
              <w:top w:val="single" w:sz="4" w:space="0" w:color="000000"/>
              <w:left w:val="single" w:sz="4" w:space="0" w:color="000000"/>
              <w:bottom w:val="single" w:sz="4" w:space="0" w:color="000000"/>
              <w:right w:val="single" w:sz="4" w:space="0" w:color="000000"/>
            </w:tcBorders>
            <w:shd w:color="auto" w:fill="DDDDDD" w:val="clear"/>
          </w:tcPr>
          <w:p>
            <w:pPr>
              <w:pStyle w:val="Normal"/>
              <w:spacing w:lineRule="auto" w:line="240" w:before="0" w:after="0"/>
              <w:rPr>
                <w:rFonts w:ascii="Calibri" w:hAnsi="Calibri"/>
              </w:rPr>
            </w:pPr>
            <w:r>
              <w:rPr>
                <w:rFonts w:ascii="Calibri" w:hAnsi="Calibri"/>
                <w:b/>
                <w:bCs/>
              </w:rPr>
              <w:t>Responsibility</w:t>
            </w:r>
          </w:p>
        </w:tc>
      </w:tr>
      <w:tr>
        <w:trPr/>
        <w:tc>
          <w:tcPr>
            <w:tcW w:w="4048" w:type="dxa"/>
            <w:tcBorders>
              <w:top w:val="single" w:sz="4" w:space="0" w:color="000000"/>
              <w:left w:val="single" w:sz="4" w:space="0" w:color="000000"/>
              <w:bottom w:val="single" w:sz="4" w:space="0" w:color="000000"/>
              <w:right w:val="single" w:sz="4" w:space="0" w:color="000000"/>
            </w:tcBorders>
          </w:tcPr>
          <w:p>
            <w:pPr>
              <w:pStyle w:val="BodyText"/>
              <w:spacing w:lineRule="auto" w:line="240" w:before="0" w:after="0"/>
              <w:rPr>
                <w:rFonts w:ascii="Calibri" w:hAnsi="Calibri"/>
              </w:rPr>
            </w:pPr>
            <w:r>
              <w:rPr>
                <w:rFonts w:ascii="Calibri" w:hAnsi="Calibri"/>
              </w:rPr>
              <w:t>Participating Institute</w:t>
            </w:r>
          </w:p>
          <w:p>
            <w:pPr>
              <w:pStyle w:val="Normal"/>
              <w:spacing w:lineRule="auto" w:line="240" w:before="0" w:after="0"/>
              <w:rPr>
                <w:rFonts w:ascii="Calibri" w:hAnsi="Calibri"/>
              </w:rPr>
            </w:pPr>
            <w:r>
              <w:rPr>
                <w:rFonts w:ascii="Calibri" w:hAnsi="Calibri"/>
              </w:rPr>
            </w:r>
          </w:p>
        </w:tc>
        <w:tc>
          <w:tcPr>
            <w:tcW w:w="4320" w:type="dxa"/>
            <w:tcBorders>
              <w:top w:val="single" w:sz="4" w:space="0" w:color="000000"/>
              <w:left w:val="single" w:sz="4" w:space="0" w:color="000000"/>
              <w:bottom w:val="single" w:sz="4" w:space="0" w:color="000000"/>
              <w:right w:val="single" w:sz="4" w:space="0" w:color="000000"/>
            </w:tcBorders>
          </w:tcPr>
          <w:p>
            <w:pPr>
              <w:pStyle w:val="BodyText"/>
              <w:spacing w:lineRule="auto" w:line="240" w:before="0" w:after="0"/>
              <w:rPr>
                <w:rFonts w:ascii="Calibri" w:hAnsi="Calibri"/>
              </w:rPr>
            </w:pPr>
            <w:r>
              <w:rPr>
                <w:rFonts w:ascii="Calibri" w:hAnsi="Calibri"/>
              </w:rPr>
              <w:t>Acts as controller for data collection and anonymization at institute level; collects data under national law; performs client-side anonymization; reviews results and resolves conflicts; uploads only anonymized data; retains any local mapping files.</w:t>
            </w:r>
          </w:p>
        </w:tc>
      </w:tr>
      <w:tr>
        <w:trPr/>
        <w:tc>
          <w:tcPr>
            <w:tcW w:w="4048" w:type="dxa"/>
            <w:tcBorders>
              <w:top w:val="single" w:sz="4" w:space="0" w:color="000000"/>
              <w:left w:val="single" w:sz="4" w:space="0" w:color="000000"/>
              <w:bottom w:val="single" w:sz="4" w:space="0" w:color="000000"/>
              <w:right w:val="single" w:sz="4" w:space="0" w:color="000000"/>
            </w:tcBorders>
          </w:tcPr>
          <w:p>
            <w:pPr>
              <w:pStyle w:val="BodyText"/>
              <w:spacing w:lineRule="auto" w:line="240" w:before="0" w:after="0"/>
              <w:rPr>
                <w:rFonts w:ascii="Calibri" w:hAnsi="Calibri"/>
              </w:rPr>
            </w:pPr>
            <w:r>
              <w:rPr>
                <w:rFonts w:ascii="Calibri" w:hAnsi="Calibri"/>
              </w:rPr>
              <w:t>IAEA (ZODIAC Team)</w:t>
            </w:r>
          </w:p>
        </w:tc>
        <w:tc>
          <w:tcPr>
            <w:tcW w:w="4320" w:type="dxa"/>
            <w:tcBorders>
              <w:top w:val="single" w:sz="4" w:space="0" w:color="000000"/>
              <w:left w:val="single" w:sz="4" w:space="0" w:color="000000"/>
              <w:bottom w:val="single" w:sz="4" w:space="0" w:color="000000"/>
              <w:right w:val="single" w:sz="4" w:space="0" w:color="000000"/>
            </w:tcBorders>
          </w:tcPr>
          <w:p>
            <w:pPr>
              <w:pStyle w:val="BodyText"/>
              <w:spacing w:lineRule="auto" w:line="240" w:before="0" w:after="0"/>
              <w:rPr>
                <w:rFonts w:ascii="Calibri" w:hAnsi="Calibri"/>
              </w:rPr>
            </w:pPr>
            <w:r>
              <w:rPr>
                <w:rFonts w:ascii="Calibri" w:hAnsi="Calibri"/>
              </w:rPr>
              <w:t>Acts as controller for processing of anonymized data at platform level; receives, stores, and analyses only anonymized datasets; configures anonymization profiles and archives; monitors upload logs.</w:t>
            </w:r>
          </w:p>
        </w:tc>
      </w:tr>
      <w:tr>
        <w:trPr/>
        <w:tc>
          <w:tcPr>
            <w:tcW w:w="4048" w:type="dxa"/>
            <w:tcBorders>
              <w:top w:val="single" w:sz="4" w:space="0" w:color="000000"/>
              <w:left w:val="single" w:sz="4" w:space="0" w:color="000000"/>
              <w:bottom w:val="single" w:sz="4" w:space="0" w:color="000000"/>
              <w:right w:val="single" w:sz="4" w:space="0" w:color="000000"/>
            </w:tcBorders>
          </w:tcPr>
          <w:p>
            <w:pPr>
              <w:pStyle w:val="BodyText"/>
              <w:spacing w:lineRule="auto" w:line="240" w:before="0" w:after="0"/>
              <w:rPr>
                <w:rFonts w:ascii="Calibri" w:hAnsi="Calibri"/>
              </w:rPr>
            </w:pPr>
            <w:r>
              <w:rPr>
                <w:rFonts w:ascii="Calibri" w:hAnsi="Calibri"/>
              </w:rPr>
              <w:t>UNICC (Infrastructure)</w:t>
            </w:r>
          </w:p>
          <w:p>
            <w:pPr>
              <w:pStyle w:val="Normal"/>
              <w:spacing w:lineRule="auto" w:line="240" w:before="0" w:after="0"/>
              <w:rPr>
                <w:rFonts w:ascii="Calibri" w:hAnsi="Calibri"/>
              </w:rPr>
            </w:pPr>
            <w:r>
              <w:rPr>
                <w:rFonts w:ascii="Calibri" w:hAnsi="Calibri"/>
              </w:rPr>
            </w:r>
          </w:p>
        </w:tc>
        <w:tc>
          <w:tcPr>
            <w:tcW w:w="4320" w:type="dxa"/>
            <w:tcBorders>
              <w:top w:val="single" w:sz="4" w:space="0" w:color="000000"/>
              <w:left w:val="single" w:sz="4" w:space="0" w:color="000000"/>
              <w:bottom w:val="single" w:sz="4" w:space="0" w:color="000000"/>
              <w:right w:val="single" w:sz="4" w:space="0" w:color="000000"/>
            </w:tcBorders>
          </w:tcPr>
          <w:p>
            <w:pPr>
              <w:pStyle w:val="BodyText"/>
              <w:spacing w:lineRule="auto" w:line="240" w:before="0" w:after="0"/>
              <w:rPr>
                <w:rFonts w:ascii="Calibri" w:hAnsi="Calibri"/>
              </w:rPr>
            </w:pPr>
            <w:r>
              <w:rPr>
                <w:rFonts w:ascii="Calibri" w:hAnsi="Calibri"/>
              </w:rPr>
              <w:t>Provides secure hosting, encryption, access controls, audit logging, and DevSecOps governance.</w:t>
            </w:r>
          </w:p>
        </w:tc>
      </w:tr>
    </w:tbl>
    <w:p>
      <w:pPr>
        <w:pStyle w:val="Normal"/>
        <w:ind w:hanging="0" w:left="0"/>
        <w:rPr>
          <w:rFonts w:ascii="Calibri" w:hAnsi="Calibri"/>
        </w:rPr>
      </w:pPr>
      <w:r>
        <w:rPr>
          <w:rFonts w:ascii="Calibri" w:hAnsi="Calibri"/>
        </w:rPr>
      </w:r>
    </w:p>
    <w:p>
      <w:pPr>
        <w:pStyle w:val="Normal"/>
        <w:ind w:hanging="0" w:left="0"/>
        <w:rPr>
          <w:rFonts w:ascii="Calibri" w:hAnsi="Calibri"/>
        </w:rPr>
      </w:pPr>
      <w:r>
        <w:rPr>
          <w:rFonts w:ascii="Calibri" w:hAnsi="Calibri"/>
        </w:rPr>
        <w:t>While patient data processed by the platform is fully anonymized prior to upload and is therefore not considered personal data under GDPR Recital 26, the platform also processes limited personal data related to user accounts (username and email address) for authentication and access control purposes.</w:t>
        <w:br/>
        <w:br/>
        <w:t>This personal data is limited to basic identification information and does not include special categories of personal data.</w:t>
        <w:br/>
        <w:br/>
        <w:t xml:space="preserve">Based on this scope and the implemented technical and organizational safeguards, the overall privacy risk is assessed as low. </w:t>
      </w:r>
    </w:p>
    <w:p>
      <w:pPr>
        <w:pStyle w:val="Heading2"/>
        <w:numPr>
          <w:ilvl w:val="0"/>
          <w:numId w:val="9"/>
        </w:numPr>
        <w:ind w:hanging="360" w:left="360"/>
        <w:rPr>
          <w:rFonts w:ascii="Calibri" w:hAnsi="Calibri"/>
        </w:rPr>
      </w:pPr>
      <w:bookmarkStart w:id="4" w:name="__RefHeading___Toc2543_1635066637"/>
      <w:bookmarkEnd w:id="4"/>
      <w:r>
        <w:rPr/>
        <w:t>Workflow Overview</w:t>
      </w:r>
    </w:p>
    <w:p>
      <w:pPr>
        <w:pStyle w:val="Normal"/>
        <w:rPr>
          <w:rFonts w:ascii="Calibri" w:hAnsi="Calibri"/>
        </w:rPr>
      </w:pPr>
      <w:r>
        <w:rPr>
          <w:rFonts w:ascii="Calibri" w:hAnsi="Calibri"/>
        </w:rPr>
        <w:t>The anonymization and upload steps are:</w:t>
      </w:r>
    </w:p>
    <w:p>
      <w:pPr>
        <w:pStyle w:val="Heading3"/>
        <w:rPr>
          <w:rFonts w:ascii="Calibri" w:hAnsi="Calibri"/>
        </w:rPr>
      </w:pPr>
      <w:bookmarkStart w:id="5" w:name="__RefHeading___Toc3267_3529209179"/>
      <w:bookmarkEnd w:id="5"/>
      <w:r>
        <w:rPr/>
        <w:t>Step 1 — Anonymize DICOM and Clinical Data (client-side)</w:t>
      </w:r>
    </w:p>
    <w:p>
      <w:pPr>
        <w:pStyle w:val="BodyText"/>
        <w:numPr>
          <w:ilvl w:val="0"/>
          <w:numId w:val="10"/>
        </w:numPr>
        <w:rPr/>
      </w:pPr>
      <w:r>
        <w:rPr>
          <w:rFonts w:ascii="Calibri" w:hAnsi="Calibri"/>
        </w:rPr>
        <w:t xml:space="preserve">User selects </w:t>
      </w:r>
      <w:r>
        <w:rPr>
          <w:rStyle w:val="Strong"/>
          <w:rFonts w:ascii="Calibri" w:hAnsi="Calibri"/>
        </w:rPr>
        <w:t>Anonymization Profile</w:t>
      </w:r>
      <w:r>
        <w:rPr>
          <w:rFonts w:ascii="Calibri" w:hAnsi="Calibri"/>
        </w:rPr>
        <w:t xml:space="preserve"> </w:t>
      </w:r>
    </w:p>
    <w:p>
      <w:pPr>
        <w:pStyle w:val="BodyText"/>
        <w:numPr>
          <w:ilvl w:val="0"/>
          <w:numId w:val="10"/>
        </w:numPr>
        <w:rPr/>
      </w:pPr>
      <w:r>
        <w:rPr>
          <w:rFonts w:ascii="Calibri" w:hAnsi="Calibri"/>
        </w:rPr>
        <w:t xml:space="preserve">User selects </w:t>
      </w:r>
      <w:r>
        <w:rPr>
          <w:rStyle w:val="Strong"/>
          <w:rFonts w:ascii="Calibri" w:hAnsi="Calibri"/>
        </w:rPr>
        <w:t>Source DICOM Folder</w:t>
      </w:r>
      <w:r>
        <w:rPr>
          <w:rFonts w:ascii="Calibri" w:hAnsi="Calibri"/>
        </w:rPr>
        <w:t xml:space="preserve"> (full PACS export) </w:t>
      </w:r>
    </w:p>
    <w:p>
      <w:pPr>
        <w:pStyle w:val="BodyText"/>
        <w:numPr>
          <w:ilvl w:val="0"/>
          <w:numId w:val="10"/>
        </w:numPr>
        <w:rPr/>
      </w:pPr>
      <w:r>
        <w:rPr>
          <w:rFonts w:ascii="Calibri" w:hAnsi="Calibri"/>
        </w:rPr>
        <w:t xml:space="preserve">User optionally selects </w:t>
      </w:r>
      <w:r>
        <w:rPr>
          <w:rStyle w:val="Strong"/>
          <w:rFonts w:ascii="Calibri" w:hAnsi="Calibri"/>
        </w:rPr>
        <w:t>Clinical Data File</w:t>
      </w:r>
      <w:r>
        <w:rPr>
          <w:rFonts w:ascii="Calibri" w:hAnsi="Calibri"/>
        </w:rPr>
        <w:t xml:space="preserve"> (.xlsx or .json) </w:t>
      </w:r>
    </w:p>
    <w:p>
      <w:pPr>
        <w:pStyle w:val="BodyText"/>
        <w:numPr>
          <w:ilvl w:val="0"/>
          <w:numId w:val="10"/>
        </w:numPr>
        <w:rPr>
          <w:rFonts w:ascii="Calibri" w:hAnsi="Calibri"/>
        </w:rPr>
      </w:pPr>
      <w:r>
        <w:rPr>
          <w:rFonts w:ascii="Calibri" w:hAnsi="Calibri"/>
        </w:rPr>
        <w:t>User selects Destination Folder (local folder on their computer)</w:t>
      </w:r>
    </w:p>
    <w:p>
      <w:pPr>
        <w:pStyle w:val="BodyText"/>
        <w:numPr>
          <w:ilvl w:val="0"/>
          <w:numId w:val="10"/>
        </w:numPr>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86400" cy="328358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209" t="-349" r="-209" b="-349"/>
                    <a:stretch>
                      <a:fillRect/>
                    </a:stretch>
                  </pic:blipFill>
                  <pic:spPr bwMode="auto">
                    <a:xfrm>
                      <a:off x="0" y="0"/>
                      <a:ext cx="5486400" cy="3283585"/>
                    </a:xfrm>
                    <a:prstGeom prst="rect">
                      <a:avLst/>
                    </a:prstGeom>
                    <a:noFill/>
                  </pic:spPr>
                </pic:pic>
              </a:graphicData>
            </a:graphic>
          </wp:anchor>
        </w:drawing>
      </w:r>
      <w:r>
        <w:rPr>
          <w:rFonts w:ascii="Calibri" w:hAnsi="Calibri"/>
        </w:rPr>
        <w:t xml:space="preserve">Click </w:t>
      </w:r>
      <w:r>
        <w:rPr>
          <w:rStyle w:val="Strong"/>
          <w:rFonts w:ascii="Calibri" w:hAnsi="Calibri"/>
        </w:rPr>
        <w:t>"Run Anonymization (DICOM + Clinical)"</w:t>
      </w:r>
      <w:r>
        <w:rPr>
          <w:rFonts w:ascii="Calibri" w:hAnsi="Calibri"/>
        </w:rPr>
        <w:t xml:space="preserve"> → fully client-side </w:t>
      </w:r>
    </w:p>
    <w:p>
      <w:pPr>
        <w:pStyle w:val="BodyText"/>
        <w:numPr>
          <w:ilvl w:val="0"/>
          <w:numId w:val="10"/>
        </w:numPr>
        <w:rPr>
          <w:rFonts w:ascii="Calibri" w:hAnsi="Calibri"/>
        </w:rPr>
      </w:pPr>
      <w:r>
        <w:rPr>
          <w:rFonts w:ascii="Calibri" w:hAnsi="Calibri"/>
        </w:rPr>
        <w:t xml:space="preserve">Progress bar + logs shown </w:t>
      </w:r>
    </w:p>
    <w:p>
      <w:pPr>
        <w:pStyle w:val="BodyText"/>
        <w:numPr>
          <w:ilvl w:val="0"/>
          <w:numId w:val="10"/>
        </w:numP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2370455"/>
            <wp:effectExtent l="0" t="0" r="0" b="0"/>
            <wp:wrapTopAndBottom/>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216" t="-500" r="-216" b="-500"/>
                    <a:stretch>
                      <a:fillRect/>
                    </a:stretch>
                  </pic:blipFill>
                  <pic:spPr bwMode="auto">
                    <a:xfrm>
                      <a:off x="0" y="0"/>
                      <a:ext cx="5486400" cy="2370455"/>
                    </a:xfrm>
                    <a:prstGeom prst="rect">
                      <a:avLst/>
                    </a:prstGeom>
                    <a:noFill/>
                  </pic:spPr>
                </pic:pic>
              </a:graphicData>
            </a:graphic>
          </wp:anchor>
        </w:drawing>
      </w:r>
      <w:r>
        <w:rPr>
          <w:rFonts w:ascii="Calibri" w:hAnsi="Calibri"/>
        </w:rPr>
        <w:t xml:space="preserve">Result: a new local folder is created/populated with </w:t>
      </w:r>
      <w:r>
        <w:rPr>
          <w:rStyle w:val="Strong"/>
          <w:rFonts w:ascii="Calibri" w:hAnsi="Calibri"/>
        </w:rPr>
        <w:t>fully anonymized DICOM files</w:t>
      </w:r>
      <w:r>
        <w:rPr>
          <w:rFonts w:ascii="Calibri" w:hAnsi="Calibri"/>
        </w:rPr>
        <w:t xml:space="preserve"> and (if provided) an anonymized clinical file </w:t>
      </w:r>
    </w:p>
    <w:p>
      <w:pPr>
        <w:pStyle w:val="Heading3"/>
        <w:rPr/>
      </w:pPr>
      <w:bookmarkStart w:id="6" w:name="__RefHeading___Toc3269_3529209179"/>
      <w:bookmarkEnd w:id="6"/>
      <w:r>
        <w:rPr>
          <w:rStyle w:val="Strong"/>
          <w:b/>
          <w:bCs/>
        </w:rPr>
        <w:t>Step 2 — Upload Anonymized Studies</w:t>
      </w:r>
    </w:p>
    <w:p>
      <w:pPr>
        <w:pStyle w:val="BodyText"/>
        <w:numPr>
          <w:ilvl w:val="0"/>
          <w:numId w:val="11"/>
        </w:numPr>
        <w:spacing w:before="0" w:after="0"/>
        <w:rPr/>
      </w:pPr>
      <w:r>
        <w:rPr>
          <w:rFonts w:ascii="Calibri" w:hAnsi="Calibri"/>
        </w:rPr>
        <w:t xml:space="preserve">User selects </w:t>
      </w:r>
      <w:r>
        <w:rPr>
          <w:rStyle w:val="Strong"/>
          <w:rFonts w:ascii="Calibri" w:hAnsi="Calibri"/>
        </w:rPr>
        <w:t>Target Archive</w:t>
      </w:r>
      <w:r>
        <w:rPr>
          <w:rFonts w:ascii="Calibri" w:hAnsi="Calibri"/>
        </w:rPr>
        <w:t xml:space="preserve"> on the platform </w:t>
      </w:r>
    </w:p>
    <w:p>
      <w:pPr>
        <w:pStyle w:val="BodyText"/>
        <w:spacing w:before="0" w:after="0"/>
        <w:ind w:left="720"/>
        <w:rPr>
          <w:rFonts w:ascii="Calibri" w:hAnsi="Calibri"/>
        </w:rPr>
      </w:pPr>
      <w:r>
        <w:rPr>
          <w:rFonts w:ascii="Calibri" w:hAnsi="Calibri"/>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486400" cy="2047240"/>
            <wp:effectExtent l="0" t="0" r="0" b="0"/>
            <wp:wrapTopAndBottom/>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321" t="-860" r="-321" b="-860"/>
                    <a:stretch>
                      <a:fillRect/>
                    </a:stretch>
                  </pic:blipFill>
                  <pic:spPr bwMode="auto">
                    <a:xfrm>
                      <a:off x="0" y="0"/>
                      <a:ext cx="5486400" cy="2047240"/>
                    </a:xfrm>
                    <a:prstGeom prst="rect">
                      <a:avLst/>
                    </a:prstGeom>
                    <a:noFill/>
                  </pic:spPr>
                </pic:pic>
              </a:graphicData>
            </a:graphic>
          </wp:anchor>
        </w:drawing>
      </w:r>
    </w:p>
    <w:p>
      <w:pPr>
        <w:pStyle w:val="BodyText"/>
        <w:numPr>
          <w:ilvl w:val="0"/>
          <w:numId w:val="11"/>
        </w:numPr>
        <w:spacing w:before="0" w:after="0"/>
        <w:rPr/>
      </w:pPr>
      <w:r>
        <w:rPr>
          <w:rFonts w:ascii="Calibri" w:hAnsi="Calibri"/>
        </w:rPr>
        <w:t xml:space="preserve">User points to the </w:t>
      </w:r>
      <w:r>
        <w:rPr>
          <w:rStyle w:val="Strong"/>
          <w:rFonts w:ascii="Calibri" w:hAnsi="Calibri"/>
        </w:rPr>
        <w:t>Anonymized Root</w:t>
      </w:r>
      <w:r>
        <w:rPr>
          <w:rFonts w:ascii="Calibri" w:hAnsi="Calibri"/>
        </w:rPr>
        <w:t xml:space="preserve"> folder (by default, the destination folder from Step 1 is auto-selected).</w:t>
      </w:r>
    </w:p>
    <w:p>
      <w:pPr>
        <w:pStyle w:val="BodyText"/>
        <w:spacing w:before="0" w:after="0"/>
        <w:ind w:left="720"/>
        <w:rPr>
          <w:rFonts w:ascii="Calibri" w:hAnsi="Calibri"/>
        </w:rPr>
      </w:pPr>
      <w:r>
        <w:rPr>
          <w:rFonts w:ascii="Calibri" w:hAnsi="Calibri"/>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486400" cy="4050665"/>
            <wp:effectExtent l="0" t="0" r="0" b="0"/>
            <wp:wrapTopAndBottom/>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208" t="-282" r="-208" b="-282"/>
                    <a:stretch>
                      <a:fillRect/>
                    </a:stretch>
                  </pic:blipFill>
                  <pic:spPr bwMode="auto">
                    <a:xfrm>
                      <a:off x="0" y="0"/>
                      <a:ext cx="5486400" cy="4050665"/>
                    </a:xfrm>
                    <a:prstGeom prst="rect">
                      <a:avLst/>
                    </a:prstGeom>
                    <a:noFill/>
                  </pic:spPr>
                </pic:pic>
              </a:graphicData>
            </a:graphic>
          </wp:anchor>
        </w:drawing>
      </w:r>
    </w:p>
    <w:p>
      <w:pPr>
        <w:pStyle w:val="BodyText"/>
        <w:numPr>
          <w:ilvl w:val="0"/>
          <w:numId w:val="11"/>
        </w:numPr>
        <w:spacing w:before="0" w:after="0"/>
        <w:rPr/>
      </w:pPr>
      <w:r>
        <w:rPr>
          <w:rFonts w:ascii="Calibri" w:hAnsi="Calibri"/>
        </w:rPr>
        <w:t xml:space="preserve">Click </w:t>
      </w:r>
      <w:r>
        <w:rPr>
          <w:rStyle w:val="Strong"/>
          <w:rFonts w:ascii="Calibri" w:hAnsi="Calibri"/>
        </w:rPr>
        <w:t>"Scan Studies"</w:t>
      </w:r>
      <w:r>
        <w:rPr>
          <w:rFonts w:ascii="Calibri" w:hAnsi="Calibri"/>
        </w:rPr>
        <w:t xml:space="preserve"> — the tool analyses the local anonymized folder structure. </w:t>
      </w:r>
    </w:p>
    <w:p>
      <w:pPr>
        <w:pStyle w:val="Normal"/>
        <w:numPr>
          <w:ilvl w:val="0"/>
          <w:numId w:val="11"/>
        </w:numPr>
        <w:spacing w:before="0" w:after="0"/>
        <w:rPr>
          <w:rFonts w:ascii="Calibri" w:hAnsi="Calibri"/>
        </w:rPr>
      </w:pPr>
      <w:r>
        <w:rPr>
          <w:rFonts w:ascii="Calibri" w:hAnsi="Calibri"/>
        </w:rPr>
        <w:t>A table appears showing each detected study and series with:</w:t>
      </w:r>
    </w:p>
    <w:p>
      <w:pPr>
        <w:pStyle w:val="BodyText"/>
        <w:numPr>
          <w:ilvl w:val="1"/>
          <w:numId w:val="12"/>
        </w:numPr>
        <w:spacing w:before="0" w:after="0"/>
        <w:rPr>
          <w:rFonts w:ascii="Calibri" w:hAnsi="Calibri"/>
        </w:rPr>
      </w:pPr>
      <w:r>
        <w:rPr>
          <w:rFonts w:ascii="Calibri" w:hAnsi="Calibri"/>
        </w:rPr>
        <w:t xml:space="preserve">Status (NEW or CONFLICT) </w:t>
      </w:r>
    </w:p>
    <w:p>
      <w:pPr>
        <w:pStyle w:val="BodyText"/>
        <w:numPr>
          <w:ilvl w:val="1"/>
          <w:numId w:val="12"/>
        </w:numPr>
        <w:spacing w:before="0" w:after="0"/>
        <w:rPr>
          <w:rFonts w:ascii="Calibri" w:hAnsi="Calibri"/>
        </w:rPr>
      </w:pPr>
      <w:r>
        <w:rPr>
          <w:rFonts w:ascii="Calibri" w:hAnsi="Calibri"/>
        </w:rPr>
        <w:t xml:space="preserve">Number of files and total size </w:t>
      </w:r>
    </w:p>
    <w:p>
      <w:pPr>
        <w:pStyle w:val="BodyText"/>
        <w:numPr>
          <w:ilvl w:val="1"/>
          <w:numId w:val="12"/>
        </w:numPr>
        <w:spacing w:before="0" w:after="0"/>
        <w:rPr>
          <w:rFonts w:ascii="Calibri" w:hAnsi="Calibri"/>
        </w:rPr>
      </w:pPr>
      <w:r>
        <w:rPr>
          <w:rFonts w:ascii="Calibri" w:hAnsi="Calibri"/>
        </w:rPr>
        <w:t xml:space="preserve">Selection checkbox </w:t>
      </w:r>
    </w:p>
    <w:p>
      <w:pPr>
        <w:pStyle w:val="BodyText"/>
        <w:numPr>
          <w:ilvl w:val="1"/>
          <w:numId w:val="12"/>
        </w:numPr>
        <w:rPr>
          <w:rFonts w:ascii="Calibri" w:hAnsi="Calibri"/>
        </w:rPr>
      </w:pPr>
      <w:r>
        <w:rPr>
          <w:rFonts w:ascii="Calibri" w:hAnsi="Calibri"/>
        </w:rPr>
        <w:t>Conflict policy option (Append / Overwrite / Skip)</w:t>
      </w:r>
    </w:p>
    <w:p>
      <w:pPr>
        <w:pStyle w:val="BodyText"/>
        <w:spacing w:before="0" w:after="0"/>
        <w:rPr>
          <w:rFonts w:ascii="Calibri" w:hAnsi="Calibri"/>
        </w:rPr>
      </w:pPr>
      <w:r>
        <w:rPr>
          <w:rFonts w:ascii="Calibri" w:hAnsi="Calibri"/>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486400" cy="4050665"/>
            <wp:effectExtent l="0" t="0" r="0" b="0"/>
            <wp:wrapTopAndBottom/>
            <wp:docPr id="6" name="Image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Copy 1" descr=""/>
                    <pic:cNvPicPr>
                      <a:picLocks noChangeAspect="1" noChangeArrowheads="1"/>
                    </pic:cNvPicPr>
                  </pic:nvPicPr>
                  <pic:blipFill>
                    <a:blip r:embed="rId7"/>
                    <a:srcRect l="-208" t="-282" r="-208" b="-282"/>
                    <a:stretch>
                      <a:fillRect/>
                    </a:stretch>
                  </pic:blipFill>
                  <pic:spPr bwMode="auto">
                    <a:xfrm>
                      <a:off x="0" y="0"/>
                      <a:ext cx="5486400" cy="4050665"/>
                    </a:xfrm>
                    <a:prstGeom prst="rect">
                      <a:avLst/>
                    </a:prstGeom>
                    <a:noFill/>
                  </pic:spPr>
                </pic:pic>
              </a:graphicData>
            </a:graphic>
          </wp:anchor>
        </w:drawing>
      </w:r>
    </w:p>
    <w:p>
      <w:pPr>
        <w:pStyle w:val="BodyText"/>
        <w:numPr>
          <w:ilvl w:val="0"/>
          <w:numId w:val="11"/>
        </w:numPr>
        <w:spacing w:before="0" w:after="0"/>
        <w:rPr>
          <w:rFonts w:ascii="Calibri" w:hAnsi="Calibri"/>
        </w:rPr>
      </w:pPr>
      <w:r>
        <w:rPr>
          <w:rFonts w:ascii="Calibri" w:hAnsi="Calibri"/>
        </w:rPr>
        <w:t>User reviews, resolves any conflicts, and selects items for upload.</w:t>
      </w:r>
    </w:p>
    <w:p>
      <w:pPr>
        <w:pStyle w:val="BodyText"/>
        <w:numPr>
          <w:ilvl w:val="0"/>
          <w:numId w:val="11"/>
        </w:numPr>
        <w:spacing w:before="0" w:after="0"/>
        <w:rPr>
          <w:rFonts w:ascii="Calibri" w:hAnsi="Calibri"/>
        </w:rPr>
      </w:pPr>
      <w:r>
        <w:rPr>
          <w:rFonts w:ascii="Calibri" w:hAnsi="Calibri"/>
        </w:rPr>
        <w:t xml:space="preserve">Click "Upload All" — only the selected anonymized series and clinical file (if applicable) are transmitted. </w:t>
      </w:r>
    </w:p>
    <w:p>
      <w:pPr>
        <w:pStyle w:val="BodyText"/>
        <w:spacing w:before="0" w:after="0"/>
        <w:ind w:left="720"/>
        <w:rPr>
          <w:rFonts w:ascii="Calibri" w:hAnsi="Calibri"/>
        </w:rPr>
      </w:pPr>
      <w:r>
        <w:rPr>
          <w:rFonts w:ascii="Calibri" w:hAnsi="Calibri"/>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486400" cy="2066290"/>
            <wp:effectExtent l="0" t="0" r="0" b="0"/>
            <wp:wrapTopAndBottom/>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rcRect l="-215" t="-570" r="-215" b="-570"/>
                    <a:stretch>
                      <a:fillRect/>
                    </a:stretch>
                  </pic:blipFill>
                  <pic:spPr bwMode="auto">
                    <a:xfrm>
                      <a:off x="0" y="0"/>
                      <a:ext cx="5486400" cy="2066290"/>
                    </a:xfrm>
                    <a:prstGeom prst="rect">
                      <a:avLst/>
                    </a:prstGeom>
                    <a:noFill/>
                  </pic:spPr>
                </pic:pic>
              </a:graphicData>
            </a:graphic>
          </wp:anchor>
        </w:drawing>
      </w:r>
    </w:p>
    <w:p>
      <w:pPr>
        <w:pStyle w:val="BodyText"/>
        <w:numPr>
          <w:ilvl w:val="0"/>
          <w:numId w:val="11"/>
        </w:numPr>
        <w:spacing w:before="0" w:after="0"/>
        <w:rPr>
          <w:rFonts w:ascii="Calibri" w:hAnsi="Calibri"/>
        </w:rPr>
      </w:pPr>
      <w:r>
        <w:rPr>
          <w:rFonts w:ascii="Calibri" w:hAnsi="Calibri"/>
        </w:rPr>
        <w:t>Upload progress and results are logged; the log is downloadable.</w:t>
      </w:r>
    </w:p>
    <w:p>
      <w:pPr>
        <w:pStyle w:val="BodyText"/>
        <w:spacing w:before="0" w:after="0"/>
        <w:rPr>
          <w:rFonts w:ascii="Calibri" w:hAnsi="Calibri"/>
        </w:rPr>
      </w:pPr>
      <w:r>
        <w:rPr>
          <w:rFonts w:ascii="Calibri" w:hAnsi="Calibri"/>
        </w:rPr>
      </w:r>
    </w:p>
    <w:p>
      <w:pPr>
        <w:pStyle w:val="Heading3"/>
        <w:rPr/>
      </w:pPr>
      <w:bookmarkStart w:id="7" w:name="__RefHeading___Toc3271_3529209179"/>
      <w:bookmarkEnd w:id="7"/>
      <w:r>
        <w:rPr>
          <w:rStyle w:val="Strong"/>
          <w:b/>
          <w:bCs/>
        </w:rPr>
        <w:t>Step 3 — Review and Visualize Uploaded Data</w:t>
      </w:r>
    </w:p>
    <w:p>
      <w:pPr>
        <w:pStyle w:val="BodyText"/>
        <w:numPr>
          <w:ilvl w:val="0"/>
          <w:numId w:val="15"/>
        </w:numPr>
        <w:spacing w:before="0" w:after="0"/>
        <w:rPr/>
      </w:pPr>
      <w:r>
        <w:rPr>
          <w:rFonts w:ascii="Calibri" w:hAnsi="Calibri"/>
        </w:rPr>
        <w:t xml:space="preserve">After successful upload (data encrypted in AWS S3 bucket), the user navigates to the selected </w:t>
      </w:r>
      <w:r>
        <w:rPr>
          <w:rStyle w:val="Strong"/>
          <w:rFonts w:ascii="Calibri" w:hAnsi="Calibri"/>
        </w:rPr>
        <w:t>Archive</w:t>
      </w:r>
      <w:r>
        <w:rPr>
          <w:rFonts w:ascii="Calibri" w:hAnsi="Calibri"/>
        </w:rPr>
        <w:t xml:space="preserve"> in the platform. </w:t>
      </w:r>
    </w:p>
    <w:p>
      <w:pPr>
        <w:pStyle w:val="BodyText"/>
        <w:numPr>
          <w:ilvl w:val="0"/>
          <w:numId w:val="26"/>
        </w:numPr>
        <w:tabs>
          <w:tab w:val="clear" w:pos="720"/>
          <w:tab w:val="left" w:pos="0" w:leader="none"/>
        </w:tabs>
        <w:spacing w:before="0" w:after="0"/>
        <w:rPr/>
      </w:pPr>
      <w:r>
        <w:rPr>
          <w:rFonts w:ascii="Calibri" w:hAnsi="Calibri"/>
        </w:rPr>
        <w:t xml:space="preserve">Uploaded items appear in the </w:t>
      </w:r>
      <w:r>
        <w:rPr>
          <w:rStyle w:val="Strong"/>
          <w:rFonts w:ascii="Calibri" w:hAnsi="Calibri"/>
        </w:rPr>
        <w:t>Archive Items</w:t>
      </w:r>
      <w:r>
        <w:rPr>
          <w:rFonts w:ascii="Calibri" w:hAnsi="Calibri"/>
        </w:rPr>
        <w:t xml:space="preserve"> list. </w:t>
      </w:r>
    </w:p>
    <w:p>
      <w:pPr>
        <w:pStyle w:val="BodyText"/>
        <w:spacing w:before="0" w:after="0"/>
        <w:rPr>
          <w:rFonts w:ascii="Calibri" w:hAnsi="Calibri"/>
        </w:rPr>
      </w:pPr>
      <w:r>
        <w:rPr>
          <w:rFonts w:ascii="Calibri" w:hAnsi="Calibri"/>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86400" cy="965200"/>
            <wp:effectExtent l="0" t="0" r="0" b="0"/>
            <wp:wrapTopAndBottom/>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rcRect l="-205" t="-1163" r="-205" b="-1163"/>
                    <a:stretch>
                      <a:fillRect/>
                    </a:stretch>
                  </pic:blipFill>
                  <pic:spPr bwMode="auto">
                    <a:xfrm>
                      <a:off x="0" y="0"/>
                      <a:ext cx="5486400" cy="965200"/>
                    </a:xfrm>
                    <a:prstGeom prst="rect">
                      <a:avLst/>
                    </a:prstGeom>
                    <a:noFill/>
                  </pic:spPr>
                </pic:pic>
              </a:graphicData>
            </a:graphic>
          </wp:anchor>
        </w:drawing>
      </w:r>
    </w:p>
    <w:p>
      <w:pPr>
        <w:pStyle w:val="BodyText"/>
        <w:numPr>
          <w:ilvl w:val="0"/>
          <w:numId w:val="27"/>
        </w:numPr>
        <w:tabs>
          <w:tab w:val="clear" w:pos="720"/>
          <w:tab w:val="left" w:pos="0" w:leader="none"/>
        </w:tabs>
        <w:spacing w:before="0" w:after="0"/>
        <w:rPr/>
      </w:pPr>
      <w:r>
        <w:rPr>
          <w:rFonts w:ascii="Calibri" w:hAnsi="Calibri"/>
        </w:rPr>
        <w:t xml:space="preserve">Clicking the </w:t>
      </w:r>
      <w:r>
        <w:rPr>
          <w:rStyle w:val="Strong"/>
          <w:rFonts w:ascii="Calibri" w:hAnsi="Calibri"/>
        </w:rPr>
        <w:t>eye icon</w:t>
      </w:r>
      <w:r>
        <w:rPr>
          <w:rFonts w:ascii="Calibri" w:hAnsi="Calibri"/>
        </w:rPr>
        <w:t xml:space="preserve"> (preview) on any item opens the integrated </w:t>
      </w:r>
      <w:r>
        <w:rPr>
          <w:rStyle w:val="Strong"/>
          <w:rFonts w:ascii="Calibri" w:hAnsi="Calibri"/>
        </w:rPr>
        <w:t>CuraMate DICOM Viewer</w:t>
      </w:r>
      <w:r>
        <w:rPr>
          <w:rFonts w:ascii="Calibri" w:hAnsi="Calibri"/>
        </w:rPr>
        <w:t xml:space="preserve">. </w:t>
      </w:r>
    </w:p>
    <w:p>
      <w:pPr>
        <w:pStyle w:val="BodyText"/>
        <w:numPr>
          <w:ilvl w:val="0"/>
          <w:numId w:val="28"/>
        </w:numPr>
        <w:tabs>
          <w:tab w:val="clear" w:pos="720"/>
          <w:tab w:val="left" w:pos="0" w:leader="none"/>
        </w:tabs>
        <w:spacing w:before="0" w:after="0"/>
        <w:rPr>
          <w:rFonts w:ascii="Calibri" w:hAnsi="Calibri"/>
        </w:rPr>
      </w:pPr>
      <w:r>
        <w:rPr>
          <w:rFonts w:ascii="Calibri" w:hAnsi="Calibri"/>
        </w:rPr>
        <w:t>Inside the viewer, users can:</w:t>
      </w:r>
    </w:p>
    <w:p>
      <w:pPr>
        <w:pStyle w:val="BodyText"/>
        <w:numPr>
          <w:ilvl w:val="1"/>
          <w:numId w:val="29"/>
        </w:numPr>
        <w:tabs>
          <w:tab w:val="clear" w:pos="720"/>
          <w:tab w:val="left" w:pos="0" w:leader="none"/>
        </w:tabs>
        <w:spacing w:before="0" w:after="0"/>
        <w:rPr>
          <w:rFonts w:ascii="Calibri" w:hAnsi="Calibri"/>
        </w:rPr>
      </w:pPr>
      <w:r>
        <w:rPr>
          <w:rFonts w:ascii="Calibri" w:hAnsi="Calibri"/>
        </w:rPr>
        <w:t xml:space="preserve">Browse series and individual slices </w:t>
      </w:r>
    </w:p>
    <w:p>
      <w:pPr>
        <w:pStyle w:val="BodyText"/>
        <w:numPr>
          <w:ilvl w:val="1"/>
          <w:numId w:val="30"/>
        </w:numPr>
        <w:tabs>
          <w:tab w:val="clear" w:pos="720"/>
          <w:tab w:val="left" w:pos="0" w:leader="none"/>
        </w:tabs>
        <w:spacing w:before="0" w:after="0"/>
        <w:rPr>
          <w:rFonts w:ascii="Calibri" w:hAnsi="Calibri"/>
        </w:rPr>
      </w:pPr>
      <w:r>
        <w:rPr>
          <w:rFonts w:ascii="Calibri" w:hAnsi="Calibri"/>
        </w:rPr>
        <w:t xml:space="preserve">Adjust window/level, zoom, pan </w:t>
      </w:r>
    </w:p>
    <w:p>
      <w:pPr>
        <w:pStyle w:val="BodyText"/>
        <w:numPr>
          <w:ilvl w:val="1"/>
          <w:numId w:val="31"/>
        </w:numPr>
        <w:tabs>
          <w:tab w:val="clear" w:pos="720"/>
          <w:tab w:val="left" w:pos="0" w:leader="none"/>
        </w:tabs>
        <w:spacing w:before="0" w:after="0"/>
        <w:rPr>
          <w:rFonts w:ascii="Calibri" w:hAnsi="Calibri"/>
        </w:rPr>
      </w:pPr>
      <w:r>
        <w:rPr>
          <w:rFonts w:ascii="Calibri" w:hAnsi="Calibri"/>
        </w:rPr>
        <w:t xml:space="preserve">Use measurement tools </w:t>
      </w:r>
    </w:p>
    <w:p>
      <w:pPr>
        <w:pStyle w:val="BodyText"/>
        <w:numPr>
          <w:ilvl w:val="1"/>
          <w:numId w:val="32"/>
        </w:numPr>
        <w:tabs>
          <w:tab w:val="clear" w:pos="720"/>
          <w:tab w:val="left" w:pos="0" w:leader="none"/>
        </w:tabs>
        <w:spacing w:before="0" w:after="0"/>
        <w:rPr>
          <w:rFonts w:ascii="Calibri" w:hAnsi="Calibri"/>
        </w:rPr>
      </w:pPr>
      <w:r>
        <w:rPr>
          <w:rFonts w:ascii="Calibri" w:hAnsi="Calibri"/>
        </w:rPr>
        <w:t xml:space="preserve">View anonymized DICOM header metadata (for verification) </w:t>
      </w:r>
    </w:p>
    <w:p>
      <w:pPr>
        <w:pStyle w:val="BodyText"/>
        <w:numPr>
          <w:ilvl w:val="1"/>
          <w:numId w:val="33"/>
        </w:numPr>
        <w:tabs>
          <w:tab w:val="clear" w:pos="720"/>
          <w:tab w:val="left" w:pos="0" w:leader="none"/>
        </w:tabs>
        <w:rPr>
          <w:rFonts w:ascii="Calibri" w:hAnsi="Calibri"/>
        </w:rPr>
      </w:pPr>
      <w:r>
        <w:rPr>
          <w:rFonts w:ascii="Calibri" w:hAnsi="Calibri"/>
        </w:rPr>
        <w:t xml:space="preserve">Access linked clinical data (if uploaded) </w:t>
      </w:r>
    </w:p>
    <w:p>
      <w:pPr>
        <w:pStyle w:val="BodyText"/>
        <w:tabs>
          <w:tab w:val="clear" w:pos="720"/>
          <w:tab w:val="left" w:pos="0" w:leader="none"/>
        </w:tabs>
        <w:rPr>
          <w:rFonts w:ascii="Calibri" w:hAnsi="Calibri"/>
        </w:rPr>
      </w:pPr>
      <w:r>
        <w:rPr>
          <w:rFonts w:ascii="Calibri" w:hAnsi="Calibri"/>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486400" cy="3034665"/>
            <wp:effectExtent l="0" t="0" r="0" b="0"/>
            <wp:wrapSquare wrapText="largest"/>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5486400" cy="3034665"/>
                    </a:xfrm>
                    <a:prstGeom prst="rect">
                      <a:avLst/>
                    </a:prstGeom>
                    <a:noFill/>
                  </pic:spPr>
                </pic:pic>
              </a:graphicData>
            </a:graphic>
          </wp:anchor>
        </w:drawing>
      </w:r>
    </w:p>
    <w:p>
      <w:pPr>
        <w:pStyle w:val="BodyText"/>
        <w:rPr>
          <w:rFonts w:ascii="Calibri" w:hAnsi="Calibri"/>
        </w:rPr>
      </w:pPr>
      <w:r>
        <w:rPr>
          <w:rFonts w:ascii="Calibri" w:hAnsi="Calibri"/>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486400" cy="3030855"/>
            <wp:effectExtent l="0" t="0" r="0" b="0"/>
            <wp:wrapSquare wrapText="largest"/>
            <wp:docPr id="1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
                    <pic:cNvPicPr>
                      <a:picLocks noChangeAspect="1" noChangeArrowheads="1"/>
                    </pic:cNvPicPr>
                  </pic:nvPicPr>
                  <pic:blipFill>
                    <a:blip r:embed="rId11"/>
                    <a:stretch>
                      <a:fillRect/>
                    </a:stretch>
                  </pic:blipFill>
                  <pic:spPr bwMode="auto">
                    <a:xfrm>
                      <a:off x="0" y="0"/>
                      <a:ext cx="5486400" cy="3030855"/>
                    </a:xfrm>
                    <a:prstGeom prst="rect">
                      <a:avLst/>
                    </a:prstGeom>
                    <a:noFill/>
                  </pic:spPr>
                </pic:pic>
              </a:graphicData>
            </a:graphic>
          </wp:anchor>
        </w:drawing>
      </w:r>
    </w:p>
    <w:p>
      <w:pPr>
        <w:pStyle w:val="BodyText"/>
        <w:rPr>
          <w:rFonts w:ascii="Calibri" w:hAnsi="Calibri"/>
        </w:rPr>
      </w:pPr>
      <w:r>
        <w:rPr>
          <w:rFonts w:ascii="Calibri" w:hAnsi="Calibri"/>
        </w:rPr>
        <w:t>This step allows institutes and authorized reviewers to verify data quality, completeness, and correct anonymization before further analysis or AI processing.</w:t>
      </w:r>
    </w:p>
    <w:p>
      <w:pPr>
        <w:pStyle w:val="BodyText"/>
        <w:rPr/>
      </w:pPr>
      <w:r>
        <w:rPr>
          <w:rStyle w:val="Strong"/>
          <w:rFonts w:ascii="Calibri" w:hAnsi="Calibri"/>
        </w:rPr>
        <w:t>Critical Privacy Guarantee:</w:t>
      </w:r>
      <w:r>
        <w:rPr>
          <w:rFonts w:ascii="Calibri" w:hAnsi="Calibri"/>
        </w:rPr>
        <w:t xml:space="preserve"> Identifiable patient data never leaves the institute until it is fully anonymized and explicitly selected for upload. All subsequent viewing occurs on anonymized data only.</w:t>
      </w:r>
    </w:p>
    <w:p>
      <w:pPr>
        <w:pStyle w:val="Heading2"/>
        <w:numPr>
          <w:ilvl w:val="0"/>
          <w:numId w:val="9"/>
        </w:numPr>
        <w:ind w:hanging="360" w:left="360"/>
        <w:rPr>
          <w:rFonts w:ascii="Calibri" w:hAnsi="Calibri"/>
        </w:rPr>
      </w:pPr>
      <w:bookmarkStart w:id="8" w:name="__RefHeading___Toc2545_1635066637"/>
      <w:bookmarkEnd w:id="8"/>
      <w:r>
        <w:rPr/>
        <w:t>Anonymizer &amp; Upload Interface</w:t>
      </w:r>
    </w:p>
    <w:p>
      <w:pPr>
        <w:pStyle w:val="BodyText"/>
        <w:rPr>
          <w:rFonts w:ascii="Calibri" w:hAnsi="Calibri"/>
        </w:rPr>
      </w:pPr>
      <w:r>
        <w:rPr>
          <w:rFonts w:ascii="Calibri" w:hAnsi="Calibri"/>
        </w:rPr>
        <w:t>The anonymizer runs entirely in the web browser using JavaScript libraries (dcmjs, JSZip, SheetJS)  to anonymize DICOM files inside the browser. The user selects a folder, and the tool reads the files and removes or replaces patient information. Anonymized files are saved to a new folder with '_anonymized' added to the name. No data is sent to the server during the anonymization phase, and no patient information leaves the user’s computer until explicitly uploaded in Step 2. The browser-based anonymizer does not persist temporary files, caches, or intermediate datasets beyond the user-selected destination folder.</w:t>
      </w:r>
    </w:p>
    <w:p>
      <w:pPr>
        <w:pStyle w:val="BodyText"/>
        <w:spacing w:before="0" w:after="200"/>
        <w:rPr>
          <w:rFonts w:ascii="Calibri" w:hAnsi="Calibri"/>
        </w:rPr>
      </w:pPr>
      <w:r>
        <w:rPr>
          <w:rFonts w:ascii="Calibri" w:hAnsi="Calibri"/>
        </w:rPr>
        <w:t>The interface is divided into two distinct panels that correspond to the two phases of the workflow.</w:t>
      </w:r>
    </w:p>
    <w:p>
      <w:pPr>
        <w:pStyle w:val="BodyText"/>
        <w:spacing w:before="0" w:after="200"/>
        <w:rPr/>
      </w:pPr>
      <w:r>
        <w:rPr>
          <w:rStyle w:val="Strong"/>
          <w:rFonts w:ascii="Calibri" w:hAnsi="Calibri"/>
        </w:rPr>
        <w:t>Step 1 Panel – Local Anonymization</w:t>
      </w:r>
    </w:p>
    <w:p>
      <w:pPr>
        <w:pStyle w:val="BodyText"/>
        <w:numPr>
          <w:ilvl w:val="0"/>
          <w:numId w:val="13"/>
        </w:numPr>
        <w:tabs>
          <w:tab w:val="clear" w:pos="720"/>
          <w:tab w:val="left" w:pos="0" w:leader="none"/>
        </w:tabs>
        <w:spacing w:before="0" w:after="0"/>
        <w:rPr>
          <w:rFonts w:ascii="Calibri" w:hAnsi="Calibri"/>
        </w:rPr>
      </w:pPr>
      <w:r>
        <w:rPr>
          <w:rFonts w:ascii="Calibri" w:hAnsi="Calibri"/>
        </w:rPr>
        <w:t xml:space="preserve">Anonymization profile selector (Light-touch, Balanced </w:t>
      </w:r>
      <w:r>
        <w:rPr>
          <w:rFonts w:ascii="Calibri" w:hAnsi="Calibri"/>
          <w:b/>
          <w:bCs/>
        </w:rPr>
        <w:t>(recommended)</w:t>
      </w:r>
      <w:r>
        <w:rPr>
          <w:rFonts w:ascii="Calibri" w:hAnsi="Calibri"/>
        </w:rPr>
        <w:t xml:space="preserve">, Max-safe) with a link to view the current rules in JSON format.  The selected profile decides how many fields are removed or hashed in both the DICOM headers and the related clinical data. </w:t>
      </w:r>
    </w:p>
    <w:p>
      <w:pPr>
        <w:pStyle w:val="BodyText"/>
        <w:numPr>
          <w:ilvl w:val="0"/>
          <w:numId w:val="13"/>
        </w:numPr>
        <w:tabs>
          <w:tab w:val="clear" w:pos="720"/>
          <w:tab w:val="left" w:pos="0" w:leader="none"/>
        </w:tabs>
        <w:spacing w:before="0" w:after="0"/>
        <w:rPr>
          <w:rFonts w:ascii="Calibri" w:hAnsi="Calibri"/>
        </w:rPr>
      </w:pPr>
      <w:r>
        <w:rPr>
          <w:rFonts w:ascii="Calibri" w:hAnsi="Calibri"/>
        </w:rPr>
        <w:t xml:space="preserve">Source DICOM folder picker (full PACS export). </w:t>
      </w:r>
    </w:p>
    <w:p>
      <w:pPr>
        <w:pStyle w:val="BodyText"/>
        <w:numPr>
          <w:ilvl w:val="0"/>
          <w:numId w:val="13"/>
        </w:numPr>
        <w:tabs>
          <w:tab w:val="clear" w:pos="720"/>
          <w:tab w:val="left" w:pos="0" w:leader="none"/>
        </w:tabs>
        <w:spacing w:before="0" w:after="0"/>
        <w:rPr>
          <w:rFonts w:ascii="Calibri" w:hAnsi="Calibri"/>
        </w:rPr>
      </w:pPr>
      <w:r>
        <w:rPr>
          <w:rFonts w:ascii="Calibri" w:hAnsi="Calibri"/>
        </w:rPr>
        <w:t xml:space="preserve">Optional clinical data file picker (.xlsx or .json). </w:t>
      </w:r>
    </w:p>
    <w:p>
      <w:pPr>
        <w:pStyle w:val="BodyText"/>
        <w:numPr>
          <w:ilvl w:val="0"/>
          <w:numId w:val="13"/>
        </w:numPr>
        <w:tabs>
          <w:tab w:val="clear" w:pos="720"/>
          <w:tab w:val="left" w:pos="0" w:leader="none"/>
        </w:tabs>
        <w:spacing w:before="0" w:after="0"/>
        <w:rPr>
          <w:rFonts w:ascii="Calibri" w:hAnsi="Calibri"/>
        </w:rPr>
      </w:pPr>
      <w:r>
        <w:rPr>
          <w:rFonts w:ascii="Calibri" w:hAnsi="Calibri"/>
        </w:rPr>
        <w:t xml:space="preserve">Destination folder selector (local folder on the user’s computer). </w:t>
      </w:r>
    </w:p>
    <w:p>
      <w:pPr>
        <w:pStyle w:val="BodyText"/>
        <w:numPr>
          <w:ilvl w:val="0"/>
          <w:numId w:val="13"/>
        </w:numPr>
        <w:tabs>
          <w:tab w:val="clear" w:pos="720"/>
          <w:tab w:val="left" w:pos="0" w:leader="none"/>
        </w:tabs>
        <w:spacing w:before="0" w:after="0"/>
        <w:rPr>
          <w:rFonts w:ascii="Calibri" w:hAnsi="Calibri"/>
        </w:rPr>
      </w:pPr>
      <w:r>
        <w:rPr>
          <w:rFonts w:ascii="Calibri" w:hAnsi="Calibri"/>
        </w:rPr>
        <w:t>“</w:t>
      </w:r>
      <w:r>
        <w:rPr>
          <w:rFonts w:ascii="Calibri" w:hAnsi="Calibri"/>
        </w:rPr>
        <w:t xml:space="preserve">Run Anonymization (DICOM + Clinical)” button. </w:t>
      </w:r>
    </w:p>
    <w:p>
      <w:pPr>
        <w:pStyle w:val="BodyText"/>
        <w:numPr>
          <w:ilvl w:val="0"/>
          <w:numId w:val="13"/>
        </w:numPr>
        <w:tabs>
          <w:tab w:val="clear" w:pos="720"/>
          <w:tab w:val="left" w:pos="0" w:leader="none"/>
        </w:tabs>
        <w:spacing w:before="0" w:after="0"/>
        <w:rPr>
          <w:rFonts w:ascii="Calibri" w:hAnsi="Calibri"/>
        </w:rPr>
      </w:pPr>
      <w:r>
        <w:rPr>
          <w:rFonts w:ascii="Calibri" w:hAnsi="Calibri"/>
        </w:rPr>
        <w:t xml:space="preserve">Live progress bar and detailed status logs. </w:t>
      </w:r>
    </w:p>
    <w:p>
      <w:pPr>
        <w:pStyle w:val="BodyText"/>
        <w:numPr>
          <w:ilvl w:val="0"/>
          <w:numId w:val="13"/>
        </w:numPr>
        <w:tabs>
          <w:tab w:val="clear" w:pos="720"/>
          <w:tab w:val="left" w:pos="0" w:leader="none"/>
        </w:tabs>
        <w:rPr>
          <w:rFonts w:ascii="Calibri" w:hAnsi="Calibri"/>
        </w:rPr>
      </w:pPr>
      <w:r>
        <w:rPr>
          <w:rFonts w:ascii="Calibri" w:hAnsi="Calibri"/>
        </w:rPr>
        <w:t xml:space="preserve">Downloadable anonymization log (.txt). </w:t>
      </w:r>
    </w:p>
    <w:p>
      <w:pPr>
        <w:pStyle w:val="BodyText"/>
        <w:spacing w:before="0" w:after="200"/>
        <w:rPr>
          <w:rFonts w:ascii="Calibri" w:hAnsi="Calibri"/>
        </w:rPr>
      </w:pPr>
      <w:r>
        <w:rPr>
          <w:rFonts w:ascii="Calibri" w:hAnsi="Calibri"/>
        </w:rPr>
        <w:t>When the user clicks “Run Anonymization”, the tool reads the selected DICOM files and clinical data, applies the chosen profile’s rules (removing or hashing identifiers in DICOM headers and matching Excel columns/JSON fields), and writes the fully anonymized files to the chosen destination folder.</w:t>
      </w:r>
    </w:p>
    <w:p>
      <w:pPr>
        <w:pStyle w:val="BodyText"/>
        <w:spacing w:before="0" w:after="200"/>
        <w:rPr/>
      </w:pPr>
      <w:r>
        <w:rPr>
          <w:rStyle w:val="Strong"/>
          <w:rFonts w:ascii="Calibri" w:hAnsi="Calibri"/>
        </w:rPr>
        <w:t>Step 2 Panel – Upload of Anonymized Studies</w:t>
      </w:r>
    </w:p>
    <w:p>
      <w:pPr>
        <w:pStyle w:val="BodyText"/>
        <w:numPr>
          <w:ilvl w:val="0"/>
          <w:numId w:val="14"/>
        </w:numPr>
        <w:tabs>
          <w:tab w:val="clear" w:pos="720"/>
          <w:tab w:val="left" w:pos="0" w:leader="none"/>
        </w:tabs>
        <w:spacing w:before="0" w:after="0"/>
        <w:rPr>
          <w:rFonts w:ascii="Calibri" w:hAnsi="Calibri"/>
        </w:rPr>
      </w:pPr>
      <w:r>
        <w:rPr>
          <w:rFonts w:ascii="Calibri" w:hAnsi="Calibri"/>
        </w:rPr>
        <w:t xml:space="preserve">Target archive dropdown. </w:t>
      </w:r>
    </w:p>
    <w:p>
      <w:pPr>
        <w:pStyle w:val="BodyText"/>
        <w:numPr>
          <w:ilvl w:val="0"/>
          <w:numId w:val="14"/>
        </w:numPr>
        <w:tabs>
          <w:tab w:val="clear" w:pos="720"/>
          <w:tab w:val="left" w:pos="0" w:leader="none"/>
        </w:tabs>
        <w:spacing w:before="0" w:after="0"/>
        <w:rPr>
          <w:rFonts w:ascii="Calibri" w:hAnsi="Calibri"/>
        </w:rPr>
      </w:pPr>
      <w:r>
        <w:rPr>
          <w:rFonts w:ascii="Calibri" w:hAnsi="Calibri"/>
        </w:rPr>
        <w:t xml:space="preserve">Anonymized root folder selector (points to the destination folder created in Step 1). </w:t>
      </w:r>
    </w:p>
    <w:p>
      <w:pPr>
        <w:pStyle w:val="BodyText"/>
        <w:numPr>
          <w:ilvl w:val="0"/>
          <w:numId w:val="14"/>
        </w:numPr>
        <w:tabs>
          <w:tab w:val="clear" w:pos="720"/>
          <w:tab w:val="left" w:pos="0" w:leader="none"/>
        </w:tabs>
        <w:spacing w:before="0" w:after="0"/>
        <w:rPr>
          <w:rFonts w:ascii="Calibri" w:hAnsi="Calibri"/>
        </w:rPr>
      </w:pPr>
      <w:r>
        <w:rPr>
          <w:rFonts w:ascii="Calibri" w:hAnsi="Calibri"/>
        </w:rPr>
        <w:t>“</w:t>
      </w:r>
      <w:r>
        <w:rPr>
          <w:rFonts w:ascii="Calibri" w:hAnsi="Calibri"/>
        </w:rPr>
        <w:t xml:space="preserve">Scan Studies” button. </w:t>
      </w:r>
    </w:p>
    <w:p>
      <w:pPr>
        <w:pStyle w:val="BodyText"/>
        <w:numPr>
          <w:ilvl w:val="0"/>
          <w:numId w:val="14"/>
        </w:numPr>
        <w:tabs>
          <w:tab w:val="clear" w:pos="720"/>
          <w:tab w:val="left" w:pos="0" w:leader="none"/>
        </w:tabs>
        <w:spacing w:before="0" w:after="0"/>
        <w:rPr>
          <w:rFonts w:ascii="Calibri" w:hAnsi="Calibri"/>
        </w:rPr>
      </w:pPr>
      <w:r>
        <w:rPr>
          <w:rFonts w:ascii="Calibri" w:hAnsi="Calibri"/>
        </w:rPr>
        <w:t>Interactive table showing detected studies and series with:</w:t>
      </w:r>
    </w:p>
    <w:p>
      <w:pPr>
        <w:pStyle w:val="BodyText"/>
        <w:numPr>
          <w:ilvl w:val="1"/>
          <w:numId w:val="14"/>
        </w:numPr>
        <w:tabs>
          <w:tab w:val="clear" w:pos="720"/>
          <w:tab w:val="left" w:pos="0" w:leader="none"/>
        </w:tabs>
        <w:spacing w:before="0" w:after="0"/>
        <w:rPr>
          <w:rFonts w:ascii="Calibri" w:hAnsi="Calibri"/>
        </w:rPr>
      </w:pPr>
      <w:r>
        <w:rPr>
          <w:rFonts w:ascii="Calibri" w:hAnsi="Calibri"/>
        </w:rPr>
        <w:t xml:space="preserve">Status (NEW or CONFLICT) </w:t>
      </w:r>
    </w:p>
    <w:p>
      <w:pPr>
        <w:pStyle w:val="BodyText"/>
        <w:numPr>
          <w:ilvl w:val="1"/>
          <w:numId w:val="14"/>
        </w:numPr>
        <w:tabs>
          <w:tab w:val="clear" w:pos="720"/>
          <w:tab w:val="left" w:pos="0" w:leader="none"/>
        </w:tabs>
        <w:spacing w:before="0" w:after="0"/>
        <w:rPr>
          <w:rFonts w:ascii="Calibri" w:hAnsi="Calibri"/>
        </w:rPr>
      </w:pPr>
      <w:r>
        <w:rPr>
          <w:rFonts w:ascii="Calibri" w:hAnsi="Calibri"/>
        </w:rPr>
        <w:t xml:space="preserve">Number of files and total size </w:t>
      </w:r>
    </w:p>
    <w:p>
      <w:pPr>
        <w:pStyle w:val="BodyText"/>
        <w:numPr>
          <w:ilvl w:val="1"/>
          <w:numId w:val="14"/>
        </w:numPr>
        <w:tabs>
          <w:tab w:val="clear" w:pos="720"/>
          <w:tab w:val="left" w:pos="0" w:leader="none"/>
        </w:tabs>
        <w:spacing w:before="0" w:after="0"/>
        <w:rPr>
          <w:rFonts w:ascii="Calibri" w:hAnsi="Calibri"/>
        </w:rPr>
      </w:pPr>
      <w:r>
        <w:rPr>
          <w:rFonts w:ascii="Calibri" w:hAnsi="Calibri"/>
        </w:rPr>
        <w:t xml:space="preserve">Selection checkbox </w:t>
      </w:r>
    </w:p>
    <w:p>
      <w:pPr>
        <w:pStyle w:val="BodyText"/>
        <w:numPr>
          <w:ilvl w:val="1"/>
          <w:numId w:val="14"/>
        </w:numPr>
        <w:tabs>
          <w:tab w:val="clear" w:pos="720"/>
          <w:tab w:val="left" w:pos="0" w:leader="none"/>
        </w:tabs>
        <w:spacing w:before="0" w:after="0"/>
        <w:rPr>
          <w:rFonts w:ascii="Calibri" w:hAnsi="Calibri"/>
        </w:rPr>
      </w:pPr>
      <w:r>
        <w:rPr>
          <w:rFonts w:ascii="Calibri" w:hAnsi="Calibri"/>
        </w:rPr>
        <w:t xml:space="preserve">Conflict policy (Append / Overwrite / Skip) </w:t>
      </w:r>
    </w:p>
    <w:p>
      <w:pPr>
        <w:pStyle w:val="BodyText"/>
        <w:numPr>
          <w:ilvl w:val="0"/>
          <w:numId w:val="14"/>
        </w:numPr>
        <w:tabs>
          <w:tab w:val="clear" w:pos="720"/>
          <w:tab w:val="left" w:pos="0" w:leader="none"/>
        </w:tabs>
        <w:spacing w:before="0" w:after="0"/>
        <w:rPr>
          <w:rFonts w:ascii="Calibri" w:hAnsi="Calibri"/>
        </w:rPr>
      </w:pPr>
      <w:r>
        <w:rPr>
          <w:rFonts w:ascii="Calibri" w:hAnsi="Calibri"/>
        </w:rPr>
        <w:t xml:space="preserve">Bulk tools for selection and conflict policy application. </w:t>
      </w:r>
    </w:p>
    <w:p>
      <w:pPr>
        <w:pStyle w:val="BodyText"/>
        <w:numPr>
          <w:ilvl w:val="0"/>
          <w:numId w:val="14"/>
        </w:numPr>
        <w:tabs>
          <w:tab w:val="clear" w:pos="720"/>
          <w:tab w:val="left" w:pos="0" w:leader="none"/>
        </w:tabs>
        <w:spacing w:before="0" w:after="0"/>
        <w:rPr>
          <w:rFonts w:ascii="Calibri" w:hAnsi="Calibri"/>
        </w:rPr>
      </w:pPr>
      <w:r>
        <w:rPr>
          <w:rFonts w:ascii="Calibri" w:hAnsi="Calibri"/>
        </w:rPr>
        <w:t>“</w:t>
      </w:r>
      <w:r>
        <w:rPr>
          <w:rFonts w:ascii="Calibri" w:hAnsi="Calibri"/>
        </w:rPr>
        <w:t xml:space="preserve">Upload All” button. </w:t>
      </w:r>
    </w:p>
    <w:p>
      <w:pPr>
        <w:pStyle w:val="BodyText"/>
        <w:numPr>
          <w:ilvl w:val="0"/>
          <w:numId w:val="14"/>
        </w:numPr>
        <w:tabs>
          <w:tab w:val="clear" w:pos="720"/>
          <w:tab w:val="left" w:pos="0" w:leader="none"/>
        </w:tabs>
        <w:rPr>
          <w:rFonts w:ascii="Calibri" w:hAnsi="Calibri"/>
        </w:rPr>
      </w:pPr>
      <w:r>
        <w:rPr>
          <w:rFonts w:ascii="Calibri" w:hAnsi="Calibri"/>
        </w:rPr>
        <w:t xml:space="preserve">Upload progress log (downloadable). </w:t>
      </w:r>
    </w:p>
    <w:p>
      <w:pPr>
        <w:pStyle w:val="BodyText"/>
        <w:spacing w:before="0" w:after="200"/>
        <w:rPr>
          <w:rFonts w:ascii="Calibri" w:hAnsi="Calibri"/>
        </w:rPr>
      </w:pPr>
      <w:r>
        <w:rPr>
          <w:rFonts w:ascii="Calibri" w:hAnsi="Calibri"/>
        </w:rPr>
        <w:t>Only after the user explicitly selects items and clicks “Upload All” in Step 2 is any data transmitted to the platform.</w:t>
      </w:r>
    </w:p>
    <w:p>
      <w:pPr>
        <w:pStyle w:val="BodyText"/>
        <w:spacing w:before="0" w:after="200"/>
        <w:rPr>
          <w:rFonts w:ascii="Calibri" w:hAnsi="Calibri"/>
        </w:rPr>
      </w:pPr>
      <w:r>
        <w:rPr>
          <w:rFonts w:ascii="Calibri" w:hAnsi="Calibri"/>
        </w:rPr>
        <w:t>This clear separation ensures complete user control and eliminates any risk of identifiable data being sent inadvertently.</w:t>
      </w:r>
    </w:p>
    <w:p>
      <w:pPr>
        <w:pStyle w:val="Normal"/>
        <w:rPr>
          <w:rFonts w:ascii="Calibri" w:hAnsi="Calibri"/>
        </w:rPr>
      </w:pPr>
      <w:r>
        <w:rPr>
          <w:rFonts w:ascii="Calibri" w:hAnsi="Calibri"/>
        </w:rPr>
      </w:r>
    </w:p>
    <w:p>
      <w:pPr>
        <w:pStyle w:val="Normal"/>
        <w:rPr>
          <w:rFonts w:ascii="Calibri" w:hAnsi="Calibri"/>
        </w:rPr>
      </w:pPr>
      <w:r>
        <w:rPr>
          <w:rFonts w:ascii="Calibri" w:hAnsi="Calibri"/>
        </w:rPr>
        <w:drawing>
          <wp:anchor behindDoc="0" distT="0" distB="0" distL="0" distR="0" simplePos="0" locked="0" layoutInCell="0" allowOverlap="1" relativeHeight="5">
            <wp:simplePos x="0" y="0"/>
            <wp:positionH relativeFrom="column">
              <wp:posOffset>5715</wp:posOffset>
            </wp:positionH>
            <wp:positionV relativeFrom="paragraph">
              <wp:posOffset>20320</wp:posOffset>
            </wp:positionV>
            <wp:extent cx="5486400" cy="5953760"/>
            <wp:effectExtent l="0" t="0" r="0" b="0"/>
            <wp:wrapTopAndBottom/>
            <wp:docPr id="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2"/>
                    <a:srcRect l="-278" t="-256" r="-278" b="-256"/>
                    <a:stretch>
                      <a:fillRect/>
                    </a:stretch>
                  </pic:blipFill>
                  <pic:spPr bwMode="auto">
                    <a:xfrm>
                      <a:off x="0" y="0"/>
                      <a:ext cx="5486400" cy="5953760"/>
                    </a:xfrm>
                    <a:prstGeom prst="rect">
                      <a:avLst/>
                    </a:prstGeom>
                    <a:noFill/>
                  </pic:spPr>
                </pic:pic>
              </a:graphicData>
            </a:graphic>
          </wp:anchor>
        </w:drawing>
      </w:r>
    </w:p>
    <w:p>
      <w:pPr>
        <w:pStyle w:val="Heading2"/>
        <w:numPr>
          <w:ilvl w:val="0"/>
          <w:numId w:val="9"/>
        </w:numPr>
        <w:ind w:hanging="360" w:left="360"/>
        <w:rPr/>
      </w:pPr>
      <w:bookmarkStart w:id="9" w:name="__RefHeading___Toc3273_3529209179"/>
      <w:bookmarkEnd w:id="9"/>
      <w:r>
        <w:rPr>
          <w:rStyle w:val="Strong"/>
          <w:b/>
          <w:bCs/>
        </w:rPr>
        <w:t>Configuration and Profiles</w:t>
      </w:r>
    </w:p>
    <w:p>
      <w:pPr>
        <w:pStyle w:val="BodyText"/>
        <w:spacing w:before="0" w:after="200"/>
        <w:rPr>
          <w:rFonts w:ascii="Calibri" w:hAnsi="Calibri"/>
        </w:rPr>
      </w:pPr>
      <w:r>
        <w:rPr>
          <w:rFonts w:ascii="Calibri" w:hAnsi="Calibri"/>
        </w:rPr>
        <w:t>Anonymization rules are defined in three JSON-based profiles: Light-touch, Balanced (recommended), and Max-safe. These profiles are loaded dynamically from the platform and apply consistent one-way cryptographic hashing (SHA-256-based) to generate non-reversible pseudonymous identifiers, with no capability for reverse lookup or re-identification on the platform.</w:t>
      </w:r>
    </w:p>
    <w:tbl>
      <w:tblPr>
        <w:tblW w:w="8640" w:type="dxa"/>
        <w:jc w:val="left"/>
        <w:tblInd w:w="-28" w:type="dxa"/>
        <w:tblLayout w:type="fixed"/>
        <w:tblCellMar>
          <w:top w:w="28" w:type="dxa"/>
          <w:left w:w="28" w:type="dxa"/>
          <w:bottom w:w="28" w:type="dxa"/>
          <w:right w:w="28" w:type="dxa"/>
        </w:tblCellMar>
        <w:tblLook w:firstRow="1" w:noVBand="1" w:lastRow="0" w:firstColumn="1" w:lastColumn="0" w:noHBand="0" w:val="04a0"/>
      </w:tblPr>
      <w:tblGrid>
        <w:gridCol w:w="1314"/>
        <w:gridCol w:w="1853"/>
        <w:gridCol w:w="5473"/>
      </w:tblGrid>
      <w:tr>
        <w:trPr>
          <w:tblHeader w:val="true"/>
          <w:trHeight w:val="390" w:hRule="atLeast"/>
        </w:trPr>
        <w:tc>
          <w:tcPr>
            <w:tcW w:w="1314" w:type="dxa"/>
            <w:tcBorders/>
            <w:shd w:color="auto" w:fill="DDDDDD" w:val="clear"/>
            <w:vAlign w:val="center"/>
          </w:tcPr>
          <w:p>
            <w:pPr>
              <w:pStyle w:val="TableHeading"/>
              <w:spacing w:before="0" w:after="200"/>
              <w:rPr>
                <w:rFonts w:ascii="Calibri" w:hAnsi="Calibri"/>
              </w:rPr>
            </w:pPr>
            <w:r>
              <w:rPr>
                <w:rFonts w:ascii="Calibri" w:hAnsi="Calibri"/>
              </w:rPr>
              <w:t>Profile</w:t>
            </w:r>
          </w:p>
        </w:tc>
        <w:tc>
          <w:tcPr>
            <w:tcW w:w="1853" w:type="dxa"/>
            <w:tcBorders/>
            <w:shd w:color="auto" w:fill="DDDDDD" w:val="clear"/>
            <w:vAlign w:val="center"/>
          </w:tcPr>
          <w:p>
            <w:pPr>
              <w:pStyle w:val="TableHeading"/>
              <w:spacing w:before="0" w:after="200"/>
              <w:rPr>
                <w:rFonts w:ascii="Calibri" w:hAnsi="Calibri"/>
              </w:rPr>
            </w:pPr>
            <w:r>
              <w:rPr>
                <w:rFonts w:ascii="Calibri" w:hAnsi="Calibri"/>
              </w:rPr>
              <w:t>Label</w:t>
            </w:r>
          </w:p>
        </w:tc>
        <w:tc>
          <w:tcPr>
            <w:tcW w:w="5473" w:type="dxa"/>
            <w:tcBorders/>
            <w:shd w:color="auto" w:fill="DDDDDD" w:val="clear"/>
            <w:vAlign w:val="center"/>
          </w:tcPr>
          <w:p>
            <w:pPr>
              <w:pStyle w:val="TableHeading"/>
              <w:spacing w:before="0" w:after="200"/>
              <w:rPr>
                <w:rFonts w:ascii="Calibri" w:hAnsi="Calibri"/>
              </w:rPr>
            </w:pPr>
            <w:r>
              <w:rPr>
                <w:rFonts w:ascii="Calibri" w:hAnsi="Calibri"/>
              </w:rPr>
              <w:t>Description</w:t>
            </w:r>
          </w:p>
        </w:tc>
      </w:tr>
      <w:tr>
        <w:trPr/>
        <w:tc>
          <w:tcPr>
            <w:tcW w:w="1314" w:type="dxa"/>
            <w:tcBorders/>
            <w:vAlign w:val="center"/>
          </w:tcPr>
          <w:p>
            <w:pPr>
              <w:pStyle w:val="TableContents"/>
              <w:widowControl w:val="false"/>
              <w:suppressLineNumbers/>
              <w:spacing w:before="0" w:after="200"/>
              <w:rPr/>
            </w:pPr>
            <w:r>
              <w:rPr>
                <w:rStyle w:val="Strong"/>
                <w:rFonts w:ascii="Calibri" w:hAnsi="Calibri"/>
              </w:rPr>
              <w:t>light.json</w:t>
            </w:r>
          </w:p>
        </w:tc>
        <w:tc>
          <w:tcPr>
            <w:tcW w:w="1853" w:type="dxa"/>
            <w:tcBorders/>
            <w:vAlign w:val="center"/>
          </w:tcPr>
          <w:p>
            <w:pPr>
              <w:pStyle w:val="TableContents"/>
              <w:widowControl w:val="false"/>
              <w:suppressLineNumbers/>
              <w:spacing w:before="0" w:after="200"/>
              <w:rPr/>
            </w:pPr>
            <w:r>
              <w:rPr>
                <w:rStyle w:val="Emphasis"/>
                <w:rFonts w:ascii="Calibri" w:hAnsi="Calibri"/>
              </w:rPr>
              <w:t>Light-touch</w:t>
            </w:r>
          </w:p>
        </w:tc>
        <w:tc>
          <w:tcPr>
            <w:tcW w:w="5473" w:type="dxa"/>
            <w:tcBorders/>
            <w:vAlign w:val="center"/>
          </w:tcPr>
          <w:p>
            <w:pPr>
              <w:pStyle w:val="TableContents"/>
              <w:spacing w:before="0" w:after="200"/>
              <w:rPr>
                <w:rFonts w:ascii="Calibri" w:hAnsi="Calibri"/>
              </w:rPr>
            </w:pPr>
            <w:r>
              <w:rPr>
                <w:rFonts w:ascii="Calibri" w:hAnsi="Calibri"/>
              </w:rPr>
              <w:t>Keeps most non-identifying fields; applies hashing and rounding only to key personal fields. Suitable for trusted data sources. Minimal intervention: hashes key identifiers and UIDs, removes birth date, retains institution/centre information where appropriate. Suitable for lower-risk scenarios.</w:t>
            </w:r>
          </w:p>
        </w:tc>
      </w:tr>
      <w:tr>
        <w:trPr/>
        <w:tc>
          <w:tcPr>
            <w:tcW w:w="1314" w:type="dxa"/>
            <w:tcBorders/>
            <w:vAlign w:val="center"/>
          </w:tcPr>
          <w:p>
            <w:pPr>
              <w:pStyle w:val="TableContents"/>
              <w:widowControl w:val="false"/>
              <w:suppressLineNumbers/>
              <w:spacing w:before="0" w:after="200"/>
              <w:rPr/>
            </w:pPr>
            <w:r>
              <w:rPr>
                <w:rStyle w:val="Strong"/>
                <w:rFonts w:ascii="Calibri" w:hAnsi="Calibri"/>
              </w:rPr>
              <w:t>default.json</w:t>
            </w:r>
          </w:p>
        </w:tc>
        <w:tc>
          <w:tcPr>
            <w:tcW w:w="1853" w:type="dxa"/>
            <w:tcBorders/>
            <w:vAlign w:val="center"/>
          </w:tcPr>
          <w:p>
            <w:pPr>
              <w:pStyle w:val="TableContents"/>
              <w:widowControl w:val="false"/>
              <w:suppressLineNumbers/>
              <w:spacing w:before="0" w:after="200"/>
              <w:rPr/>
            </w:pPr>
            <w:r>
              <w:rPr>
                <w:rStyle w:val="Emphasis"/>
                <w:rFonts w:ascii="Calibri" w:hAnsi="Calibri"/>
              </w:rPr>
              <w:t>Balanced (recommended)</w:t>
            </w:r>
          </w:p>
        </w:tc>
        <w:tc>
          <w:tcPr>
            <w:tcW w:w="5473" w:type="dxa"/>
            <w:tcBorders/>
            <w:vAlign w:val="center"/>
          </w:tcPr>
          <w:p>
            <w:pPr>
              <w:pStyle w:val="BodyText"/>
              <w:widowControl w:val="false"/>
              <w:suppressLineNumbers/>
              <w:spacing w:before="0" w:after="200"/>
              <w:rPr>
                <w:rFonts w:ascii="Calibri" w:hAnsi="Calibri"/>
              </w:rPr>
            </w:pPr>
            <w:r>
              <w:rPr>
                <w:rFonts w:ascii="Calibri" w:hAnsi="Calibri"/>
              </w:rPr>
              <w:t>Recommended default: sets patient name and referring physician to “Anonymous”, hashes patient/study/accession IDs, generates stable pseudonymized UIDs, removes birth date, and retains clinically valuable fields.</w:t>
            </w:r>
          </w:p>
        </w:tc>
      </w:tr>
      <w:tr>
        <w:trPr/>
        <w:tc>
          <w:tcPr>
            <w:tcW w:w="1314" w:type="dxa"/>
            <w:tcBorders/>
            <w:vAlign w:val="center"/>
          </w:tcPr>
          <w:p>
            <w:pPr>
              <w:pStyle w:val="TableContents"/>
              <w:widowControl w:val="false"/>
              <w:suppressLineNumbers/>
              <w:spacing w:before="0" w:after="200"/>
              <w:rPr/>
            </w:pPr>
            <w:r>
              <w:rPr>
                <w:rStyle w:val="Strong"/>
                <w:rFonts w:ascii="Calibri" w:hAnsi="Calibri"/>
              </w:rPr>
              <w:t>strict.json</w:t>
            </w:r>
          </w:p>
        </w:tc>
        <w:tc>
          <w:tcPr>
            <w:tcW w:w="1853" w:type="dxa"/>
            <w:tcBorders/>
            <w:vAlign w:val="center"/>
          </w:tcPr>
          <w:p>
            <w:pPr>
              <w:pStyle w:val="TableContents"/>
              <w:widowControl w:val="false"/>
              <w:suppressLineNumbers/>
              <w:spacing w:before="0" w:after="200"/>
              <w:rPr/>
            </w:pPr>
            <w:r>
              <w:rPr>
                <w:rStyle w:val="Emphasis"/>
                <w:rFonts w:ascii="Calibri" w:hAnsi="Calibri"/>
              </w:rPr>
              <w:t>Max-safe</w:t>
            </w:r>
          </w:p>
        </w:tc>
        <w:tc>
          <w:tcPr>
            <w:tcW w:w="5473" w:type="dxa"/>
            <w:tcBorders/>
            <w:vAlign w:val="center"/>
          </w:tcPr>
          <w:p>
            <w:pPr>
              <w:pStyle w:val="TableContents"/>
              <w:spacing w:before="0" w:after="200"/>
              <w:rPr>
                <w:rFonts w:ascii="Calibri" w:hAnsi="Calibri"/>
              </w:rPr>
            </w:pPr>
            <w:r>
              <w:rPr>
                <w:rFonts w:ascii="Calibri" w:hAnsi="Calibri"/>
              </w:rPr>
              <w:t>Removes or clears almost all optional fields that could contain identifiers. Used when maximum anonymization is required. Most aggressive: clears additional potential identifiers (e.g., institution name, device details, operator name) in addition to the Balanced profile actions. Use when maximum privacy protection is required.</w:t>
            </w:r>
          </w:p>
        </w:tc>
      </w:tr>
    </w:tbl>
    <w:p>
      <w:pPr>
        <w:pStyle w:val="BodyText"/>
        <w:spacing w:before="0" w:after="200"/>
        <w:rPr>
          <w:rFonts w:ascii="Calibri" w:hAnsi="Calibri"/>
          <w:b w:val="false"/>
          <w:bCs w:val="false"/>
        </w:rPr>
      </w:pPr>
      <w:r>
        <w:rPr>
          <w:rFonts w:ascii="Calibri" w:hAnsi="Calibri"/>
          <w:b w:val="false"/>
          <w:bCs w:val="false"/>
        </w:rPr>
      </w:r>
    </w:p>
    <w:p>
      <w:pPr>
        <w:pStyle w:val="BodyText"/>
        <w:spacing w:before="0" w:after="200"/>
        <w:rPr/>
      </w:pPr>
      <w:r>
        <w:rPr>
          <w:rStyle w:val="Strong"/>
          <w:rFonts w:ascii="Calibri" w:hAnsi="Calibri"/>
          <w:b w:val="false"/>
          <w:bCs w:val="false"/>
        </w:rPr>
        <w:t xml:space="preserve">The following table summarizes the “must have” anonymization and pseudonymization rules applied by the platform across DICOM metadata, derived series JSON, and clinical data for all profiles listed above. </w:t>
      </w:r>
      <w:r>
        <w:br w:type="page"/>
      </w:r>
    </w:p>
    <w:tbl>
      <w:tblPr>
        <w:tblW w:w="9227"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812"/>
        <w:gridCol w:w="2438"/>
        <w:gridCol w:w="3977"/>
      </w:tblGrid>
      <w:tr>
        <w:trPr>
          <w:tblHeader w:val="true"/>
        </w:trPr>
        <w:tc>
          <w:tcPr>
            <w:tcW w:w="2812" w:type="dxa"/>
            <w:tcBorders/>
            <w:shd w:color="auto" w:fill="DDDDDD" w:val="clear"/>
            <w:vAlign w:val="center"/>
          </w:tcPr>
          <w:p>
            <w:pPr>
              <w:pStyle w:val="TableHeading"/>
              <w:pageBreakBefore/>
              <w:spacing w:before="0" w:after="200"/>
              <w:rPr>
                <w:rFonts w:ascii="Calibri" w:hAnsi="Calibri"/>
              </w:rPr>
            </w:pPr>
            <w:r>
              <w:rPr>
                <w:rFonts w:ascii="Calibri" w:hAnsi="Calibri"/>
                <w:color w:val="000000"/>
              </w:rPr>
              <w:t>Field / Attribute</w:t>
            </w:r>
          </w:p>
        </w:tc>
        <w:tc>
          <w:tcPr>
            <w:tcW w:w="2438" w:type="dxa"/>
            <w:tcBorders/>
            <w:shd w:color="auto" w:fill="DDDDDD" w:val="clear"/>
            <w:vAlign w:val="center"/>
          </w:tcPr>
          <w:p>
            <w:pPr>
              <w:pStyle w:val="TableHeading"/>
              <w:spacing w:before="0" w:after="200"/>
              <w:rPr>
                <w:rFonts w:ascii="Calibri" w:hAnsi="Calibri"/>
              </w:rPr>
            </w:pPr>
            <w:r>
              <w:rPr>
                <w:rFonts w:ascii="Calibri" w:hAnsi="Calibri"/>
                <w:color w:val="000000"/>
              </w:rPr>
              <w:t>Handling</w:t>
            </w:r>
          </w:p>
        </w:tc>
        <w:tc>
          <w:tcPr>
            <w:tcW w:w="3977" w:type="dxa"/>
            <w:tcBorders/>
            <w:shd w:color="auto" w:fill="DDDDDD" w:val="clear"/>
            <w:vAlign w:val="center"/>
          </w:tcPr>
          <w:p>
            <w:pPr>
              <w:pStyle w:val="TableHeading"/>
              <w:spacing w:before="0" w:after="200"/>
              <w:rPr>
                <w:rFonts w:ascii="Calibri" w:hAnsi="Calibri"/>
              </w:rPr>
            </w:pPr>
            <w:r>
              <w:rPr>
                <w:rFonts w:ascii="Calibri" w:hAnsi="Calibri"/>
                <w:color w:val="000000"/>
              </w:rPr>
              <w:t>Notes</w:t>
            </w:r>
          </w:p>
        </w:tc>
      </w:tr>
      <w:tr>
        <w:trPr/>
        <w:tc>
          <w:tcPr>
            <w:tcW w:w="2812" w:type="dxa"/>
            <w:tcBorders/>
            <w:vAlign w:val="center"/>
          </w:tcPr>
          <w:p>
            <w:pPr>
              <w:pStyle w:val="TableContents"/>
              <w:spacing w:before="0" w:after="200"/>
              <w:rPr>
                <w:rFonts w:ascii="Calibri" w:hAnsi="Calibri"/>
              </w:rPr>
            </w:pPr>
            <w:r>
              <w:rPr>
                <w:rFonts w:ascii="Calibri" w:hAnsi="Calibri"/>
              </w:rPr>
              <w:t>Patient Name</w:t>
            </w:r>
          </w:p>
        </w:tc>
        <w:tc>
          <w:tcPr>
            <w:tcW w:w="2438" w:type="dxa"/>
            <w:tcBorders/>
            <w:vAlign w:val="center"/>
          </w:tcPr>
          <w:p>
            <w:pPr>
              <w:pStyle w:val="TableContents"/>
              <w:spacing w:before="0" w:after="200"/>
              <w:rPr>
                <w:rFonts w:ascii="Calibri" w:hAnsi="Calibri"/>
              </w:rPr>
            </w:pPr>
            <w:r>
              <w:rPr>
                <w:rFonts w:ascii="Calibri" w:hAnsi="Calibri"/>
              </w:rPr>
              <w:t>Set to “Anonymous”</w:t>
            </w:r>
          </w:p>
        </w:tc>
        <w:tc>
          <w:tcPr>
            <w:tcW w:w="3977" w:type="dxa"/>
            <w:tcBorders/>
            <w:vAlign w:val="center"/>
          </w:tcPr>
          <w:p>
            <w:pPr>
              <w:pStyle w:val="TableContents"/>
              <w:spacing w:before="0" w:after="200"/>
              <w:rPr>
                <w:rFonts w:ascii="Calibri" w:hAnsi="Calibri"/>
              </w:rPr>
            </w:pPr>
            <w:r>
              <w:rPr>
                <w:rFonts w:ascii="Calibri" w:hAnsi="Calibri"/>
              </w:rPr>
              <w:t>Removed at source</w:t>
            </w:r>
          </w:p>
        </w:tc>
      </w:tr>
      <w:tr>
        <w:trPr/>
        <w:tc>
          <w:tcPr>
            <w:tcW w:w="2812" w:type="dxa"/>
            <w:tcBorders/>
            <w:vAlign w:val="center"/>
          </w:tcPr>
          <w:p>
            <w:pPr>
              <w:pStyle w:val="TableContents"/>
              <w:spacing w:before="0" w:after="200"/>
              <w:rPr>
                <w:rFonts w:ascii="Calibri" w:hAnsi="Calibri"/>
              </w:rPr>
            </w:pPr>
            <w:r>
              <w:rPr>
                <w:rFonts w:ascii="Calibri" w:hAnsi="Calibri"/>
              </w:rPr>
              <w:t>Referring / Performing / Physician Names</w:t>
            </w:r>
          </w:p>
        </w:tc>
        <w:tc>
          <w:tcPr>
            <w:tcW w:w="2438" w:type="dxa"/>
            <w:tcBorders/>
            <w:vAlign w:val="center"/>
          </w:tcPr>
          <w:p>
            <w:pPr>
              <w:pStyle w:val="TableContents"/>
              <w:spacing w:before="0" w:after="200"/>
              <w:rPr>
                <w:rFonts w:ascii="Calibri" w:hAnsi="Calibri"/>
              </w:rPr>
            </w:pPr>
            <w:r>
              <w:rPr>
                <w:rFonts w:ascii="Calibri" w:hAnsi="Calibri"/>
              </w:rPr>
              <w:t>Set to “Anonymous”</w:t>
            </w:r>
          </w:p>
        </w:tc>
        <w:tc>
          <w:tcPr>
            <w:tcW w:w="3977" w:type="dxa"/>
            <w:tcBorders/>
            <w:vAlign w:val="center"/>
          </w:tcPr>
          <w:p>
            <w:pPr>
              <w:pStyle w:val="TableContents"/>
              <w:spacing w:before="0" w:after="200"/>
              <w:rPr>
                <w:rFonts w:ascii="Calibri" w:hAnsi="Calibri"/>
              </w:rPr>
            </w:pPr>
            <w:r>
              <w:rPr>
                <w:rFonts w:ascii="Calibri" w:hAnsi="Calibri"/>
              </w:rPr>
              <w:t>Covers all physician name tags</w:t>
            </w:r>
          </w:p>
        </w:tc>
      </w:tr>
      <w:tr>
        <w:trPr/>
        <w:tc>
          <w:tcPr>
            <w:tcW w:w="2812" w:type="dxa"/>
            <w:tcBorders/>
            <w:vAlign w:val="center"/>
          </w:tcPr>
          <w:p>
            <w:pPr>
              <w:pStyle w:val="TableContents"/>
              <w:spacing w:before="0" w:after="200"/>
              <w:rPr>
                <w:rFonts w:ascii="Calibri" w:hAnsi="Calibri"/>
              </w:rPr>
            </w:pPr>
            <w:r>
              <w:rPr>
                <w:rFonts w:ascii="Calibri" w:hAnsi="Calibri"/>
              </w:rPr>
              <w:t>Patient ID</w:t>
            </w:r>
          </w:p>
        </w:tc>
        <w:tc>
          <w:tcPr>
            <w:tcW w:w="2438" w:type="dxa"/>
            <w:tcBorders/>
            <w:vAlign w:val="center"/>
          </w:tcPr>
          <w:p>
            <w:pPr>
              <w:pStyle w:val="TableContents"/>
              <w:spacing w:before="0" w:after="200"/>
              <w:rPr>
                <w:rFonts w:ascii="Calibri" w:hAnsi="Calibri"/>
              </w:rPr>
            </w:pPr>
            <w:r>
              <w:rPr>
                <w:rFonts w:ascii="Calibri" w:hAnsi="Calibri"/>
              </w:rPr>
              <w:t>Hash</w:t>
            </w:r>
          </w:p>
        </w:tc>
        <w:tc>
          <w:tcPr>
            <w:tcW w:w="3977" w:type="dxa"/>
            <w:tcBorders/>
            <w:vAlign w:val="center"/>
          </w:tcPr>
          <w:p>
            <w:pPr>
              <w:pStyle w:val="TableContents"/>
              <w:spacing w:before="0" w:after="200"/>
              <w:rPr>
                <w:rFonts w:ascii="Calibri" w:hAnsi="Calibri"/>
              </w:rPr>
            </w:pPr>
            <w:r>
              <w:rPr>
                <w:rFonts w:ascii="Calibri" w:hAnsi="Calibri"/>
              </w:rPr>
              <w:t>Stable pseudonym</w:t>
            </w:r>
          </w:p>
        </w:tc>
      </w:tr>
      <w:tr>
        <w:trPr/>
        <w:tc>
          <w:tcPr>
            <w:tcW w:w="2812" w:type="dxa"/>
            <w:tcBorders/>
            <w:vAlign w:val="center"/>
          </w:tcPr>
          <w:p>
            <w:pPr>
              <w:pStyle w:val="TableContents"/>
              <w:spacing w:before="0" w:after="200"/>
              <w:rPr>
                <w:rFonts w:ascii="Calibri" w:hAnsi="Calibri"/>
              </w:rPr>
            </w:pPr>
            <w:r>
              <w:rPr>
                <w:rFonts w:ascii="Calibri" w:hAnsi="Calibri"/>
              </w:rPr>
              <w:t>Study ID / Accession No.</w:t>
            </w:r>
          </w:p>
        </w:tc>
        <w:tc>
          <w:tcPr>
            <w:tcW w:w="2438" w:type="dxa"/>
            <w:tcBorders/>
            <w:vAlign w:val="center"/>
          </w:tcPr>
          <w:p>
            <w:pPr>
              <w:pStyle w:val="TableContents"/>
              <w:spacing w:before="0" w:after="200"/>
              <w:rPr>
                <w:rFonts w:ascii="Calibri" w:hAnsi="Calibri"/>
              </w:rPr>
            </w:pPr>
            <w:r>
              <w:rPr>
                <w:rFonts w:ascii="Calibri" w:hAnsi="Calibri"/>
              </w:rPr>
              <w:t>Hash</w:t>
            </w:r>
          </w:p>
        </w:tc>
        <w:tc>
          <w:tcPr>
            <w:tcW w:w="3977" w:type="dxa"/>
            <w:tcBorders/>
            <w:vAlign w:val="center"/>
          </w:tcPr>
          <w:p>
            <w:pPr>
              <w:pStyle w:val="TableContents"/>
              <w:spacing w:before="0" w:after="200"/>
              <w:rPr>
                <w:rFonts w:ascii="Calibri" w:hAnsi="Calibri"/>
              </w:rPr>
            </w:pPr>
            <w:r>
              <w:rPr>
                <w:rFonts w:ascii="Calibri" w:hAnsi="Calibri"/>
              </w:rPr>
              <w:t>Stable pseudonym</w:t>
            </w:r>
          </w:p>
        </w:tc>
      </w:tr>
      <w:tr>
        <w:trPr/>
        <w:tc>
          <w:tcPr>
            <w:tcW w:w="2812" w:type="dxa"/>
            <w:tcBorders/>
            <w:vAlign w:val="center"/>
          </w:tcPr>
          <w:p>
            <w:pPr>
              <w:pStyle w:val="TableContents"/>
              <w:spacing w:before="0" w:after="200"/>
              <w:rPr>
                <w:rFonts w:ascii="Calibri" w:hAnsi="Calibri"/>
              </w:rPr>
            </w:pPr>
            <w:r>
              <w:rPr>
                <w:rFonts w:ascii="Calibri" w:hAnsi="Calibri"/>
              </w:rPr>
              <w:t>DICOM UIDs (Study, Series, SOP)</w:t>
            </w:r>
          </w:p>
        </w:tc>
        <w:tc>
          <w:tcPr>
            <w:tcW w:w="2438" w:type="dxa"/>
            <w:tcBorders/>
            <w:vAlign w:val="center"/>
          </w:tcPr>
          <w:p>
            <w:pPr>
              <w:pStyle w:val="TableContents"/>
              <w:spacing w:before="0" w:after="200"/>
              <w:rPr>
                <w:rFonts w:ascii="Calibri" w:hAnsi="Calibri"/>
              </w:rPr>
            </w:pPr>
            <w:r>
              <w:rPr>
                <w:rFonts w:ascii="Calibri" w:hAnsi="Calibri"/>
              </w:rPr>
              <w:t>Hash UID</w:t>
            </w:r>
          </w:p>
        </w:tc>
        <w:tc>
          <w:tcPr>
            <w:tcW w:w="3977" w:type="dxa"/>
            <w:tcBorders/>
            <w:vAlign w:val="center"/>
          </w:tcPr>
          <w:p>
            <w:pPr>
              <w:pStyle w:val="TableContents"/>
              <w:spacing w:before="0" w:after="200"/>
              <w:rPr>
                <w:rFonts w:ascii="Calibri" w:hAnsi="Calibri"/>
              </w:rPr>
            </w:pPr>
            <w:r>
              <w:rPr>
                <w:rFonts w:ascii="Calibri" w:hAnsi="Calibri"/>
              </w:rPr>
              <w:t>Preserves DICOM consistency</w:t>
            </w:r>
          </w:p>
        </w:tc>
      </w:tr>
      <w:tr>
        <w:trPr/>
        <w:tc>
          <w:tcPr>
            <w:tcW w:w="2812" w:type="dxa"/>
            <w:tcBorders/>
            <w:vAlign w:val="center"/>
          </w:tcPr>
          <w:p>
            <w:pPr>
              <w:pStyle w:val="TableContents"/>
              <w:spacing w:before="0" w:after="200"/>
              <w:rPr>
                <w:rFonts w:ascii="Calibri" w:hAnsi="Calibri"/>
              </w:rPr>
            </w:pPr>
            <w:r>
              <w:rPr>
                <w:rFonts w:ascii="Calibri" w:hAnsi="Calibri"/>
              </w:rPr>
              <w:t>Gender</w:t>
            </w:r>
          </w:p>
        </w:tc>
        <w:tc>
          <w:tcPr>
            <w:tcW w:w="2438" w:type="dxa"/>
            <w:tcBorders/>
            <w:vAlign w:val="center"/>
          </w:tcPr>
          <w:p>
            <w:pPr>
              <w:pStyle w:val="TableContents"/>
              <w:spacing w:before="0" w:after="200"/>
              <w:rPr>
                <w:rFonts w:ascii="Calibri" w:hAnsi="Calibri"/>
              </w:rPr>
            </w:pPr>
            <w:r>
              <w:rPr>
                <w:rFonts w:ascii="Calibri" w:hAnsi="Calibri"/>
              </w:rPr>
              <w:t>Keep</w:t>
            </w:r>
          </w:p>
        </w:tc>
        <w:tc>
          <w:tcPr>
            <w:tcW w:w="3977" w:type="dxa"/>
            <w:tcBorders/>
            <w:vAlign w:val="center"/>
          </w:tcPr>
          <w:p>
            <w:pPr>
              <w:pStyle w:val="TableContents"/>
              <w:spacing w:before="0" w:after="200"/>
              <w:rPr>
                <w:rFonts w:ascii="Calibri" w:hAnsi="Calibri"/>
              </w:rPr>
            </w:pPr>
            <w:r>
              <w:rPr>
                <w:rFonts w:ascii="Calibri" w:hAnsi="Calibri"/>
              </w:rPr>
              <w:t>No anonymization: Required for analysis</w:t>
            </w:r>
          </w:p>
        </w:tc>
      </w:tr>
      <w:tr>
        <w:trPr/>
        <w:tc>
          <w:tcPr>
            <w:tcW w:w="2812" w:type="dxa"/>
            <w:tcBorders/>
            <w:vAlign w:val="center"/>
          </w:tcPr>
          <w:p>
            <w:pPr>
              <w:pStyle w:val="TableContents"/>
              <w:spacing w:before="0" w:after="200"/>
              <w:rPr>
                <w:rFonts w:ascii="Calibri" w:hAnsi="Calibri"/>
              </w:rPr>
            </w:pPr>
            <w:r>
              <w:rPr>
                <w:rFonts w:ascii="Calibri" w:hAnsi="Calibri"/>
              </w:rPr>
              <w:t>Age</w:t>
            </w:r>
          </w:p>
        </w:tc>
        <w:tc>
          <w:tcPr>
            <w:tcW w:w="2438" w:type="dxa"/>
            <w:tcBorders/>
            <w:vAlign w:val="center"/>
          </w:tcPr>
          <w:p>
            <w:pPr>
              <w:pStyle w:val="TableContents"/>
              <w:spacing w:before="0" w:after="200"/>
              <w:rPr>
                <w:rFonts w:ascii="Calibri" w:hAnsi="Calibri"/>
              </w:rPr>
            </w:pPr>
            <w:r>
              <w:rPr>
                <w:rFonts w:ascii="Calibri" w:hAnsi="Calibri"/>
              </w:rPr>
              <w:t>Rounded</w:t>
            </w:r>
          </w:p>
        </w:tc>
        <w:tc>
          <w:tcPr>
            <w:tcW w:w="3977" w:type="dxa"/>
            <w:tcBorders/>
            <w:vAlign w:val="center"/>
          </w:tcPr>
          <w:p>
            <w:pPr>
              <w:pStyle w:val="TableContents"/>
              <w:spacing w:before="0" w:after="200"/>
              <w:rPr>
                <w:rFonts w:ascii="Calibri" w:hAnsi="Calibri"/>
              </w:rPr>
            </w:pPr>
            <w:r>
              <w:rPr>
                <w:rFonts w:ascii="Calibri" w:hAnsi="Calibri"/>
              </w:rPr>
              <w:t>5-year range. e.g. 32→30, 33→35</w:t>
            </w:r>
          </w:p>
        </w:tc>
      </w:tr>
      <w:tr>
        <w:trPr/>
        <w:tc>
          <w:tcPr>
            <w:tcW w:w="2812" w:type="dxa"/>
            <w:tcBorders/>
            <w:vAlign w:val="center"/>
          </w:tcPr>
          <w:p>
            <w:pPr>
              <w:pStyle w:val="TableContents"/>
              <w:spacing w:before="0" w:after="200"/>
              <w:rPr>
                <w:rFonts w:ascii="Calibri" w:hAnsi="Calibri"/>
              </w:rPr>
            </w:pPr>
            <w:r>
              <w:rPr>
                <w:rFonts w:ascii="Calibri" w:hAnsi="Calibri"/>
              </w:rPr>
              <w:t>Date of Birth</w:t>
            </w:r>
          </w:p>
        </w:tc>
        <w:tc>
          <w:tcPr>
            <w:tcW w:w="2438" w:type="dxa"/>
            <w:tcBorders/>
            <w:vAlign w:val="center"/>
          </w:tcPr>
          <w:p>
            <w:pPr>
              <w:pStyle w:val="TableContents"/>
              <w:spacing w:before="0" w:after="200"/>
              <w:rPr>
                <w:rFonts w:ascii="Calibri" w:hAnsi="Calibri"/>
              </w:rPr>
            </w:pPr>
            <w:r>
              <w:rPr>
                <w:rFonts w:ascii="Calibri" w:hAnsi="Calibri"/>
              </w:rPr>
              <w:t>Null</w:t>
            </w:r>
          </w:p>
        </w:tc>
        <w:tc>
          <w:tcPr>
            <w:tcW w:w="3977" w:type="dxa"/>
            <w:tcBorders/>
            <w:vAlign w:val="center"/>
          </w:tcPr>
          <w:p>
            <w:pPr>
              <w:pStyle w:val="TableContents"/>
              <w:spacing w:before="0" w:after="200"/>
              <w:rPr>
                <w:rFonts w:ascii="Calibri" w:hAnsi="Calibri"/>
              </w:rPr>
            </w:pPr>
            <w:r>
              <w:rPr>
                <w:rFonts w:ascii="Calibri" w:hAnsi="Calibri"/>
              </w:rPr>
              <w:t>Avoids direct re-identification</w:t>
            </w:r>
          </w:p>
        </w:tc>
      </w:tr>
      <w:tr>
        <w:trPr/>
        <w:tc>
          <w:tcPr>
            <w:tcW w:w="2812" w:type="dxa"/>
            <w:tcBorders/>
            <w:vAlign w:val="center"/>
          </w:tcPr>
          <w:p>
            <w:pPr>
              <w:pStyle w:val="TableContents"/>
              <w:spacing w:before="0" w:after="200"/>
              <w:rPr>
                <w:rFonts w:ascii="Calibri" w:hAnsi="Calibri"/>
              </w:rPr>
            </w:pPr>
            <w:r>
              <w:rPr>
                <w:rFonts w:ascii="Calibri" w:hAnsi="Calibri"/>
              </w:rPr>
              <w:t>Diagnosis</w:t>
            </w:r>
          </w:p>
        </w:tc>
        <w:tc>
          <w:tcPr>
            <w:tcW w:w="2438" w:type="dxa"/>
            <w:tcBorders/>
            <w:vAlign w:val="center"/>
          </w:tcPr>
          <w:p>
            <w:pPr>
              <w:pStyle w:val="TableContents"/>
              <w:spacing w:before="0" w:after="200"/>
              <w:rPr>
                <w:rFonts w:ascii="Calibri" w:hAnsi="Calibri"/>
              </w:rPr>
            </w:pPr>
            <w:r>
              <w:rPr>
                <w:rFonts w:ascii="Calibri" w:hAnsi="Calibri"/>
              </w:rPr>
              <w:t>Keep</w:t>
            </w:r>
          </w:p>
        </w:tc>
        <w:tc>
          <w:tcPr>
            <w:tcW w:w="3977" w:type="dxa"/>
            <w:tcBorders/>
            <w:vAlign w:val="center"/>
          </w:tcPr>
          <w:p>
            <w:pPr>
              <w:pStyle w:val="TableContents"/>
              <w:spacing w:before="0" w:after="200"/>
              <w:rPr>
                <w:rFonts w:ascii="Calibri" w:hAnsi="Calibri"/>
              </w:rPr>
            </w:pPr>
            <w:r>
              <w:rPr>
                <w:rFonts w:ascii="Calibri" w:hAnsi="Calibri"/>
              </w:rPr>
              <w:t>No anonymization: Clinically essential</w:t>
            </w:r>
          </w:p>
        </w:tc>
      </w:tr>
      <w:tr>
        <w:trPr/>
        <w:tc>
          <w:tcPr>
            <w:tcW w:w="2812" w:type="dxa"/>
            <w:tcBorders/>
            <w:vAlign w:val="center"/>
          </w:tcPr>
          <w:p>
            <w:pPr>
              <w:pStyle w:val="TableContents"/>
              <w:spacing w:before="0" w:after="200"/>
              <w:rPr>
                <w:rFonts w:ascii="Calibri" w:hAnsi="Calibri"/>
              </w:rPr>
            </w:pPr>
            <w:r>
              <w:rPr>
                <w:rFonts w:ascii="Calibri" w:hAnsi="Calibri"/>
              </w:rPr>
              <w:t>Any date field (study, admission, ICU, etc.)</w:t>
            </w:r>
          </w:p>
        </w:tc>
        <w:tc>
          <w:tcPr>
            <w:tcW w:w="2438" w:type="dxa"/>
            <w:tcBorders/>
            <w:vAlign w:val="center"/>
          </w:tcPr>
          <w:p>
            <w:pPr>
              <w:pStyle w:val="TableContents"/>
              <w:spacing w:before="0" w:after="200"/>
              <w:rPr>
                <w:rFonts w:ascii="Calibri" w:hAnsi="Calibri"/>
              </w:rPr>
            </w:pPr>
            <w:r>
              <w:rPr>
                <w:rFonts w:ascii="Calibri" w:hAnsi="Calibri"/>
              </w:rPr>
              <w:t>Shift ±3 days</w:t>
            </w:r>
          </w:p>
        </w:tc>
        <w:tc>
          <w:tcPr>
            <w:tcW w:w="3977" w:type="dxa"/>
            <w:tcBorders/>
            <w:vAlign w:val="center"/>
          </w:tcPr>
          <w:p>
            <w:pPr>
              <w:pStyle w:val="TableContents"/>
              <w:spacing w:before="0" w:after="200"/>
              <w:rPr>
                <w:rFonts w:ascii="Calibri" w:hAnsi="Calibri"/>
              </w:rPr>
            </w:pPr>
            <w:r>
              <w:rPr>
                <w:rFonts w:ascii="Calibri" w:hAnsi="Calibri"/>
              </w:rPr>
              <w:t>Random offset per patient: Same offset applied to all dates for that patient</w:t>
            </w:r>
          </w:p>
        </w:tc>
      </w:tr>
    </w:tbl>
    <w:p>
      <w:pPr>
        <w:pStyle w:val="BodyText"/>
        <w:spacing w:before="0" w:after="200"/>
        <w:rPr>
          <w:rFonts w:ascii="Calibri" w:hAnsi="Calibri"/>
          <w:b w:val="false"/>
          <w:bCs w:val="false"/>
        </w:rPr>
      </w:pPr>
      <w:r>
        <w:rPr>
          <w:rFonts w:ascii="Calibri" w:hAnsi="Calibri"/>
          <w:b w:val="false"/>
          <w:bCs w:val="false"/>
        </w:rPr>
      </w:r>
    </w:p>
    <w:p>
      <w:pPr>
        <w:pStyle w:val="BodyText"/>
        <w:spacing w:before="0" w:after="200"/>
        <w:rPr/>
      </w:pPr>
      <w:r>
        <w:rPr>
          <w:rStyle w:val="Strong"/>
          <w:rFonts w:ascii="Calibri" w:hAnsi="Calibri"/>
          <w:b w:val="false"/>
          <w:bCs w:val="false"/>
        </w:rPr>
        <w:t>Certain clinically essential variables (such as gender and diagnosis) are intentionally retained without anonymization to preserve scientific and analytical value. Any potential re-identification risk arising from rare diagnoses is mitigated through strong pseudonymization of identifiers, removal of direct and quasi-identifiers such as dates of birth, age generalization, and consistent per-patient temporal date shifting.</w:t>
      </w:r>
    </w:p>
    <w:p>
      <w:pPr>
        <w:pStyle w:val="BodyText"/>
        <w:spacing w:before="0" w:after="200"/>
        <w:rPr/>
      </w:pPr>
      <w:r>
        <w:rPr>
          <w:rStyle w:val="Strong"/>
          <w:rFonts w:ascii="Calibri" w:hAnsi="Calibri"/>
          <w:b w:val="false"/>
          <w:bCs w:val="false"/>
        </w:rPr>
        <w:t>All profiles are based on the principles of DICOM PS3.15 Annex E (Basic Application Level Confidentiality Profile) with configurable retention or cleaning of attributes.</w:t>
      </w:r>
    </w:p>
    <w:p>
      <w:pPr>
        <w:pStyle w:val="BodyText"/>
        <w:spacing w:before="0" w:after="200"/>
        <w:rPr>
          <w:rFonts w:ascii="Calibri" w:hAnsi="Calibri"/>
        </w:rPr>
      </w:pPr>
      <w:r>
        <w:rPr>
          <w:rFonts w:ascii="Calibri" w:hAnsi="Calibri"/>
        </w:rPr>
        <w:t xml:space="preserve">The selected profile is displayed in the interface with a direct link to view the full JSON rules. The following example illustrates a simplified view of the anonymization configuration used by the platform. </w:t>
      </w:r>
    </w:p>
    <w:p>
      <w:pPr>
        <w:pStyle w:val="BodyText"/>
        <w:spacing w:before="0" w:after="200"/>
        <w:rPr/>
      </w:pPr>
      <w:r>
        <w:rPr>
          <w:rStyle w:val="Strong"/>
          <w:rFonts w:ascii="Calibri" w:hAnsi="Calibri"/>
        </w:rPr>
        <w:t>Example from default.json (Balanced profile)</w:t>
      </w:r>
    </w:p>
    <w:tbl>
      <w:tblPr>
        <w:tblW w:w="5000" w:type="pct"/>
        <w:jc w:val="left"/>
        <w:tblInd w:w="0" w:type="dxa"/>
        <w:tblLayout w:type="fixed"/>
        <w:tblCellMar>
          <w:top w:w="0" w:type="dxa"/>
          <w:left w:w="0" w:type="dxa"/>
          <w:bottom w:w="0" w:type="dxa"/>
          <w:right w:w="0" w:type="dxa"/>
        </w:tblCellMar>
        <w:tblLook w:firstRow="1" w:noVBand="1" w:lastRow="0" w:firstColumn="1" w:lastColumn="0" w:noHBand="0" w:val="04a0"/>
      </w:tblPr>
      <w:tblGrid>
        <w:gridCol w:w="8640"/>
      </w:tblGrid>
      <w:tr>
        <w:trPr/>
        <w:tc>
          <w:tcPr>
            <w:tcW w:w="8640" w:type="dxa"/>
            <w:tcBorders/>
            <w:shd w:color="auto" w:fill="EEEEEE" w:val="clear"/>
          </w:tcPr>
          <w:p>
            <w:pPr>
              <w:pStyle w:val="PreformattedText"/>
              <w:rPr/>
            </w:pPr>
            <w:r>
              <w:rPr>
                <w:rStyle w:val="SourceText"/>
                <w:rFonts w:ascii="Calibri" w:hAnsi="Calibri"/>
              </w:rPr>
              <w:t>{</w:t>
            </w:r>
          </w:p>
          <w:p>
            <w:pPr>
              <w:pStyle w:val="PreformattedText"/>
              <w:rPr/>
            </w:pPr>
            <w:r>
              <w:rPr>
                <w:rStyle w:val="SourceText"/>
                <w:rFonts w:ascii="Calibri" w:hAnsi="Calibri"/>
              </w:rPr>
              <w:t xml:space="preserve">  </w:t>
            </w:r>
            <w:r>
              <w:rPr>
                <w:rStyle w:val="SourceText"/>
                <w:rFonts w:ascii="Calibri" w:hAnsi="Calibri"/>
              </w:rPr>
              <w:t>"slug": "default",</w:t>
            </w:r>
          </w:p>
          <w:p>
            <w:pPr>
              <w:pStyle w:val="PreformattedText"/>
              <w:rPr/>
            </w:pPr>
            <w:r>
              <w:rPr>
                <w:rStyle w:val="SourceText"/>
                <w:rFonts w:ascii="Calibri" w:hAnsi="Calibri"/>
              </w:rPr>
              <w:t xml:space="preserve">  </w:t>
            </w:r>
            <w:r>
              <w:rPr>
                <w:rStyle w:val="SourceText"/>
                <w:rFonts w:ascii="Calibri" w:hAnsi="Calibri"/>
              </w:rPr>
              <w:t>"label": "Balanced (recommended)",</w:t>
            </w:r>
          </w:p>
          <w:p>
            <w:pPr>
              <w:pStyle w:val="PreformattedText"/>
              <w:rPr/>
            </w:pPr>
            <w:r>
              <w:rPr>
                <w:rStyle w:val="SourceText"/>
                <w:rFonts w:ascii="Calibri" w:hAnsi="Calibri"/>
              </w:rPr>
              <w:t xml:space="preserve">  </w:t>
            </w:r>
            <w:r>
              <w:rPr>
                <w:rStyle w:val="SourceText"/>
                <w:rFonts w:ascii="Calibri" w:hAnsi="Calibri"/>
              </w:rPr>
              <w:t>"dicom_rules": [</w:t>
            </w:r>
          </w:p>
          <w:p>
            <w:pPr>
              <w:pStyle w:val="PreformattedText"/>
              <w:rPr/>
            </w:pPr>
            <w:r>
              <w:rPr>
                <w:rStyle w:val="SourceText"/>
                <w:rFonts w:ascii="Calibri" w:hAnsi="Calibri"/>
              </w:rPr>
              <w:t xml:space="preserve">    </w:t>
            </w:r>
            <w:r>
              <w:rPr>
                <w:rStyle w:val="SourceText"/>
                <w:rFonts w:ascii="Calibri" w:hAnsi="Calibri"/>
              </w:rPr>
              <w:t>{ "op": "set", "tag": "00100010", "value": "Anonymous" },</w:t>
            </w:r>
          </w:p>
          <w:p>
            <w:pPr>
              <w:pStyle w:val="PreformattedText"/>
              <w:rPr/>
            </w:pPr>
            <w:r>
              <w:rPr>
                <w:rStyle w:val="SourceText"/>
                <w:rFonts w:ascii="Calibri" w:hAnsi="Calibri"/>
              </w:rPr>
              <w:t xml:space="preserve">    </w:t>
            </w:r>
            <w:r>
              <w:rPr>
                <w:rStyle w:val="SourceText"/>
                <w:rFonts w:ascii="Calibri" w:hAnsi="Calibri"/>
              </w:rPr>
              <w:t>{ "op": "hash", "tag": "00100020" },</w:t>
            </w:r>
          </w:p>
          <w:p>
            <w:pPr>
              <w:pStyle w:val="PreformattedText"/>
              <w:rPr/>
            </w:pPr>
            <w:r>
              <w:rPr>
                <w:rStyle w:val="SourceText"/>
                <w:rFonts w:ascii="Calibri" w:hAnsi="Calibri"/>
              </w:rPr>
              <w:t xml:space="preserve">    </w:t>
            </w:r>
            <w:r>
              <w:rPr>
                <w:rStyle w:val="SourceText"/>
                <w:rFonts w:ascii="Calibri" w:hAnsi="Calibri"/>
              </w:rPr>
              <w:t>{ "op": "hash", "tag": "00080050" },</w:t>
            </w:r>
          </w:p>
          <w:p>
            <w:pPr>
              <w:pStyle w:val="PreformattedText"/>
              <w:rPr/>
            </w:pPr>
            <w:r>
              <w:rPr>
                <w:rStyle w:val="SourceText"/>
                <w:rFonts w:ascii="Calibri" w:hAnsi="Calibri"/>
              </w:rPr>
              <w:t xml:space="preserve">    </w:t>
            </w:r>
            <w:r>
              <w:rPr>
                <w:rStyle w:val="SourceText"/>
                <w:rFonts w:ascii="Calibri" w:hAnsi="Calibri"/>
              </w:rPr>
              <w:t>{ "op": "hash", "tag": "00200010" },</w:t>
            </w:r>
          </w:p>
          <w:p>
            <w:pPr>
              <w:pStyle w:val="PreformattedText"/>
              <w:rPr/>
            </w:pPr>
            <w:r>
              <w:rPr>
                <w:rStyle w:val="SourceText"/>
                <w:rFonts w:ascii="Calibri" w:hAnsi="Calibri"/>
              </w:rPr>
              <w:t xml:space="preserve">    </w:t>
            </w:r>
            <w:r>
              <w:rPr>
                <w:rStyle w:val="SourceText"/>
                <w:rFonts w:ascii="Calibri" w:hAnsi="Calibri"/>
              </w:rPr>
              <w:t>{ "op": "hash_uid", "tag": "0020000D" },</w:t>
            </w:r>
          </w:p>
          <w:p>
            <w:pPr>
              <w:pStyle w:val="PreformattedText"/>
              <w:rPr/>
            </w:pPr>
            <w:r>
              <w:rPr>
                <w:rStyle w:val="SourceText"/>
                <w:rFonts w:ascii="Calibri" w:hAnsi="Calibri"/>
              </w:rPr>
              <w:t xml:space="preserve">    </w:t>
            </w:r>
            <w:r>
              <w:rPr>
                <w:rStyle w:val="SourceText"/>
                <w:rFonts w:ascii="Calibri" w:hAnsi="Calibri"/>
                <w:lang w:val="de-DE"/>
              </w:rPr>
              <w:t>{ "op": "hash_uid", "tag": "0020000E" },</w:t>
            </w:r>
          </w:p>
          <w:p>
            <w:pPr>
              <w:pStyle w:val="PreformattedText"/>
              <w:rPr/>
            </w:pPr>
            <w:r>
              <w:rPr>
                <w:rStyle w:val="SourceText"/>
                <w:rFonts w:ascii="Calibri" w:hAnsi="Calibri"/>
                <w:lang w:val="de-DE"/>
              </w:rPr>
              <w:t xml:space="preserve">    </w:t>
            </w:r>
            <w:r>
              <w:rPr>
                <w:rStyle w:val="SourceText"/>
                <w:rFonts w:ascii="Calibri" w:hAnsi="Calibri"/>
              </w:rPr>
              <w:t>...</w:t>
            </w:r>
          </w:p>
          <w:p>
            <w:pPr>
              <w:pStyle w:val="PreformattedText"/>
              <w:rPr/>
            </w:pPr>
            <w:r>
              <w:rPr>
                <w:rStyle w:val="SourceText"/>
                <w:rFonts w:ascii="Calibri" w:hAnsi="Calibri"/>
              </w:rPr>
              <w:t xml:space="preserve">  </w:t>
            </w:r>
            <w:r>
              <w:rPr>
                <w:rStyle w:val="SourceText"/>
                <w:rFonts w:ascii="Calibri" w:hAnsi="Calibri"/>
              </w:rPr>
              <w:t>],</w:t>
            </w:r>
          </w:p>
          <w:p>
            <w:pPr>
              <w:pStyle w:val="PreformattedText"/>
              <w:rPr/>
            </w:pPr>
            <w:r>
              <w:rPr>
                <w:rStyle w:val="SourceText"/>
                <w:rFonts w:ascii="Calibri" w:hAnsi="Calibri"/>
              </w:rPr>
              <w:t xml:space="preserve">  </w:t>
            </w:r>
            <w:r>
              <w:rPr>
                <w:rStyle w:val="SourceText"/>
                <w:rFonts w:ascii="Calibri" w:hAnsi="Calibri"/>
              </w:rPr>
              <w:t>"clinical_rules": {</w:t>
            </w:r>
          </w:p>
          <w:p>
            <w:pPr>
              <w:pStyle w:val="PreformattedText"/>
              <w:rPr/>
            </w:pPr>
            <w:r>
              <w:rPr>
                <w:rStyle w:val="SourceText"/>
                <w:rFonts w:ascii="Calibri" w:hAnsi="Calibri"/>
              </w:rPr>
              <w:t xml:space="preserve">    </w:t>
            </w:r>
            <w:r>
              <w:rPr>
                <w:rStyle w:val="SourceText"/>
                <w:rFonts w:ascii="Calibri" w:hAnsi="Calibri"/>
              </w:rPr>
              <w:t>"columns": [</w:t>
            </w:r>
          </w:p>
          <w:p>
            <w:pPr>
              <w:pStyle w:val="PreformattedText"/>
              <w:rPr/>
            </w:pPr>
            <w:r>
              <w:rPr>
                <w:rStyle w:val="SourceText"/>
                <w:rFonts w:ascii="Calibri" w:hAnsi="Calibri"/>
              </w:rPr>
              <w:t xml:space="preserve">      </w:t>
            </w:r>
            <w:r>
              <w:rPr>
                <w:rStyle w:val="SourceText"/>
                <w:rFonts w:ascii="Calibri" w:hAnsi="Calibri"/>
              </w:rPr>
              <w:t>{ "name": "Patient_ID", "op": "hash" },</w:t>
            </w:r>
          </w:p>
          <w:p>
            <w:pPr>
              <w:pStyle w:val="PreformattedText"/>
              <w:rPr/>
            </w:pPr>
            <w:r>
              <w:rPr>
                <w:rStyle w:val="SourceText"/>
                <w:rFonts w:ascii="Calibri" w:hAnsi="Calibri"/>
              </w:rPr>
              <w:t xml:space="preserve">      </w:t>
            </w:r>
            <w:r>
              <w:rPr>
                <w:rStyle w:val="SourceText"/>
                <w:rFonts w:ascii="Calibri" w:hAnsi="Calibri"/>
              </w:rPr>
              <w:t>{ "name": "Study_ID", "op": "hash" },</w:t>
            </w:r>
          </w:p>
          <w:p>
            <w:pPr>
              <w:pStyle w:val="PreformattedText"/>
              <w:rPr/>
            </w:pPr>
            <w:r>
              <w:rPr>
                <w:rStyle w:val="SourceText"/>
                <w:rFonts w:ascii="Calibri" w:hAnsi="Calibri"/>
              </w:rPr>
              <w:t xml:space="preserve">      </w:t>
            </w:r>
            <w:r>
              <w:rPr>
                <w:rStyle w:val="SourceText"/>
                <w:rFonts w:ascii="Calibri" w:hAnsi="Calibri"/>
              </w:rPr>
              <w:t>{ "name": "Sex", "op": "keep" },</w:t>
            </w:r>
          </w:p>
          <w:p>
            <w:pPr>
              <w:pStyle w:val="PreformattedText"/>
              <w:rPr/>
            </w:pPr>
            <w:r>
              <w:rPr>
                <w:rStyle w:val="SourceText"/>
                <w:rFonts w:ascii="Calibri" w:hAnsi="Calibri"/>
              </w:rPr>
              <w:t xml:space="preserve">      </w:t>
            </w:r>
            <w:r>
              <w:rPr>
                <w:rStyle w:val="SourceText"/>
                <w:rFonts w:ascii="Calibri" w:hAnsi="Calibri"/>
              </w:rPr>
              <w:t>{ "name": "Age", "op": "keep" },</w:t>
            </w:r>
          </w:p>
          <w:p>
            <w:pPr>
              <w:pStyle w:val="PreformattedText"/>
              <w:rPr/>
            </w:pPr>
            <w:r>
              <w:rPr>
                <w:rStyle w:val="SourceText"/>
                <w:rFonts w:ascii="Calibri" w:hAnsi="Calibri"/>
              </w:rPr>
              <w:t xml:space="preserve">      </w:t>
            </w:r>
            <w:r>
              <w:rPr>
                <w:rStyle w:val="SourceText"/>
                <w:rFonts w:ascii="Calibri" w:hAnsi="Calibri"/>
              </w:rPr>
              <w:t>{ "name": "Diagnosis", "op": "keep" },</w:t>
            </w:r>
          </w:p>
          <w:p>
            <w:pPr>
              <w:pStyle w:val="PreformattedText"/>
              <w:rPr/>
            </w:pPr>
            <w:r>
              <w:rPr>
                <w:rStyle w:val="SourceText"/>
                <w:rFonts w:ascii="Calibri" w:hAnsi="Calibri"/>
              </w:rPr>
              <w:t xml:space="preserve">      </w:t>
            </w:r>
            <w:r>
              <w:rPr>
                <w:rStyle w:val="SourceText"/>
                <w:rFonts w:ascii="Calibri" w:hAnsi="Calibri"/>
              </w:rPr>
              <w:t>...</w:t>
            </w:r>
          </w:p>
          <w:p>
            <w:pPr>
              <w:pStyle w:val="PreformattedText"/>
              <w:rPr/>
            </w:pPr>
            <w:r>
              <w:rPr>
                <w:rStyle w:val="SourceText"/>
                <w:rFonts w:ascii="Calibri" w:hAnsi="Calibri"/>
              </w:rPr>
              <w:t xml:space="preserve">    </w:t>
            </w:r>
            <w:r>
              <w:rPr>
                <w:rStyle w:val="SourceText"/>
                <w:rFonts w:ascii="Calibri" w:hAnsi="Calibri"/>
              </w:rPr>
              <w:t>]</w:t>
            </w:r>
          </w:p>
          <w:p>
            <w:pPr>
              <w:pStyle w:val="PreformattedText"/>
              <w:rPr/>
            </w:pPr>
            <w:r>
              <w:rPr>
                <w:rStyle w:val="SourceText"/>
                <w:rFonts w:ascii="Calibri" w:hAnsi="Calibri"/>
              </w:rPr>
              <w:t xml:space="preserve">  </w:t>
            </w:r>
            <w:r>
              <w:rPr>
                <w:rStyle w:val="SourceText"/>
                <w:rFonts w:ascii="Calibri" w:hAnsi="Calibri"/>
              </w:rPr>
              <w:t>}</w:t>
            </w:r>
          </w:p>
          <w:p>
            <w:pPr>
              <w:pStyle w:val="PreformattedText"/>
              <w:rPr/>
            </w:pPr>
            <w:r>
              <w:rPr>
                <w:rStyle w:val="SourceText"/>
                <w:rFonts w:ascii="Calibri" w:hAnsi="Calibri"/>
              </w:rPr>
              <w:t>}</w:t>
            </w:r>
          </w:p>
        </w:tc>
      </w:tr>
    </w:tbl>
    <w:p>
      <w:pPr>
        <w:pStyle w:val="Normal"/>
        <w:rPr>
          <w:rFonts w:ascii="Calibri" w:hAnsi="Calibri"/>
          <w:b/>
          <w:bCs/>
        </w:rPr>
      </w:pPr>
      <w:r>
        <w:rPr>
          <w:rFonts w:ascii="Calibri" w:hAnsi="Calibri"/>
          <w:b/>
          <w:bCs/>
        </w:rPr>
      </w:r>
    </w:p>
    <w:p>
      <w:pPr>
        <w:pStyle w:val="BodyText"/>
        <w:tabs>
          <w:tab w:val="clear" w:pos="720"/>
          <w:tab w:val="left" w:pos="0" w:leader="none"/>
        </w:tabs>
        <w:spacing w:before="0" w:after="200"/>
        <w:rPr/>
      </w:pPr>
      <w:r>
        <w:rPr>
          <w:rStyle w:val="Strong"/>
          <w:rFonts w:ascii="Calibri" w:hAnsi="Calibri"/>
        </w:rPr>
        <w:t>DICOM section</w:t>
      </w:r>
      <w:r>
        <w:rPr>
          <w:rFonts w:ascii="Calibri" w:hAnsi="Calibri"/>
        </w:rPr>
        <w:t xml:space="preserve"> → defines which tags are changed, removed, or hashed.</w:t>
      </w:r>
    </w:p>
    <w:p>
      <w:pPr>
        <w:pStyle w:val="BodyText"/>
        <w:tabs>
          <w:tab w:val="clear" w:pos="720"/>
          <w:tab w:val="left" w:pos="0" w:leader="none"/>
        </w:tabs>
        <w:spacing w:before="0" w:after="200"/>
        <w:rPr/>
      </w:pPr>
      <w:r>
        <w:rPr>
          <w:rStyle w:val="Strong"/>
          <w:rFonts w:ascii="Calibri" w:hAnsi="Calibri"/>
        </w:rPr>
        <w:t>Clinical section</w:t>
      </w:r>
      <w:r>
        <w:rPr>
          <w:rFonts w:ascii="Calibri" w:hAnsi="Calibri"/>
        </w:rPr>
        <w:t xml:space="preserve"> → applies the same logic to Excel columns.</w:t>
      </w:r>
    </w:p>
    <w:p>
      <w:pPr>
        <w:pStyle w:val="BodyText"/>
        <w:spacing w:before="0" w:after="200"/>
        <w:rPr/>
      </w:pPr>
      <w:r>
        <w:rPr>
          <w:rFonts w:ascii="Calibri" w:hAnsi="Calibri"/>
        </w:rPr>
        <w:t>The system automatically loads the selected profile before anonymization.</w:t>
        <w:br/>
        <w:t xml:space="preserve">Each institute can use the </w:t>
      </w:r>
      <w:r>
        <w:rPr>
          <w:rStyle w:val="Strong"/>
          <w:rFonts w:ascii="Calibri" w:hAnsi="Calibri"/>
        </w:rPr>
        <w:t>Balanced profile</w:t>
      </w:r>
      <w:r>
        <w:rPr>
          <w:rFonts w:ascii="Calibri" w:hAnsi="Calibri"/>
        </w:rPr>
        <w:t xml:space="preserve"> unless stricter rules are required.</w:t>
      </w:r>
    </w:p>
    <w:p>
      <w:pPr>
        <w:pStyle w:val="BodyText"/>
        <w:spacing w:before="0" w:after="200"/>
        <w:rPr/>
      </w:pPr>
      <w:r>
        <w:rPr>
          <w:rStyle w:val="Strong"/>
          <w:rFonts w:ascii="Calibri" w:hAnsi="Calibri"/>
          <w:b w:val="false"/>
          <w:bCs w:val="false"/>
        </w:rPr>
        <w:t xml:space="preserve">During anonymization, the tool also generates internal mapping and summary files in the output folder. </w:t>
      </w:r>
      <w:r>
        <w:rPr>
          <w:rFonts w:ascii="Calibri" w:hAnsi="Calibri"/>
        </w:rPr>
        <w:t xml:space="preserve">These include </w:t>
      </w:r>
      <w:r>
        <w:rPr>
          <w:rStyle w:val="SourceText"/>
          <w:rFonts w:ascii="Calibri" w:hAnsi="Calibri"/>
        </w:rPr>
        <w:t>id_mapping.csv</w:t>
      </w:r>
      <w:r>
        <w:rPr>
          <w:rFonts w:ascii="Calibri" w:hAnsi="Calibri"/>
        </w:rPr>
        <w:t xml:space="preserve"> and </w:t>
      </w:r>
      <w:r>
        <w:rPr>
          <w:rStyle w:val="SourceText"/>
          <w:rFonts w:ascii="Calibri" w:hAnsi="Calibri"/>
        </w:rPr>
        <w:t>folder_name_mapping.csv</w:t>
      </w:r>
      <w:r>
        <w:rPr>
          <w:rFonts w:ascii="Calibri" w:hAnsi="Calibri"/>
        </w:rPr>
        <w:t>, which record how identifiers and folder names were transformed during the anonymization process.</w:t>
        <w:br/>
        <w:t xml:space="preserve">They are used only for internal traceability by the institute (for example, if reverse lookup is required by ethics approval) and are </w:t>
      </w:r>
      <w:r>
        <w:rPr>
          <w:rStyle w:val="Strong"/>
          <w:rFonts w:ascii="Calibri" w:hAnsi="Calibri"/>
        </w:rPr>
        <w:t>not uploaded</w:t>
      </w:r>
      <w:r>
        <w:rPr>
          <w:rFonts w:ascii="Calibri" w:hAnsi="Calibri"/>
        </w:rPr>
        <w:t xml:space="preserve"> to the ZODIAC platform.</w:t>
        <w:br/>
        <w:t xml:space="preserve">These files act as lightweight anonymization logs, showing how each dataset was processed. </w:t>
      </w:r>
    </w:p>
    <w:p>
      <w:pPr>
        <w:pStyle w:val="Heading2"/>
        <w:numPr>
          <w:ilvl w:val="0"/>
          <w:numId w:val="9"/>
        </w:numPr>
        <w:ind w:hanging="360" w:left="360"/>
        <w:rPr>
          <w:rFonts w:ascii="Calibri" w:hAnsi="Calibri"/>
        </w:rPr>
      </w:pPr>
      <w:bookmarkStart w:id="10" w:name="__RefHeading___Toc2549_1635066637"/>
      <w:bookmarkEnd w:id="10"/>
      <w:r>
        <w:rPr/>
        <w:t>Clinical Data (Excel)</w:t>
      </w:r>
    </w:p>
    <w:p>
      <w:pPr>
        <w:pStyle w:val="BodyText"/>
        <w:spacing w:before="0" w:after="200"/>
        <w:rPr>
          <w:rFonts w:ascii="Calibri" w:hAnsi="Calibri"/>
        </w:rPr>
      </w:pPr>
      <w:r>
        <w:rPr>
          <w:rFonts w:ascii="Calibri" w:hAnsi="Calibri"/>
        </w:rPr>
        <w:t>The anonymization profiles use the same logic for Excel columns as for DICOM tags.</w:t>
      </w:r>
    </w:p>
    <w:p>
      <w:pPr>
        <w:pStyle w:val="BodyText"/>
        <w:spacing w:before="0" w:after="200"/>
        <w:rPr>
          <w:rFonts w:ascii="Calibri" w:hAnsi="Calibri"/>
        </w:rPr>
      </w:pPr>
      <w:r>
        <w:rPr>
          <w:rFonts w:ascii="Calibri" w:hAnsi="Calibri"/>
        </w:rPr>
        <w:t xml:space="preserve">Patient identifiers are </w:t>
      </w:r>
      <w:r>
        <w:rPr>
          <w:rFonts w:ascii="Calibri" w:hAnsi="Calibri"/>
          <w:b/>
          <w:bCs/>
        </w:rPr>
        <w:t>hashed</w:t>
      </w:r>
      <w:r>
        <w:rPr>
          <w:rFonts w:ascii="Calibri" w:hAnsi="Calibri"/>
        </w:rPr>
        <w:t xml:space="preserve"> using stable pseudonymization. Dates of birth are removed entirely, age values are generalized into 5-year ranges, and all other date fields are shifted by a controlled random offset applied consistently per patient. Clinical variables such as gender and diagnosis are retained to preserve analytical value. </w:t>
      </w:r>
    </w:p>
    <w:p>
      <w:pPr>
        <w:pStyle w:val="BodyText"/>
        <w:spacing w:before="0" w:after="200"/>
        <w:rPr/>
      </w:pPr>
      <w:r>
        <w:rPr>
          <w:rFonts w:ascii="Calibri" w:hAnsi="Calibri"/>
        </w:rPr>
        <w:t>A supplemental Excel template (</w:t>
      </w:r>
      <w:r>
        <w:rPr>
          <w:rStyle w:val="SourceText"/>
          <w:rFonts w:ascii="Calibri" w:hAnsi="Calibri"/>
        </w:rPr>
        <w:t>supplemental_template_sample.xlsx</w:t>
      </w:r>
      <w:r>
        <w:rPr>
          <w:rFonts w:ascii="Calibri" w:hAnsi="Calibri"/>
        </w:rPr>
        <w:t>) is provided to standardize data submission.</w:t>
      </w:r>
    </w:p>
    <w:p>
      <w:pPr>
        <w:pStyle w:val="BodyText"/>
        <w:spacing w:before="0" w:after="200"/>
        <w:rPr>
          <w:rFonts w:ascii="Calibri" w:hAnsi="Calibri"/>
        </w:rPr>
      </w:pPr>
      <w:r>
        <mc:AlternateContent>
          <mc:Choice Requires="wps">
            <w:drawing>
              <wp:anchor behindDoc="0" distT="0" distB="0" distL="0" distR="0" simplePos="0" locked="0" layoutInCell="1" allowOverlap="1" relativeHeight="15" wp14:anchorId="2DB41BC5">
                <wp:simplePos x="0" y="0"/>
                <wp:positionH relativeFrom="column">
                  <wp:posOffset>0</wp:posOffset>
                </wp:positionH>
                <wp:positionV relativeFrom="paragraph">
                  <wp:posOffset>635</wp:posOffset>
                </wp:positionV>
                <wp:extent cx="635000" cy="635000"/>
                <wp:effectExtent l="0" t="0" r="0" b="0"/>
                <wp:wrapNone/>
                <wp:docPr id="12" name="_x0000_tole_rId13"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13" path="m0,0l-2147483645,0l-2147483645,-2147483646l0,-2147483646xe" stroked="f" o:allowincell="f" style="position:absolute;margin-left:0pt;margin-top:0.05pt;width:49.95pt;height:49.95pt;mso-wrap-style:none;v-text-anchor:middle" wp14:anchorId="2DB41BC5">
                <v:fill o:detectmouseclick="t" on="false"/>
                <v:stroke color="#3465a4" joinstyle="round" endcap="flat"/>
                <w10:wrap type="none"/>
              </v:rect>
            </w:pict>
          </mc:Fallback>
        </mc:AlternateContent>
        <w:drawing>
          <wp:anchor behindDoc="0" distT="0" distB="0" distL="114300" distR="0" simplePos="0" locked="0" layoutInCell="0" allowOverlap="1" relativeHeight="16">
            <wp:simplePos x="0" y="0"/>
            <wp:positionH relativeFrom="column">
              <wp:posOffset>12700</wp:posOffset>
            </wp:positionH>
            <wp:positionV relativeFrom="paragraph">
              <wp:posOffset>-151130</wp:posOffset>
            </wp:positionV>
            <wp:extent cx="1778635" cy="394335"/>
            <wp:effectExtent l="0" t="0" r="0" b="0"/>
            <wp:wrapSquare wrapText="bothSides"/>
            <wp:docPr id="13" name="ole_rId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le_rId13" descr=""/>
                    <pic:cNvPicPr>
                      <a:picLocks noChangeAspect="1" noChangeArrowheads="1"/>
                    </pic:cNvPicPr>
                  </pic:nvPicPr>
                  <pic:blipFill>
                    <a:blip r:embed="rId13"/>
                    <a:stretch>
                      <a:fillRect/>
                    </a:stretch>
                  </pic:blipFill>
                  <pic:spPr bwMode="auto">
                    <a:xfrm>
                      <a:off x="0" y="0"/>
                      <a:ext cx="1778635" cy="394335"/>
                    </a:xfrm>
                    <a:prstGeom prst="rect">
                      <a:avLst/>
                    </a:prstGeom>
                    <a:noFill/>
                  </pic:spPr>
                </pic:pic>
              </a:graphicData>
            </a:graphic>
          </wp:anchor>
        </w:drawing>
      </w:r>
      <w:r>
        <w:rPr>
          <w:rFonts w:ascii="Calibri" w:hAnsi="Calibri"/>
        </w:rPr>
        <w:br/>
      </w:r>
    </w:p>
    <w:p>
      <w:pPr>
        <w:pStyle w:val="BodyText"/>
        <w:spacing w:before="0" w:after="200"/>
        <w:rPr/>
      </w:pPr>
      <w:r>
        <w:rPr>
          <w:rFonts w:ascii="Calibri" w:hAnsi="Calibri"/>
        </w:rPr>
        <w:t>Institutes should fill this template using anonymized values only.</w:t>
        <w:br/>
        <w:t xml:space="preserve">Each column name in the template corresponds to a predefined anonymization rule in the selected profile (e.g., </w:t>
      </w:r>
      <w:r>
        <w:rPr>
          <w:rStyle w:val="Emphasis"/>
          <w:rFonts w:ascii="Calibri" w:hAnsi="Calibri"/>
        </w:rPr>
        <w:t>Patient_ID → hash</w:t>
      </w:r>
      <w:r>
        <w:rPr>
          <w:rFonts w:ascii="Calibri" w:hAnsi="Calibri"/>
        </w:rPr>
        <w:t xml:space="preserve">, </w:t>
      </w:r>
      <w:r>
        <w:rPr>
          <w:rStyle w:val="Emphasis"/>
          <w:rFonts w:ascii="Calibri" w:hAnsi="Calibri"/>
        </w:rPr>
        <w:t>Study_Date → date_round_jan1</w:t>
      </w:r>
      <w:r>
        <w:rPr>
          <w:rFonts w:ascii="Calibri" w:hAnsi="Calibri"/>
        </w:rPr>
        <w:t>).</w:t>
      </w:r>
    </w:p>
    <w:tbl>
      <w:tblPr>
        <w:tblW w:w="8369" w:type="dxa"/>
        <w:jc w:val="left"/>
        <w:tblInd w:w="45" w:type="dxa"/>
        <w:tblLayout w:type="fixed"/>
        <w:tblCellMar>
          <w:top w:w="0" w:type="dxa"/>
          <w:left w:w="108" w:type="dxa"/>
          <w:bottom w:w="0" w:type="dxa"/>
          <w:right w:w="108" w:type="dxa"/>
        </w:tblCellMar>
        <w:tblLook w:firstRow="1" w:noVBand="1" w:lastRow="0" w:firstColumn="1" w:lastColumn="0" w:noHBand="0" w:val="04a0"/>
      </w:tblPr>
      <w:tblGrid>
        <w:gridCol w:w="1888"/>
        <w:gridCol w:w="2160"/>
        <w:gridCol w:w="2160"/>
        <w:gridCol w:w="2160"/>
      </w:tblGrid>
      <w:tr>
        <w:trPr/>
        <w:tc>
          <w:tcPr>
            <w:tcW w:w="1888" w:type="dxa"/>
            <w:tcBorders>
              <w:top w:val="single" w:sz="4" w:space="0" w:color="000000"/>
              <w:left w:val="single" w:sz="4" w:space="0" w:color="000000"/>
              <w:bottom w:val="single" w:sz="4" w:space="0" w:color="000000"/>
              <w:right w:val="single" w:sz="4" w:space="0" w:color="000000"/>
            </w:tcBorders>
            <w:shd w:color="auto" w:fill="DDDDDD" w:val="clear"/>
          </w:tcPr>
          <w:p>
            <w:pPr>
              <w:pStyle w:val="Normal"/>
              <w:spacing w:lineRule="auto" w:line="240" w:before="0" w:after="0"/>
              <w:rPr>
                <w:rFonts w:ascii="Calibri" w:hAnsi="Calibri"/>
              </w:rPr>
            </w:pPr>
            <w:r>
              <w:rPr>
                <w:rFonts w:ascii="Calibri" w:hAnsi="Calibri"/>
                <w:b/>
                <w:bCs/>
              </w:rPr>
              <w:t>AnonID</w:t>
            </w:r>
          </w:p>
        </w:tc>
        <w:tc>
          <w:tcPr>
            <w:tcW w:w="2160" w:type="dxa"/>
            <w:tcBorders>
              <w:top w:val="single" w:sz="4" w:space="0" w:color="000000"/>
              <w:left w:val="single" w:sz="4" w:space="0" w:color="000000"/>
              <w:bottom w:val="single" w:sz="4" w:space="0" w:color="000000"/>
              <w:right w:val="single" w:sz="4" w:space="0" w:color="000000"/>
            </w:tcBorders>
            <w:shd w:color="auto" w:fill="DDDDDD" w:val="clear"/>
          </w:tcPr>
          <w:p>
            <w:pPr>
              <w:pStyle w:val="Normal"/>
              <w:spacing w:lineRule="auto" w:line="240" w:before="0" w:after="0"/>
              <w:rPr>
                <w:rFonts w:ascii="Calibri" w:hAnsi="Calibri"/>
              </w:rPr>
            </w:pPr>
            <w:r>
              <w:rPr>
                <w:rFonts w:ascii="Calibri" w:hAnsi="Calibri"/>
                <w:b/>
                <w:bCs/>
              </w:rPr>
              <w:t>Age</w:t>
            </w:r>
          </w:p>
        </w:tc>
        <w:tc>
          <w:tcPr>
            <w:tcW w:w="2160" w:type="dxa"/>
            <w:tcBorders>
              <w:top w:val="single" w:sz="4" w:space="0" w:color="000000"/>
              <w:left w:val="single" w:sz="4" w:space="0" w:color="000000"/>
              <w:bottom w:val="single" w:sz="4" w:space="0" w:color="000000"/>
              <w:right w:val="single" w:sz="4" w:space="0" w:color="000000"/>
            </w:tcBorders>
            <w:shd w:color="auto" w:fill="DDDDDD" w:val="clear"/>
          </w:tcPr>
          <w:p>
            <w:pPr>
              <w:pStyle w:val="Normal"/>
              <w:spacing w:lineRule="auto" w:line="240" w:before="0" w:after="0"/>
              <w:rPr>
                <w:rFonts w:ascii="Calibri" w:hAnsi="Calibri"/>
              </w:rPr>
            </w:pPr>
            <w:r>
              <w:rPr>
                <w:rFonts w:ascii="Calibri" w:hAnsi="Calibri"/>
                <w:b/>
                <w:bCs/>
              </w:rPr>
              <w:t>Gender</w:t>
            </w:r>
          </w:p>
        </w:tc>
        <w:tc>
          <w:tcPr>
            <w:tcW w:w="2160" w:type="dxa"/>
            <w:tcBorders>
              <w:top w:val="single" w:sz="4" w:space="0" w:color="000000"/>
              <w:left w:val="single" w:sz="4" w:space="0" w:color="000000"/>
              <w:bottom w:val="single" w:sz="4" w:space="0" w:color="000000"/>
              <w:right w:val="single" w:sz="4" w:space="0" w:color="000000"/>
            </w:tcBorders>
            <w:shd w:color="auto" w:fill="DDDDDD" w:val="clear"/>
          </w:tcPr>
          <w:p>
            <w:pPr>
              <w:pStyle w:val="Normal"/>
              <w:spacing w:lineRule="auto" w:line="240" w:before="0" w:after="0"/>
              <w:rPr>
                <w:rFonts w:ascii="Calibri" w:hAnsi="Calibri"/>
              </w:rPr>
            </w:pPr>
            <w:r>
              <w:rPr>
                <w:rFonts w:ascii="Calibri" w:hAnsi="Calibri"/>
                <w:b/>
                <w:bCs/>
              </w:rPr>
              <w:t>Diagnosis</w:t>
            </w:r>
          </w:p>
        </w:tc>
      </w:tr>
      <w:tr>
        <w:trPr/>
        <w:tc>
          <w:tcPr>
            <w:tcW w:w="188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ANON-001</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56</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M</w:t>
            </w:r>
          </w:p>
        </w:tc>
        <w:tc>
          <w:tcPr>
            <w:tcW w:w="216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Pneumonia</w:t>
            </w:r>
          </w:p>
        </w:tc>
      </w:tr>
    </w:tbl>
    <w:p>
      <w:pPr>
        <w:pStyle w:val="Normal"/>
        <w:rPr>
          <w:rFonts w:ascii="Calibri" w:hAnsi="Calibri"/>
        </w:rPr>
      </w:pPr>
      <w:r>
        <w:rPr>
          <w:rFonts w:ascii="Calibri" w:hAnsi="Calibri"/>
        </w:rPr>
      </w:r>
    </w:p>
    <w:p>
      <w:pPr>
        <w:pStyle w:val="BodyText"/>
        <w:rPr>
          <w:rFonts w:ascii="Calibri" w:hAnsi="Calibri"/>
        </w:rPr>
      </w:pPr>
      <w:r>
        <w:rPr>
          <w:rFonts w:ascii="Calibri" w:hAnsi="Calibri"/>
        </w:rPr>
        <w:t>Clinical data is limited to structured fields defined in the provided template, and free-text clinical notes are not supported.</w:t>
      </w:r>
    </w:p>
    <w:p>
      <w:pPr>
        <w:pStyle w:val="BodyText"/>
        <w:spacing w:before="0" w:after="200"/>
        <w:rPr>
          <w:rFonts w:ascii="Calibri" w:hAnsi="Calibri"/>
        </w:rPr>
      </w:pPr>
      <w:r>
        <w:rPr>
          <w:rFonts w:ascii="Calibri" w:hAnsi="Calibri"/>
        </w:rPr>
        <w:t>A residual risk remains that users could theoretically enter identifiable information into structured fields. This risk is mitigated through:</w:t>
      </w:r>
    </w:p>
    <w:p>
      <w:pPr>
        <w:pStyle w:val="BodyText"/>
        <w:numPr>
          <w:ilvl w:val="0"/>
          <w:numId w:val="16"/>
        </w:numPr>
        <w:tabs>
          <w:tab w:val="clear" w:pos="720"/>
          <w:tab w:val="left" w:pos="0" w:leader="none"/>
        </w:tabs>
        <w:spacing w:before="0" w:after="200"/>
        <w:rPr>
          <w:rFonts w:ascii="Calibri" w:hAnsi="Calibri"/>
        </w:rPr>
      </w:pPr>
      <w:r>
        <w:rPr>
          <w:rFonts w:ascii="Calibri" w:hAnsi="Calibri"/>
        </w:rPr>
        <w:t>Restriction of editable fields to predefined clinical variables</w:t>
      </w:r>
    </w:p>
    <w:p>
      <w:pPr>
        <w:pStyle w:val="BodyText"/>
        <w:numPr>
          <w:ilvl w:val="0"/>
          <w:numId w:val="16"/>
        </w:numPr>
        <w:tabs>
          <w:tab w:val="clear" w:pos="720"/>
          <w:tab w:val="left" w:pos="0" w:leader="none"/>
        </w:tabs>
        <w:spacing w:before="0" w:after="200"/>
        <w:rPr>
          <w:rFonts w:ascii="Calibri" w:hAnsi="Calibri"/>
        </w:rPr>
      </w:pPr>
      <w:r>
        <w:rPr>
          <w:rFonts w:ascii="Calibri" w:hAnsi="Calibri"/>
        </w:rPr>
        <w:t>Role-based access control for metadata editing</w:t>
      </w:r>
    </w:p>
    <w:p>
      <w:pPr>
        <w:pStyle w:val="BodyText"/>
        <w:numPr>
          <w:ilvl w:val="0"/>
          <w:numId w:val="16"/>
        </w:numPr>
        <w:tabs>
          <w:tab w:val="clear" w:pos="720"/>
          <w:tab w:val="left" w:pos="0" w:leader="none"/>
        </w:tabs>
        <w:spacing w:before="0" w:after="200"/>
        <w:rPr>
          <w:rFonts w:ascii="Calibri" w:hAnsi="Calibri"/>
        </w:rPr>
      </w:pPr>
      <w:r>
        <w:rPr>
          <w:rFonts w:ascii="Calibri" w:hAnsi="Calibri"/>
        </w:rPr>
        <w:t>Validation rules aligned with the anonymization profiles</w:t>
      </w:r>
    </w:p>
    <w:p>
      <w:pPr>
        <w:pStyle w:val="BodyText"/>
        <w:numPr>
          <w:ilvl w:val="0"/>
          <w:numId w:val="16"/>
        </w:numPr>
        <w:tabs>
          <w:tab w:val="clear" w:pos="720"/>
          <w:tab w:val="left" w:pos="0" w:leader="none"/>
        </w:tabs>
        <w:spacing w:before="0" w:after="200"/>
        <w:rPr>
          <w:rFonts w:ascii="Calibri" w:hAnsi="Calibri"/>
        </w:rPr>
      </w:pPr>
      <w:r>
        <w:rPr>
          <w:rFonts w:ascii="Calibri" w:hAnsi="Calibri"/>
        </w:rPr>
        <w:t>Clear guidance to participating institutes on appropriate data entry</w:t>
      </w:r>
    </w:p>
    <w:p>
      <w:pPr>
        <w:pStyle w:val="BodyText"/>
        <w:spacing w:before="0" w:after="200"/>
        <w:rPr>
          <w:rFonts w:ascii="Calibri" w:hAnsi="Calibri"/>
        </w:rPr>
      </w:pPr>
      <w:r>
        <w:rPr>
          <w:rFonts w:ascii="Calibri" w:hAnsi="Calibri"/>
        </w:rPr>
        <w:t>These measures reduce the likelihood of accidental inclusion of personal data while preserving analytical utility.</w:t>
      </w:r>
    </w:p>
    <w:p>
      <w:pPr>
        <w:pStyle w:val="BodyText"/>
        <w:spacing w:before="0" w:after="200"/>
        <w:rPr>
          <w:rFonts w:ascii="Calibri" w:hAnsi="Calibri"/>
        </w:rPr>
      </w:pPr>
      <w:r>
        <w:rPr>
          <w:rFonts w:ascii="Calibri" w:hAnsi="Calibri"/>
        </w:rPr>
        <w:t xml:space="preserve">Editing of anonymized metadata after upload is restricted to authenticated users assigned to uploader or editor roles within their own clinical center archive. Metadata fields are structured (JSON-based); free-text clinical notes are not supported. </w:t>
      </w:r>
    </w:p>
    <w:p>
      <w:pPr>
        <w:pStyle w:val="Heading2"/>
        <w:numPr>
          <w:ilvl w:val="0"/>
          <w:numId w:val="9"/>
        </w:numPr>
        <w:ind w:hanging="360" w:left="360"/>
        <w:rPr>
          <w:rFonts w:ascii="Calibri" w:hAnsi="Calibri"/>
        </w:rPr>
      </w:pPr>
      <w:bookmarkStart w:id="11" w:name="__RefHeading___Toc2551_1635066637"/>
      <w:bookmarkEnd w:id="11"/>
      <w:r>
        <w:rPr/>
        <w:t>Validation and Audit</w:t>
      </w:r>
    </w:p>
    <w:p>
      <w:pPr>
        <w:pStyle w:val="BodyText"/>
        <w:rPr/>
      </w:pPr>
      <w:r>
        <w:rPr>
          <w:rFonts w:ascii="Calibri" w:hAnsi="Calibri"/>
        </w:rPr>
        <w:t xml:space="preserve">Automated validation checks are applied before and during upload to ensure that mandatory anonymization rules have been correctly applied. These checks verify, for example, that Patient Name fields are set to “Anonymous”, that pseudonymized Patient and Study identifiers are present and correctly formatted, and that no direct personal identifiers remain in DICOM headers. If any validation check fails, the upload is </w:t>
      </w:r>
      <w:r>
        <w:rPr>
          <w:rStyle w:val="Strong"/>
          <w:rFonts w:ascii="Calibri" w:hAnsi="Calibri"/>
        </w:rPr>
        <w:t>blocked</w:t>
      </w:r>
      <w:r>
        <w:rPr>
          <w:rFonts w:ascii="Calibri" w:hAnsi="Calibri"/>
        </w:rPr>
        <w:t>, and the user is informed via the interface logs. The user must correct the anonymization locally and rerun the process before upload can proceed.</w:t>
      </w:r>
    </w:p>
    <w:p>
      <w:pPr>
        <w:pStyle w:val="BodyText"/>
        <w:rPr>
          <w:rFonts w:ascii="Calibri" w:hAnsi="Calibri"/>
        </w:rPr>
      </w:pPr>
      <w:r>
        <w:rPr>
          <w:rFonts w:ascii="Calibri" w:hAnsi="Calibri"/>
        </w:rPr>
        <w:t xml:space="preserve">Upon successful upload, the platform performs a final server-side validation of DICOM metadata and associated clinical files. Any dataset found to contain personal data or invalid structure is rejected. Audit logs are maintained within UNICC-managed infrastructure (AWS CloudTrail) and reviewed as part of information security controls by InfoSec. In addition, infrastructure-level threat detection is provided through AWS-native monitoring services. Enablement of Amazon GuardDuty for enhanced runtime threat detection is pending final approval. </w:t>
      </w:r>
    </w:p>
    <w:p>
      <w:pPr>
        <w:pStyle w:val="Normal"/>
        <w:rPr/>
      </w:pPr>
      <w:r>
        <w:rPr>
          <w:rStyle w:val="Strong"/>
          <w:rFonts w:ascii="Calibri" w:hAnsi="Calibri"/>
          <w:b w:val="false"/>
          <w:bCs w:val="false"/>
        </w:rPr>
        <w:t>Additionally, the browser interface provides downloadable Info Panels after anonymization and upload.</w:t>
      </w:r>
      <w:r>
        <w:rPr>
          <w:rFonts w:ascii="Calibri" w:hAnsi="Calibri"/>
        </w:rPr>
        <w:br/>
        <w:t xml:space="preserve">The </w:t>
      </w:r>
      <w:r>
        <w:rPr>
          <w:rStyle w:val="Strong"/>
          <w:rFonts w:ascii="Calibri" w:hAnsi="Calibri"/>
        </w:rPr>
        <w:t>Anonymization Info Panel</w:t>
      </w:r>
      <w:r>
        <w:rPr>
          <w:rFonts w:ascii="Calibri" w:hAnsi="Calibri"/>
        </w:rPr>
        <w:t xml:space="preserve"> summarizes processed files, selected profile, and detected issues.</w:t>
      </w:r>
    </w:p>
    <w:p>
      <w:pPr>
        <w:pStyle w:val="Normal"/>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486400" cy="1834515"/>
            <wp:effectExtent l="0" t="0" r="0" b="0"/>
            <wp:wrapSquare wrapText="largest"/>
            <wp:docPr id="1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pic:cNvPicPr>
                      <a:picLocks noChangeAspect="1" noChangeArrowheads="1"/>
                    </pic:cNvPicPr>
                  </pic:nvPicPr>
                  <pic:blipFill>
                    <a:blip r:embed="rId14"/>
                    <a:srcRect l="-109" t="-326" r="-109" b="-326"/>
                    <a:stretch>
                      <a:fillRect/>
                    </a:stretch>
                  </pic:blipFill>
                  <pic:spPr bwMode="auto">
                    <a:xfrm>
                      <a:off x="0" y="0"/>
                      <a:ext cx="5486400" cy="1834515"/>
                    </a:xfrm>
                    <a:prstGeom prst="rect">
                      <a:avLst/>
                    </a:prstGeom>
                    <a:noFill/>
                  </pic:spPr>
                </pic:pic>
              </a:graphicData>
            </a:graphic>
          </wp:anchor>
        </w:drawing>
      </w:r>
      <w:r>
        <w:rPr>
          <w:rFonts w:ascii="Calibri" w:hAnsi="Calibri"/>
        </w:rPr>
        <w:br/>
        <w:t xml:space="preserve">The </w:t>
      </w:r>
      <w:r>
        <w:rPr>
          <w:rStyle w:val="Strong"/>
          <w:rFonts w:ascii="Calibri" w:hAnsi="Calibri"/>
        </w:rPr>
        <w:t>Upload Info Panel</w:t>
      </w:r>
      <w:r>
        <w:rPr>
          <w:rFonts w:ascii="Calibri" w:hAnsi="Calibri"/>
        </w:rPr>
        <w:t xml:space="preserve"> confirms successful upload and validation.</w:t>
      </w:r>
    </w:p>
    <w:p>
      <w:pPr>
        <w:pStyle w:val="Normal"/>
        <w:rPr>
          <w:rFonts w:ascii="Calibri" w:hAnsi="Calibri"/>
        </w:rPr>
      </w:pPr>
      <w:r>
        <w:drawing>
          <wp:anchor behindDoc="0" distT="0" distB="0" distL="0" distR="0" simplePos="0" locked="0" layoutInCell="0" allowOverlap="1" relativeHeight="6">
            <wp:simplePos x="0" y="0"/>
            <wp:positionH relativeFrom="column">
              <wp:posOffset>-25400</wp:posOffset>
            </wp:positionH>
            <wp:positionV relativeFrom="paragraph">
              <wp:posOffset>-30480</wp:posOffset>
            </wp:positionV>
            <wp:extent cx="5486400" cy="1660525"/>
            <wp:effectExtent l="0" t="0" r="0" b="0"/>
            <wp:wrapTopAndBottom/>
            <wp:docPr id="15"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9" descr=""/>
                    <pic:cNvPicPr>
                      <a:picLocks noChangeAspect="1" noChangeArrowheads="1"/>
                    </pic:cNvPicPr>
                  </pic:nvPicPr>
                  <pic:blipFill>
                    <a:blip r:embed="rId15"/>
                    <a:srcRect l="-109" t="-360" r="-109" b="-360"/>
                    <a:stretch>
                      <a:fillRect/>
                    </a:stretch>
                  </pic:blipFill>
                  <pic:spPr bwMode="auto">
                    <a:xfrm>
                      <a:off x="0" y="0"/>
                      <a:ext cx="5486400" cy="1660525"/>
                    </a:xfrm>
                    <a:prstGeom prst="rect">
                      <a:avLst/>
                    </a:prstGeom>
                    <a:noFill/>
                  </pic:spPr>
                </pic:pic>
              </a:graphicData>
            </a:graphic>
          </wp:anchor>
        </w:drawing>
      </w:r>
      <w:r>
        <w:rPr>
          <w:rFonts w:ascii="Calibri" w:hAnsi="Calibri"/>
        </w:rPr>
        <w:t xml:space="preserve">Both can be saved locally as evidence for audit or internal record keeping. </w:t>
      </w:r>
    </w:p>
    <w:p>
      <w:pPr>
        <w:pStyle w:val="Normal"/>
        <w:rPr>
          <w:rFonts w:ascii="Calibri" w:hAnsi="Calibri"/>
        </w:rPr>
      </w:pPr>
      <w:r>
        <w:rPr>
          <w:rFonts w:ascii="Calibri" w:hAnsi="Calibri"/>
        </w:rPr>
      </w:r>
    </w:p>
    <w:p>
      <w:pPr>
        <w:pStyle w:val="Heading2"/>
        <w:numPr>
          <w:ilvl w:val="0"/>
          <w:numId w:val="9"/>
        </w:numPr>
        <w:ind w:hanging="360" w:left="360"/>
        <w:rPr>
          <w:rFonts w:ascii="Calibri" w:hAnsi="Calibri"/>
        </w:rPr>
      </w:pPr>
      <w:bookmarkStart w:id="12" w:name="__RefHeading___Toc2553_1635066637"/>
      <w:bookmarkEnd w:id="12"/>
      <w:r>
        <w:rPr/>
        <w:t>Compliance Mapping</w:t>
      </w:r>
    </w:p>
    <w:tbl>
      <w:tblPr>
        <w:tblW w:w="8459" w:type="dxa"/>
        <w:jc w:val="left"/>
        <w:tblInd w:w="-45" w:type="dxa"/>
        <w:tblLayout w:type="fixed"/>
        <w:tblCellMar>
          <w:top w:w="0" w:type="dxa"/>
          <w:left w:w="108" w:type="dxa"/>
          <w:bottom w:w="0" w:type="dxa"/>
          <w:right w:w="108" w:type="dxa"/>
        </w:tblCellMar>
        <w:tblLook w:firstRow="1" w:noVBand="1" w:lastRow="0" w:firstColumn="1" w:lastColumn="0" w:noHBand="0" w:val="04a0"/>
      </w:tblPr>
      <w:tblGrid>
        <w:gridCol w:w="2448"/>
        <w:gridCol w:w="6010"/>
      </w:tblGrid>
      <w:tr>
        <w:trPr/>
        <w:tc>
          <w:tcPr>
            <w:tcW w:w="2448" w:type="dxa"/>
            <w:tcBorders>
              <w:top w:val="single" w:sz="4" w:space="0" w:color="000000"/>
              <w:left w:val="single" w:sz="4" w:space="0" w:color="000000"/>
              <w:bottom w:val="single" w:sz="4" w:space="0" w:color="000000"/>
              <w:right w:val="single" w:sz="4" w:space="0" w:color="000000"/>
            </w:tcBorders>
            <w:shd w:color="auto" w:fill="DDDDDD" w:val="clear"/>
          </w:tcPr>
          <w:p>
            <w:pPr>
              <w:pStyle w:val="Normal"/>
              <w:spacing w:lineRule="auto" w:line="240" w:before="0" w:after="0"/>
              <w:rPr>
                <w:rFonts w:ascii="Calibri" w:hAnsi="Calibri"/>
              </w:rPr>
            </w:pPr>
            <w:r>
              <w:rPr>
                <w:rFonts w:ascii="Calibri" w:hAnsi="Calibri"/>
                <w:b/>
                <w:bCs/>
              </w:rPr>
              <w:t>Standard</w:t>
            </w:r>
          </w:p>
        </w:tc>
        <w:tc>
          <w:tcPr>
            <w:tcW w:w="6010" w:type="dxa"/>
            <w:tcBorders>
              <w:top w:val="single" w:sz="4" w:space="0" w:color="000000"/>
              <w:left w:val="single" w:sz="4" w:space="0" w:color="000000"/>
              <w:bottom w:val="single" w:sz="4" w:space="0" w:color="000000"/>
              <w:right w:val="single" w:sz="4" w:space="0" w:color="000000"/>
            </w:tcBorders>
            <w:shd w:color="auto" w:fill="DDDDDD" w:val="clear"/>
          </w:tcPr>
          <w:p>
            <w:pPr>
              <w:pStyle w:val="Normal"/>
              <w:spacing w:lineRule="auto" w:line="240" w:before="0" w:after="0"/>
              <w:rPr>
                <w:rFonts w:ascii="Calibri" w:hAnsi="Calibri"/>
              </w:rPr>
            </w:pPr>
            <w:r>
              <w:rPr>
                <w:rFonts w:ascii="Calibri" w:hAnsi="Calibri"/>
                <w:b/>
                <w:bCs/>
              </w:rPr>
              <w:t>How it is followed</w:t>
            </w:r>
          </w:p>
        </w:tc>
      </w:tr>
      <w:tr>
        <w:trPr/>
        <w:tc>
          <w:tcPr>
            <w:tcW w:w="24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IAEA ISMS AM.IV/3</w:t>
            </w:r>
          </w:p>
        </w:tc>
        <w:tc>
          <w:tcPr>
            <w:tcW w:w="60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Data anonymized before upload, encrypted storage and audit logs.</w:t>
            </w:r>
          </w:p>
        </w:tc>
      </w:tr>
      <w:tr>
        <w:trPr/>
        <w:tc>
          <w:tcPr>
            <w:tcW w:w="24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GDPR Article 32</w:t>
            </w:r>
          </w:p>
        </w:tc>
        <w:tc>
          <w:tcPr>
            <w:tcW w:w="60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Data protected by design and by encryption.</w:t>
            </w:r>
          </w:p>
        </w:tc>
      </w:tr>
      <w:tr>
        <w:trPr/>
        <w:tc>
          <w:tcPr>
            <w:tcW w:w="24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DICOM PS3.15 Annex E</w:t>
            </w:r>
          </w:p>
        </w:tc>
        <w:tc>
          <w:tcPr>
            <w:tcW w:w="60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Used as reference for confidentiality tags.</w:t>
            </w:r>
          </w:p>
        </w:tc>
      </w:tr>
      <w:tr>
        <w:trPr/>
        <w:tc>
          <w:tcPr>
            <w:tcW w:w="2448"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UNICC Security Policy</w:t>
            </w:r>
          </w:p>
        </w:tc>
        <w:tc>
          <w:tcPr>
            <w:tcW w:w="60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System under DevSecOps control with CloudWatch and audit.</w:t>
            </w:r>
          </w:p>
        </w:tc>
      </w:tr>
    </w:tbl>
    <w:p>
      <w:pPr>
        <w:pStyle w:val="Heading2"/>
        <w:numPr>
          <w:ilvl w:val="0"/>
          <w:numId w:val="9"/>
        </w:numPr>
        <w:ind w:hanging="360" w:left="360"/>
        <w:rPr>
          <w:rFonts w:ascii="Calibri" w:hAnsi="Calibri"/>
        </w:rPr>
      </w:pPr>
      <w:bookmarkStart w:id="13" w:name="__RefHeading___Toc2555_1635066637"/>
      <w:bookmarkEnd w:id="13"/>
      <w:r>
        <w:rPr/>
        <w:t>Retention and Deletion</w:t>
      </w:r>
    </w:p>
    <w:p>
      <w:pPr>
        <w:pStyle w:val="Normal"/>
        <w:rPr>
          <w:rFonts w:ascii="Calibri" w:hAnsi="Calibri"/>
        </w:rPr>
      </w:pPr>
      <w:r>
        <w:rPr>
          <w:rFonts w:ascii="Calibri" w:hAnsi="Calibri"/>
        </w:rPr>
        <w:t xml:space="preserve">Data is retained in accordance with the approved project duration (currently 3 years), unless extended by formal project decision. </w:t>
      </w:r>
    </w:p>
    <w:p>
      <w:pPr>
        <w:pStyle w:val="Normal"/>
        <w:rPr>
          <w:rFonts w:ascii="Calibri" w:hAnsi="Calibri"/>
        </w:rPr>
      </w:pPr>
      <w:r>
        <w:rPr>
          <w:rFonts w:ascii="Calibri" w:hAnsi="Calibri"/>
        </w:rPr>
        <w:t>S3 storage changes class automatically: 0–30 days Standard, 31–180 days Infrequent Access, after that Glacier. After 3 years, data is deleted unless the project is extended.</w:t>
      </w:r>
    </w:p>
    <w:p>
      <w:pPr>
        <w:pStyle w:val="Heading2"/>
        <w:numPr>
          <w:ilvl w:val="0"/>
          <w:numId w:val="9"/>
        </w:numPr>
        <w:ind w:hanging="360" w:left="360"/>
        <w:rPr>
          <w:rFonts w:ascii="Calibri" w:hAnsi="Calibri"/>
        </w:rPr>
      </w:pPr>
      <w:bookmarkStart w:id="14" w:name="__RefHeading___Toc2559_1635066637"/>
      <w:bookmarkEnd w:id="14"/>
      <w:r>
        <w:rPr/>
        <w:t>Change Log</w:t>
      </w:r>
    </w:p>
    <w:tbl>
      <w:tblPr>
        <w:tblW w:w="8459" w:type="dxa"/>
        <w:jc w:val="left"/>
        <w:tblInd w:w="-45" w:type="dxa"/>
        <w:tblLayout w:type="fixed"/>
        <w:tblCellMar>
          <w:top w:w="0" w:type="dxa"/>
          <w:left w:w="108" w:type="dxa"/>
          <w:bottom w:w="0" w:type="dxa"/>
          <w:right w:w="108" w:type="dxa"/>
        </w:tblCellMar>
        <w:tblLook w:firstRow="1" w:noVBand="1" w:lastRow="0" w:firstColumn="1" w:lastColumn="0" w:noHBand="0" w:val="04a0"/>
      </w:tblPr>
      <w:tblGrid>
        <w:gridCol w:w="1010"/>
        <w:gridCol w:w="1350"/>
        <w:gridCol w:w="3782"/>
        <w:gridCol w:w="2316"/>
      </w:tblGrid>
      <w:tr>
        <w:trPr/>
        <w:tc>
          <w:tcPr>
            <w:tcW w:w="1010" w:type="dxa"/>
            <w:tcBorders>
              <w:top w:val="single" w:sz="4" w:space="0" w:color="000000"/>
              <w:left w:val="single" w:sz="4" w:space="0" w:color="000000"/>
              <w:bottom w:val="single" w:sz="4" w:space="0" w:color="000000"/>
              <w:right w:val="single" w:sz="4" w:space="0" w:color="000000"/>
            </w:tcBorders>
            <w:shd w:color="auto" w:fill="DDDDDD" w:val="clear"/>
          </w:tcPr>
          <w:p>
            <w:pPr>
              <w:pStyle w:val="Normal"/>
              <w:spacing w:lineRule="auto" w:line="240" w:before="0" w:after="0"/>
              <w:rPr>
                <w:rFonts w:ascii="Calibri" w:hAnsi="Calibri"/>
              </w:rPr>
            </w:pPr>
            <w:r>
              <w:rPr>
                <w:rFonts w:ascii="Calibri" w:hAnsi="Calibri"/>
                <w:b/>
                <w:bCs/>
              </w:rPr>
              <w:t>Version</w:t>
            </w:r>
          </w:p>
        </w:tc>
        <w:tc>
          <w:tcPr>
            <w:tcW w:w="1350" w:type="dxa"/>
            <w:tcBorders>
              <w:top w:val="single" w:sz="4" w:space="0" w:color="000000"/>
              <w:left w:val="single" w:sz="4" w:space="0" w:color="000000"/>
              <w:bottom w:val="single" w:sz="4" w:space="0" w:color="000000"/>
              <w:right w:val="single" w:sz="4" w:space="0" w:color="000000"/>
            </w:tcBorders>
            <w:shd w:color="auto" w:fill="DDDDDD" w:val="clear"/>
          </w:tcPr>
          <w:p>
            <w:pPr>
              <w:pStyle w:val="Normal"/>
              <w:spacing w:lineRule="auto" w:line="240" w:before="0" w:after="0"/>
              <w:rPr>
                <w:rFonts w:ascii="Calibri" w:hAnsi="Calibri"/>
              </w:rPr>
            </w:pPr>
            <w:r>
              <w:rPr>
                <w:rFonts w:ascii="Calibri" w:hAnsi="Calibri"/>
                <w:b/>
                <w:bCs/>
              </w:rPr>
              <w:t>Date</w:t>
            </w:r>
          </w:p>
        </w:tc>
        <w:tc>
          <w:tcPr>
            <w:tcW w:w="3782" w:type="dxa"/>
            <w:tcBorders>
              <w:top w:val="single" w:sz="4" w:space="0" w:color="000000"/>
              <w:left w:val="single" w:sz="4" w:space="0" w:color="000000"/>
              <w:bottom w:val="single" w:sz="4" w:space="0" w:color="000000"/>
              <w:right w:val="single" w:sz="4" w:space="0" w:color="000000"/>
            </w:tcBorders>
            <w:shd w:color="auto" w:fill="DDDDDD" w:val="clear"/>
          </w:tcPr>
          <w:p>
            <w:pPr>
              <w:pStyle w:val="Normal"/>
              <w:spacing w:lineRule="auto" w:line="240" w:before="0" w:after="0"/>
              <w:rPr>
                <w:rFonts w:ascii="Calibri" w:hAnsi="Calibri"/>
              </w:rPr>
            </w:pPr>
            <w:r>
              <w:rPr>
                <w:rFonts w:ascii="Calibri" w:hAnsi="Calibri"/>
                <w:b/>
                <w:bCs/>
              </w:rPr>
              <w:t>Description</w:t>
            </w:r>
          </w:p>
        </w:tc>
        <w:tc>
          <w:tcPr>
            <w:tcW w:w="2316" w:type="dxa"/>
            <w:tcBorders>
              <w:top w:val="single" w:sz="4" w:space="0" w:color="000000"/>
              <w:left w:val="single" w:sz="4" w:space="0" w:color="000000"/>
              <w:bottom w:val="single" w:sz="4" w:space="0" w:color="000000"/>
              <w:right w:val="single" w:sz="4" w:space="0" w:color="000000"/>
            </w:tcBorders>
            <w:shd w:color="auto" w:fill="DDDDDD" w:val="clear"/>
          </w:tcPr>
          <w:p>
            <w:pPr>
              <w:pStyle w:val="Normal"/>
              <w:spacing w:lineRule="auto" w:line="240" w:before="0" w:after="0"/>
              <w:rPr>
                <w:rFonts w:ascii="Calibri" w:hAnsi="Calibri"/>
              </w:rPr>
            </w:pPr>
            <w:r>
              <w:rPr>
                <w:rFonts w:ascii="Calibri" w:hAnsi="Calibri"/>
                <w:b/>
                <w:bCs/>
              </w:rPr>
              <w:t>Author / Reviewed by</w:t>
            </w:r>
          </w:p>
        </w:tc>
      </w:tr>
      <w:tr>
        <w:trPr/>
        <w:tc>
          <w:tcPr>
            <w:tcW w:w="10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0.1</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22.10.2025</w:t>
            </w:r>
          </w:p>
        </w:tc>
        <w:tc>
          <w:tcPr>
            <w:tcW w:w="378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Initial draft. Added anonymization workflow, clinical data handling, and compliance mapping.</w:t>
            </w:r>
          </w:p>
        </w:tc>
        <w:tc>
          <w:tcPr>
            <w:tcW w:w="23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Ibrahim Saracoglu / ZODIAC Team</w:t>
            </w:r>
          </w:p>
        </w:tc>
      </w:tr>
      <w:tr>
        <w:trPr/>
        <w:tc>
          <w:tcPr>
            <w:tcW w:w="10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0.2</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18.12.2025</w:t>
            </w:r>
          </w:p>
        </w:tc>
        <w:tc>
          <w:tcPr>
            <w:tcW w:w="3782" w:type="dxa"/>
            <w:tcBorders>
              <w:top w:val="single" w:sz="4" w:space="0" w:color="000000"/>
              <w:left w:val="single" w:sz="4" w:space="0" w:color="000000"/>
              <w:bottom w:val="single" w:sz="4" w:space="0" w:color="000000"/>
              <w:right w:val="single" w:sz="4" w:space="0" w:color="000000"/>
            </w:tcBorders>
          </w:tcPr>
          <w:p>
            <w:pPr>
              <w:pStyle w:val="BodyText"/>
              <w:spacing w:lineRule="auto" w:line="240" w:before="0" w:after="0"/>
              <w:rPr>
                <w:rFonts w:ascii="Calibri" w:hAnsi="Calibri"/>
              </w:rPr>
            </w:pPr>
            <w:r>
              <w:rPr>
                <w:rFonts w:ascii="Calibri" w:hAnsi="Calibri"/>
              </w:rPr>
              <w:t>Updated to reflect current two-phase local anonymization workflow, corrected technical implementation details (pure JavaScript, user-defined destination folder), added Step 3 (viewer), improved interface description.</w:t>
            </w:r>
          </w:p>
        </w:tc>
        <w:tc>
          <w:tcPr>
            <w:tcW w:w="23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Ibrahim Saracoglu / ZODIAC Team</w:t>
            </w:r>
          </w:p>
        </w:tc>
      </w:tr>
      <w:tr>
        <w:trPr/>
        <w:tc>
          <w:tcPr>
            <w:tcW w:w="101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0.3</w:t>
            </w:r>
          </w:p>
        </w:tc>
        <w:tc>
          <w:tcPr>
            <w:tcW w:w="135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20.01.2026</w:t>
            </w:r>
          </w:p>
        </w:tc>
        <w:tc>
          <w:tcPr>
            <w:tcW w:w="378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Updated anonymization strategy: age generalization, removal of date of birth, controlled date shifting, clarified handling of gender and diagnosis, and added consolidated anonymization rules table.</w:t>
            </w:r>
          </w:p>
        </w:tc>
        <w:tc>
          <w:tcPr>
            <w:tcW w:w="2316"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Ibrahim Saracoglu / ZODIAC Team</w:t>
            </w:r>
          </w:p>
        </w:tc>
      </w:tr>
      <w:tr>
        <w:trPr/>
        <w:tc>
          <w:tcPr>
            <w:tcW w:w="1010" w:type="dxa"/>
            <w:tcBorders>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0.4</w:t>
            </w:r>
          </w:p>
        </w:tc>
        <w:tc>
          <w:tcPr>
            <w:tcW w:w="1350" w:type="dxa"/>
            <w:tcBorders>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13.02.2026</w:t>
            </w:r>
          </w:p>
        </w:tc>
        <w:tc>
          <w:tcPr>
            <w:tcW w:w="3782" w:type="dxa"/>
            <w:tcBorders>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Security Risk Assessment comments are applied.</w:t>
            </w:r>
          </w:p>
        </w:tc>
        <w:tc>
          <w:tcPr>
            <w:tcW w:w="2316" w:type="dxa"/>
            <w:tcBorders>
              <w:left w:val="single" w:sz="4" w:space="0" w:color="000000"/>
              <w:bottom w:val="single" w:sz="4" w:space="0" w:color="000000"/>
              <w:right w:val="single" w:sz="4" w:space="0" w:color="000000"/>
            </w:tcBorders>
          </w:tcPr>
          <w:p>
            <w:pPr>
              <w:pStyle w:val="Normal"/>
              <w:spacing w:lineRule="auto" w:line="240" w:before="0" w:after="0"/>
              <w:rPr>
                <w:rFonts w:ascii="Calibri" w:hAnsi="Calibri"/>
              </w:rPr>
            </w:pPr>
            <w:r>
              <w:rPr>
                <w:rFonts w:ascii="Calibri" w:hAnsi="Calibri"/>
              </w:rPr>
              <w:t>Ibrahim Saracoglu / ZODIAC Team</w:t>
            </w:r>
          </w:p>
        </w:tc>
      </w:tr>
    </w:tbl>
    <w:p>
      <w:pPr>
        <w:pStyle w:val="Normal"/>
        <w:spacing w:before="0" w:after="200"/>
        <w:rPr>
          <w:rFonts w:ascii="Calibri" w:hAnsi="Calibri"/>
        </w:rPr>
      </w:pPr>
      <w:r>
        <w:rPr>
          <w:rFonts w:ascii="Calibri" w:hAnsi="Calibri"/>
        </w:rPr>
      </w:r>
    </w:p>
    <w:sectPr>
      <w:footerReference w:type="even" r:id="rId16"/>
      <w:footerReference w:type="default" r:id="rId17"/>
      <w:footerReference w:type="first" r:id="rId18"/>
      <w:type w:val="nextPage"/>
      <w:pgSz w:w="12240" w:h="15840"/>
      <w:pgMar w:left="1800" w:right="1800" w:gutter="0" w:header="0" w:top="1440" w:footer="1440" w:bottom="198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swiss"/>
    <w:pitch w:val="variable"/>
  </w:font>
  <w:font w:name="Courier">
    <w:altName w:val="Courier New"/>
    <w:charset w:val="00"/>
    <w:family w:val="roman"/>
    <w:pitch w:val="variable"/>
  </w:font>
  <w:font w:name="Liberation Mono">
    <w:altName w:val="Courier New"/>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bookmarkStart w:id="15" w:name="PageNumWizard_FOOTER_Default_Page_Style1"/>
    <w:r>
      <w:rPr/>
      <w:fldChar w:fldCharType="begin"/>
    </w:r>
    <w:r>
      <w:rPr/>
      <w:instrText xml:space="preserve"> PAGE </w:instrText>
    </w:r>
    <w:r>
      <w:rPr/>
      <w:fldChar w:fldCharType="separate"/>
    </w:r>
    <w:r>
      <w:rPr/>
      <w:t>17</w:t>
    </w:r>
    <w:r>
      <w:rPr/>
      <w:fldChar w:fldCharType="end"/>
    </w:r>
    <w:bookmarkEnd w:id="1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bookmarkStart w:id="16" w:name="PageNumWizard_FOOTER_Default_Page_Style1"/>
    <w:r>
      <w:rPr/>
      <w:fldChar w:fldCharType="begin"/>
    </w:r>
    <w:r>
      <w:rPr/>
      <w:instrText xml:space="preserve"> PAGE </w:instrText>
    </w:r>
    <w:r>
      <w:rPr/>
      <w:fldChar w:fldCharType="separate"/>
    </w:r>
    <w:r>
      <w:rPr/>
      <w:t>17</w:t>
    </w:r>
    <w:r>
      <w:rPr/>
      <w:fldChar w:fldCharType="end"/>
    </w:r>
    <w:bookmarkEnd w:id="16"/>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15"/>
    <w:lvlOverride w:ilvl="0">
      <w:lvl w:ilvl="0">
        <w:start w:val="1"/>
        <w:numFmt w:val="decimal"/>
        <w:lvlText w:val="%1."/>
        <w:lvlJc w:val="left"/>
        <w:pPr>
          <w:tabs>
            <w:tab w:val="num" w:pos="709"/>
          </w:tabs>
          <w:ind w:left="709" w:hanging="283"/>
        </w:pPr>
        <w:rPr/>
      </w:lvl>
      <w:startOverride w:val="1"/>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7">
    <w:abstractNumId w:val="15"/>
    <w:lvlOverride w:ilvl="0">
      <w:lvl w:ilvl="0">
        <w:start w:val="1"/>
        <w:numFmt w:val="decimal"/>
        <w:lvlText w:val="%1."/>
        <w:lvlJc w:val="left"/>
        <w:pPr>
          <w:tabs>
            <w:tab w:val="num" w:pos="709"/>
          </w:tabs>
          <w:ind w:left="709" w:hanging="283"/>
        </w:pPr>
        <w:rPr/>
      </w:lvl>
      <w:startOverride w:val="1"/>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8">
    <w:abstractNumId w:val="15"/>
    <w:lvlOverride w:ilvl="0">
      <w:lvl w:ilvl="0">
        <w:start w:val="1"/>
        <w:numFmt w:val="decimal"/>
        <w:lvlText w:val="%1."/>
        <w:lvlJc w:val="left"/>
        <w:pPr>
          <w:tabs>
            <w:tab w:val="num" w:pos="709"/>
          </w:tabs>
          <w:ind w:left="709" w:hanging="283"/>
        </w:pPr>
        <w:rPr/>
      </w:lvl>
      <w:startOverride w:val="1"/>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29">
    <w:abstractNumId w:val="15"/>
    <w:lvlOverride w:ilvl="0">
      <w:lvl w:ilvl="0">
        <w:start w:val="1"/>
        <w:numFmt w:val="decimal"/>
        <w:lvlText w:val="%1."/>
        <w:lvlJc w:val="left"/>
        <w:pPr>
          <w:tabs>
            <w:tab w:val="num" w:pos="709"/>
          </w:tabs>
          <w:ind w:left="709" w:hanging="283"/>
        </w:pPr>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0">
    <w:abstractNumId w:val="15"/>
    <w:lvlOverride w:ilvl="0">
      <w:lvl w:ilvl="0">
        <w:start w:val="1"/>
        <w:numFmt w:val="decimal"/>
        <w:lvlText w:val="%1."/>
        <w:lvlJc w:val="left"/>
        <w:pPr>
          <w:tabs>
            <w:tab w:val="num" w:pos="709"/>
          </w:tabs>
          <w:ind w:left="709" w:hanging="283"/>
        </w:pPr>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1">
    <w:abstractNumId w:val="15"/>
    <w:lvlOverride w:ilvl="0">
      <w:lvl w:ilvl="0">
        <w:start w:val="1"/>
        <w:numFmt w:val="decimal"/>
        <w:lvlText w:val="%1."/>
        <w:lvlJc w:val="left"/>
        <w:pPr>
          <w:tabs>
            <w:tab w:val="num" w:pos="709"/>
          </w:tabs>
          <w:ind w:left="709" w:hanging="283"/>
        </w:pPr>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2">
    <w:abstractNumId w:val="15"/>
    <w:lvlOverride w:ilvl="0">
      <w:lvl w:ilvl="0">
        <w:start w:val="1"/>
        <w:numFmt w:val="decimal"/>
        <w:lvlText w:val="%1."/>
        <w:lvlJc w:val="left"/>
        <w:pPr>
          <w:tabs>
            <w:tab w:val="num" w:pos="709"/>
          </w:tabs>
          <w:ind w:left="709" w:hanging="283"/>
        </w:pPr>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 w:numId="33">
    <w:abstractNumId w:val="15"/>
    <w:lvlOverride w:ilvl="0">
      <w:lvl w:ilvl="0">
        <w:start w:val="1"/>
        <w:numFmt w:val="decimal"/>
        <w:lvlText w:val="%1."/>
        <w:lvlJc w:val="left"/>
        <w:pPr>
          <w:tabs>
            <w:tab w:val="num" w:pos="709"/>
          </w:tabs>
          <w:ind w:left="709" w:hanging="283"/>
        </w:pPr>
        <w:rPr/>
      </w:lvl>
    </w:lvlOverride>
    <w:lvlOverride w:ilvl="0">
      <w:startOverride w:val="1"/>
    </w:lvlOverride>
    <w:lvlOverride w:ilvl="1">
      <w:lvl w:ilvl="1">
        <w:start w:val="1"/>
        <w:numFmt w:val="bullet"/>
        <w:lvlText w:val=""/>
        <w:lvlJc w:val="left"/>
        <w:pPr>
          <w:tabs>
            <w:tab w:val="num" w:pos="1418"/>
          </w:tabs>
          <w:ind w:left="1418" w:hanging="283"/>
        </w:pPr>
        <w:rPr>
          <w:rFonts w:ascii="Symbol" w:hAnsi="Symbol" w:cs="Symbol" w:hint="default"/>
        </w:rPr>
      </w:lvl>
      <w:startOverride w:val="1"/>
    </w:lvlOverride>
    <w:lvlOverride w:ilvl="1">
      <w:startOverride w:val="1"/>
    </w:lvlOverride>
    <w:lvlOverride w:ilvl="2">
      <w:lvl w:ilvl="2">
        <w:start w:val="1"/>
        <w:numFmt w:val="bullet"/>
        <w:lvlText w:val=""/>
        <w:lvlJc w:val="left"/>
        <w:pPr>
          <w:tabs>
            <w:tab w:val="num" w:pos="2127"/>
          </w:tabs>
          <w:ind w:left="2127" w:hanging="283"/>
        </w:pPr>
        <w:rPr>
          <w:rFonts w:ascii="Symbol" w:hAnsi="Symbol" w:cs="Symbol" w:hint="default"/>
        </w:rPr>
      </w:lvl>
    </w:lvlOverride>
    <w:lvlOverride w:ilvl="2">
      <w:startOverride w:val="1"/>
    </w:lvlOverride>
    <w:lvlOverride w:ilvl="3">
      <w:lvl w:ilvl="3">
        <w:start w:val="1"/>
        <w:numFmt w:val="bullet"/>
        <w:lvlText w:val=""/>
        <w:lvlJc w:val="left"/>
        <w:pPr>
          <w:tabs>
            <w:tab w:val="num" w:pos="2836"/>
          </w:tabs>
          <w:ind w:left="2836" w:hanging="283"/>
        </w:pPr>
        <w:rPr>
          <w:rFonts w:ascii="Symbol" w:hAnsi="Symbol" w:cs="Symbol" w:hint="default"/>
        </w:rPr>
      </w:lvl>
    </w:lvlOverride>
    <w:lvlOverride w:ilvl="3">
      <w:startOverride w:val="1"/>
    </w:lvlOverride>
    <w:lvlOverride w:ilvl="4">
      <w:lvl w:ilvl="4">
        <w:start w:val="1"/>
        <w:numFmt w:val="bullet"/>
        <w:lvlText w:val=""/>
        <w:lvlJc w:val="left"/>
        <w:pPr>
          <w:tabs>
            <w:tab w:val="num" w:pos="3545"/>
          </w:tabs>
          <w:ind w:left="3545" w:hanging="283"/>
        </w:pPr>
        <w:rPr>
          <w:rFonts w:ascii="Symbol" w:hAnsi="Symbol" w:cs="Symbol" w:hint="default"/>
        </w:rPr>
      </w:lvl>
    </w:lvlOverride>
    <w:lvlOverride w:ilvl="4">
      <w:startOverride w:val="1"/>
    </w:lvlOverride>
    <w:lvlOverride w:ilvl="5">
      <w:lvl w:ilvl="5">
        <w:start w:val="1"/>
        <w:numFmt w:val="bullet"/>
        <w:lvlText w:val=""/>
        <w:lvlJc w:val="left"/>
        <w:pPr>
          <w:tabs>
            <w:tab w:val="num" w:pos="4254"/>
          </w:tabs>
          <w:ind w:left="4254" w:hanging="283"/>
        </w:pPr>
        <w:rPr>
          <w:rFonts w:ascii="Symbol" w:hAnsi="Symbol" w:cs="Symbol" w:hint="default"/>
        </w:rPr>
      </w:lvl>
    </w:lvlOverride>
    <w:lvlOverride w:ilvl="5">
      <w:startOverride w:val="1"/>
    </w:lvlOverride>
    <w:lvlOverride w:ilvl="6">
      <w:lvl w:ilvl="6">
        <w:start w:val="1"/>
        <w:numFmt w:val="bullet"/>
        <w:lvlText w:val=""/>
        <w:lvlJc w:val="left"/>
        <w:pPr>
          <w:tabs>
            <w:tab w:val="num" w:pos="4963"/>
          </w:tabs>
          <w:ind w:left="4963" w:hanging="283"/>
        </w:pPr>
        <w:rPr>
          <w:rFonts w:ascii="Symbol" w:hAnsi="Symbol" w:cs="Symbol" w:hint="default"/>
        </w:rPr>
      </w:lvl>
    </w:lvlOverride>
    <w:lvlOverride w:ilvl="6">
      <w:startOverride w:val="1"/>
    </w:lvlOverride>
    <w:lvlOverride w:ilvl="7">
      <w:lvl w:ilvl="7">
        <w:start w:val="1"/>
        <w:numFmt w:val="bullet"/>
        <w:lvlText w:val=""/>
        <w:lvlJc w:val="left"/>
        <w:pPr>
          <w:tabs>
            <w:tab w:val="num" w:pos="5672"/>
          </w:tabs>
          <w:ind w:left="5672" w:hanging="283"/>
        </w:pPr>
        <w:rPr>
          <w:rFonts w:ascii="Symbol" w:hAnsi="Symbol" w:cs="Symbol" w:hint="default"/>
        </w:rPr>
      </w:lvl>
    </w:lvlOverride>
    <w:lvlOverride w:ilvl="7">
      <w:startOverride w:val="1"/>
    </w:lvlOverride>
    <w:lvlOverride w:ilvl="8">
      <w:lvl w:ilvl="8">
        <w:start w:val="1"/>
        <w:numFmt w:val="bullet"/>
        <w:lvlText w:val=""/>
        <w:lvlJc w:val="left"/>
        <w:pPr>
          <w:tabs>
            <w:tab w:val="num" w:pos="6381"/>
          </w:tabs>
          <w:ind w:left="6381" w:hanging="283"/>
        </w:pPr>
        <w:rPr>
          <w:rFonts w:ascii="Symbol" w:hAnsi="Symbol" w:cs="Symbol" w:hint="default"/>
        </w:rPr>
      </w:lvl>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MS Mincho" w:cs="Tahoma"/>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mbria" w:hAnsi="Cambria" w:eastAsia="MS Mincho" w:cs="Tahoma"/>
      <w:color w:val="auto"/>
      <w:kern w:val="0"/>
      <w:sz w:val="22"/>
      <w:szCs w:val="22"/>
      <w:lang w:val="en-US" w:eastAsia="en-US" w:bidi="ar-SA"/>
    </w:rPr>
  </w:style>
  <w:style w:type="paragraph" w:styleId="Heading1">
    <w:name w:val="heading 1"/>
    <w:basedOn w:val="Normal"/>
    <w:next w:val="Normal"/>
    <w:link w:val="berschrift1Zchn"/>
    <w:uiPriority w:val="9"/>
    <w:qFormat/>
    <w:pPr>
      <w:keepNext w:val="true"/>
      <w:keepLines/>
      <w:spacing w:before="480" w:after="0"/>
      <w:outlineLvl w:val="0"/>
    </w:pPr>
    <w:rPr>
      <w:rFonts w:ascii="Calibri" w:hAnsi="Calibri" w:eastAsia="MS Gothic"/>
      <w:b/>
      <w:bCs/>
      <w:color w:themeColor="accent1" w:themeShade="bf" w:val="365F91"/>
      <w:sz w:val="28"/>
      <w:szCs w:val="28"/>
    </w:rPr>
  </w:style>
  <w:style w:type="paragraph" w:styleId="Heading2">
    <w:name w:val="heading 2"/>
    <w:basedOn w:val="Normal"/>
    <w:next w:val="Normal"/>
    <w:link w:val="berschrift2Zchn"/>
    <w:uiPriority w:val="9"/>
    <w:unhideWhenUsed/>
    <w:qFormat/>
    <w:pPr>
      <w:keepNext w:val="true"/>
      <w:keepLines/>
      <w:spacing w:before="200" w:after="0"/>
      <w:outlineLvl w:val="1"/>
    </w:pPr>
    <w:rPr>
      <w:rFonts w:ascii="Calibri" w:hAnsi="Calibri" w:eastAsia="MS Gothic"/>
      <w:b/>
      <w:bCs/>
      <w:color w:themeColor="accent1" w:val="4F81BD"/>
      <w:sz w:val="26"/>
      <w:szCs w:val="26"/>
    </w:rPr>
  </w:style>
  <w:style w:type="paragraph" w:styleId="Heading3">
    <w:name w:val="heading 3"/>
    <w:basedOn w:val="Normal"/>
    <w:next w:val="Normal"/>
    <w:link w:val="berschrift3Zchn"/>
    <w:uiPriority w:val="9"/>
    <w:unhideWhenUsed/>
    <w:qFormat/>
    <w:pPr>
      <w:keepNext w:val="true"/>
      <w:keepLines/>
      <w:spacing w:before="200" w:after="0"/>
      <w:outlineLvl w:val="2"/>
    </w:pPr>
    <w:rPr>
      <w:rFonts w:ascii="Calibri" w:hAnsi="Calibri" w:eastAsia="MS Gothic"/>
      <w:b/>
      <w:bCs/>
      <w:color w:themeColor="accent1" w:val="4F81BD"/>
    </w:rPr>
  </w:style>
  <w:style w:type="paragraph" w:styleId="Heading4">
    <w:name w:val="heading 4"/>
    <w:basedOn w:val="Normal"/>
    <w:next w:val="Normal"/>
    <w:link w:val="berschrift4Zchn"/>
    <w:uiPriority w:val="9"/>
    <w:semiHidden/>
    <w:unhideWhenUsed/>
    <w:qFormat/>
    <w:pPr>
      <w:keepNext w:val="true"/>
      <w:keepLines/>
      <w:spacing w:before="200" w:after="0"/>
      <w:outlineLvl w:val="3"/>
    </w:pPr>
    <w:rPr>
      <w:rFonts w:ascii="Calibri" w:hAnsi="Calibri" w:eastAsia="MS Gothic"/>
      <w:b/>
      <w:bCs/>
      <w:i/>
      <w:iCs/>
      <w:color w:themeColor="accent1" w:val="4F81BD"/>
    </w:rPr>
  </w:style>
  <w:style w:type="paragraph" w:styleId="Heading5">
    <w:name w:val="heading 5"/>
    <w:basedOn w:val="Normal"/>
    <w:next w:val="Normal"/>
    <w:link w:val="berschrift5Zchn"/>
    <w:uiPriority w:val="9"/>
    <w:semiHidden/>
    <w:unhideWhenUsed/>
    <w:qFormat/>
    <w:pPr>
      <w:keepNext w:val="true"/>
      <w:keepLines/>
      <w:spacing w:before="200" w:after="0"/>
      <w:outlineLvl w:val="4"/>
    </w:pPr>
    <w:rPr>
      <w:rFonts w:ascii="Calibri" w:hAnsi="Calibri" w:eastAsia="MS Gothic"/>
      <w:color w:themeColor="accent1" w:themeShade="7f" w:val="243F60"/>
    </w:rPr>
  </w:style>
  <w:style w:type="paragraph" w:styleId="Heading6">
    <w:name w:val="heading 6"/>
    <w:basedOn w:val="Normal"/>
    <w:next w:val="Normal"/>
    <w:link w:val="berschrift6Zchn"/>
    <w:uiPriority w:val="9"/>
    <w:semiHidden/>
    <w:unhideWhenUsed/>
    <w:qFormat/>
    <w:pPr>
      <w:keepNext w:val="true"/>
      <w:keepLines/>
      <w:spacing w:before="200" w:after="0"/>
      <w:outlineLvl w:val="5"/>
    </w:pPr>
    <w:rPr>
      <w:rFonts w:ascii="Calibri" w:hAnsi="Calibri" w:eastAsia="MS Gothic"/>
      <w:i/>
      <w:iCs/>
      <w:color w:themeColor="accent1" w:themeShade="7f" w:val="243F60"/>
    </w:rPr>
  </w:style>
  <w:style w:type="paragraph" w:styleId="Heading7">
    <w:name w:val="heading 7"/>
    <w:basedOn w:val="Normal"/>
    <w:next w:val="Normal"/>
    <w:link w:val="berschrift7Zchn"/>
    <w:qFormat/>
    <w:pPr>
      <w:keepNext w:val="true"/>
      <w:keepLines/>
      <w:spacing w:before="200" w:after="0"/>
      <w:outlineLvl w:val="6"/>
    </w:pPr>
    <w:rPr>
      <w:rFonts w:ascii="Calibri" w:hAnsi="Calibri" w:eastAsia="MS Gothic"/>
      <w:i/>
      <w:iCs/>
      <w:color w:themeColor="dark1" w:themeTint="bf" w:val="404040"/>
    </w:rPr>
  </w:style>
  <w:style w:type="paragraph" w:styleId="Heading8">
    <w:name w:val="heading 8"/>
    <w:basedOn w:val="Normal"/>
    <w:next w:val="Normal"/>
    <w:link w:val="berschrift8Zchn"/>
    <w:qFormat/>
    <w:pPr>
      <w:keepNext w:val="true"/>
      <w:keepLines/>
      <w:spacing w:before="200" w:after="0"/>
      <w:outlineLvl w:val="7"/>
    </w:pPr>
    <w:rPr>
      <w:rFonts w:ascii="Calibri" w:hAnsi="Calibri" w:eastAsia="MS Gothic"/>
      <w:color w:themeColor="accent1" w:val="4F81BD"/>
      <w:sz w:val="20"/>
      <w:szCs w:val="20"/>
    </w:rPr>
  </w:style>
  <w:style w:type="paragraph" w:styleId="Heading9">
    <w:name w:val="heading 9"/>
    <w:basedOn w:val="Normal"/>
    <w:next w:val="Normal"/>
    <w:link w:val="berschrift9Zchn"/>
    <w:qFormat/>
    <w:pPr>
      <w:keepNext w:val="true"/>
      <w:keepLines/>
      <w:spacing w:before="200" w:after="0"/>
      <w:outlineLvl w:val="8"/>
    </w:pPr>
    <w:rPr>
      <w:rFonts w:ascii="Calibri" w:hAnsi="Calibri" w:eastAsia="MS Gothic"/>
      <w:i/>
      <w:iCs/>
      <w:color w:themeColor="dark1" w:themeTint="bf" w:val="404040"/>
      <w:sz w:val="20"/>
      <w:szCs w:val="20"/>
    </w:rPr>
  </w:style>
  <w:style w:type="character" w:styleId="DefaultParagraphFont" w:default="1">
    <w:name w:val="Default Paragraph Font"/>
    <w:uiPriority w:val="1"/>
    <w:semiHidden/>
    <w:unhideWhenUsed/>
    <w:qFormat/>
    <w:rPr/>
  </w:style>
  <w:style w:type="character" w:styleId="KopfzeileZchn" w:customStyle="1">
    <w:name w:val="Kopfzeile Zchn"/>
    <w:basedOn w:val="DefaultParagraphFont"/>
    <w:link w:val="Header"/>
    <w:qFormat/>
    <w:rPr/>
  </w:style>
  <w:style w:type="character" w:styleId="FuzeileZchn" w:customStyle="1">
    <w:name w:val="Fußzeile Zchn"/>
    <w:basedOn w:val="DefaultParagraphFont"/>
    <w:link w:val="Footer"/>
    <w:qFormat/>
    <w:rPr/>
  </w:style>
  <w:style w:type="character" w:styleId="berschrift1Zchn" w:customStyle="1">
    <w:name w:val="Überschrift 1 Zchn"/>
    <w:basedOn w:val="DefaultParagraphFont"/>
    <w:link w:val="Heading1"/>
    <w:qFormat/>
    <w:rPr>
      <w:rFonts w:ascii="Calibri" w:hAnsi="Calibri" w:eastAsia="MS Gothic" w:cs="Tahoma"/>
      <w:b/>
      <w:bCs/>
      <w:color w:themeColor="accent1" w:themeShade="bf" w:val="365F91"/>
      <w:sz w:val="28"/>
      <w:szCs w:val="28"/>
    </w:rPr>
  </w:style>
  <w:style w:type="character" w:styleId="berschrift2Zchn" w:customStyle="1">
    <w:name w:val="Überschrift 2 Zchn"/>
    <w:basedOn w:val="DefaultParagraphFont"/>
    <w:link w:val="Heading2"/>
    <w:qFormat/>
    <w:rPr>
      <w:rFonts w:ascii="Calibri" w:hAnsi="Calibri" w:eastAsia="MS Gothic" w:cs="Tahoma"/>
      <w:b/>
      <w:bCs/>
      <w:color w:themeColor="accent1" w:val="4F81BD"/>
      <w:sz w:val="26"/>
      <w:szCs w:val="26"/>
    </w:rPr>
  </w:style>
  <w:style w:type="character" w:styleId="berschrift3Zchn" w:customStyle="1">
    <w:name w:val="Überschrift 3 Zchn"/>
    <w:basedOn w:val="DefaultParagraphFont"/>
    <w:link w:val="Heading3"/>
    <w:qFormat/>
    <w:rPr>
      <w:rFonts w:ascii="Calibri" w:hAnsi="Calibri" w:eastAsia="MS Gothic" w:cs="Tahoma"/>
      <w:b/>
      <w:bCs/>
      <w:color w:themeColor="accent1" w:val="4F81BD"/>
    </w:rPr>
  </w:style>
  <w:style w:type="character" w:styleId="TitelZchn" w:customStyle="1">
    <w:name w:val="Titel Zchn"/>
    <w:basedOn w:val="DefaultParagraphFont"/>
    <w:link w:val="Title"/>
    <w:qFormat/>
    <w:rPr>
      <w:rFonts w:ascii="Calibri" w:hAnsi="Calibri" w:eastAsia="MS Gothic" w:cs="Tahoma"/>
      <w:color w:themeColor="dark2" w:themeShade="bf" w:val="17365D"/>
      <w:spacing w:val="5"/>
      <w:kern w:val="2"/>
      <w:sz w:val="52"/>
      <w:szCs w:val="52"/>
    </w:rPr>
  </w:style>
  <w:style w:type="character" w:styleId="UntertitelZchn" w:customStyle="1">
    <w:name w:val="Untertitel Zchn"/>
    <w:basedOn w:val="DefaultParagraphFont"/>
    <w:link w:val="Subtitle"/>
    <w:qFormat/>
    <w:rPr>
      <w:rFonts w:ascii="Calibri" w:hAnsi="Calibri" w:eastAsia="MS Gothic" w:cs="Tahoma"/>
      <w:i/>
      <w:iCs/>
      <w:color w:themeColor="accent1" w:val="4F81BD"/>
      <w:spacing w:val="15"/>
      <w:sz w:val="24"/>
      <w:szCs w:val="24"/>
    </w:rPr>
  </w:style>
  <w:style w:type="character" w:styleId="TextkrperZchn" w:customStyle="1">
    <w:name w:val="Textkörper Zchn"/>
    <w:basedOn w:val="DefaultParagraphFont"/>
    <w:qFormat/>
    <w:rPr/>
  </w:style>
  <w:style w:type="character" w:styleId="Textkrper2Zchn" w:customStyle="1">
    <w:name w:val="Textkörper 2 Zchn"/>
    <w:basedOn w:val="DefaultParagraphFont"/>
    <w:link w:val="BodyText2"/>
    <w:qFormat/>
    <w:rPr/>
  </w:style>
  <w:style w:type="character" w:styleId="Textkrper3Zchn" w:customStyle="1">
    <w:name w:val="Textkörper 3 Zchn"/>
    <w:basedOn w:val="DefaultParagraphFont"/>
    <w:link w:val="BodyText3"/>
    <w:qFormat/>
    <w:rPr>
      <w:sz w:val="16"/>
      <w:szCs w:val="16"/>
    </w:rPr>
  </w:style>
  <w:style w:type="character" w:styleId="MakrotextZchn" w:customStyle="1">
    <w:name w:val="Makrotext Zchn"/>
    <w:basedOn w:val="DefaultParagraphFont"/>
    <w:link w:val="MacroText"/>
    <w:qFormat/>
    <w:rPr>
      <w:rFonts w:ascii="Courier" w:hAnsi="Courier"/>
      <w:sz w:val="20"/>
      <w:szCs w:val="20"/>
    </w:rPr>
  </w:style>
  <w:style w:type="character" w:styleId="ZitatZchn" w:customStyle="1">
    <w:name w:val="Zitat Zchn"/>
    <w:basedOn w:val="DefaultParagraphFont"/>
    <w:link w:val="Quote"/>
    <w:qFormat/>
    <w:rPr>
      <w:i/>
      <w:iCs/>
      <w:color w:themeColor="dark1" w:val="000000"/>
    </w:rPr>
  </w:style>
  <w:style w:type="character" w:styleId="berschrift4Zchn" w:customStyle="1">
    <w:name w:val="Überschrift 4 Zchn"/>
    <w:basedOn w:val="DefaultParagraphFont"/>
    <w:link w:val="Heading4"/>
    <w:qFormat/>
    <w:rPr>
      <w:rFonts w:ascii="Calibri" w:hAnsi="Calibri" w:eastAsia="MS Gothic" w:cs="Tahoma"/>
      <w:b/>
      <w:bCs/>
      <w:i/>
      <w:iCs/>
      <w:color w:themeColor="accent1" w:val="4F81BD"/>
    </w:rPr>
  </w:style>
  <w:style w:type="character" w:styleId="berschrift5Zchn" w:customStyle="1">
    <w:name w:val="Überschrift 5 Zchn"/>
    <w:basedOn w:val="DefaultParagraphFont"/>
    <w:link w:val="Heading5"/>
    <w:qFormat/>
    <w:rPr>
      <w:rFonts w:ascii="Calibri" w:hAnsi="Calibri" w:eastAsia="MS Gothic" w:cs="Tahoma"/>
      <w:color w:themeColor="accent1" w:themeShade="7f" w:val="243F60"/>
    </w:rPr>
  </w:style>
  <w:style w:type="character" w:styleId="berschrift6Zchn" w:customStyle="1">
    <w:name w:val="Überschrift 6 Zchn"/>
    <w:basedOn w:val="DefaultParagraphFont"/>
    <w:link w:val="Heading6"/>
    <w:qFormat/>
    <w:rPr>
      <w:rFonts w:ascii="Calibri" w:hAnsi="Calibri" w:eastAsia="MS Gothic" w:cs="Tahoma"/>
      <w:i/>
      <w:iCs/>
      <w:color w:themeColor="accent1" w:themeShade="7f" w:val="243F60"/>
    </w:rPr>
  </w:style>
  <w:style w:type="character" w:styleId="berschrift7Zchn" w:customStyle="1">
    <w:name w:val="Überschrift 7 Zchn"/>
    <w:basedOn w:val="DefaultParagraphFont"/>
    <w:link w:val="Heading7"/>
    <w:qFormat/>
    <w:rPr>
      <w:rFonts w:ascii="Calibri" w:hAnsi="Calibri" w:eastAsia="MS Gothic" w:cs="Tahoma"/>
      <w:i/>
      <w:iCs/>
      <w:color w:themeColor="dark1" w:themeTint="bf" w:val="404040"/>
    </w:rPr>
  </w:style>
  <w:style w:type="character" w:styleId="berschrift8Zchn" w:customStyle="1">
    <w:name w:val="Überschrift 8 Zchn"/>
    <w:basedOn w:val="DefaultParagraphFont"/>
    <w:link w:val="Heading8"/>
    <w:qFormat/>
    <w:rPr>
      <w:rFonts w:ascii="Calibri" w:hAnsi="Calibri" w:eastAsia="MS Gothic" w:cs="Tahoma"/>
      <w:color w:themeColor="accent1" w:val="4F81BD"/>
      <w:sz w:val="20"/>
      <w:szCs w:val="20"/>
    </w:rPr>
  </w:style>
  <w:style w:type="character" w:styleId="berschrift9Zchn" w:customStyle="1">
    <w:name w:val="Überschrift 9 Zchn"/>
    <w:basedOn w:val="DefaultParagraphFont"/>
    <w:link w:val="Heading9"/>
    <w:qFormat/>
    <w:rPr>
      <w:rFonts w:ascii="Calibri" w:hAnsi="Calibri" w:eastAsia="MS Gothic"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ivesZitatZchn" w:customStyle="1">
    <w:name w:val="Intensives Zitat Zchn"/>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character" w:styleId="IndexLink" w:customStyle="1">
    <w:name w:val="Index Link"/>
    <w:qFormat/>
    <w:rPr/>
  </w:style>
  <w:style w:type="character" w:styleId="SourceText" w:customStyle="1">
    <w:name w:val="Source Text"/>
    <w:qFormat/>
    <w:rPr>
      <w:rFonts w:ascii="Liberation Mono" w:hAnsi="Liberation Mono" w:eastAsia="Liberation Mono" w:cs="Liberation Mono"/>
    </w:rPr>
  </w:style>
  <w:style w:type="character" w:styleId="Bulletsuser" w:customStyle="1">
    <w:name w:val="Bullets (user)"/>
    <w:qFormat/>
    <w:rPr>
      <w:rFonts w:ascii="OpenSymbol" w:hAnsi="OpenSymbol" w:eastAsia="OpenSymbol" w:cs="OpenSymbol"/>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krperZchn"/>
    <w:pPr>
      <w:spacing w:before="0" w:after="120"/>
    </w:pPr>
    <w:rPr/>
  </w:style>
  <w:style w:type="paragraph" w:styleId="List">
    <w:name w:val="List"/>
    <w:basedOn w:val="Normal"/>
    <w:pPr>
      <w:spacing w:before="0" w:after="20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customStyle="1">
    <w:name w:val="Index"/>
    <w:basedOn w:val="Normal"/>
    <w:qFormat/>
    <w:pPr>
      <w:suppressLineNumbers/>
    </w:pPr>
    <w:rPr>
      <w:rFonts w:cs="Arial"/>
    </w:rPr>
  </w:style>
  <w:style w:type="paragraph" w:styleId="HeaderandFooter" w:customStyle="1">
    <w:name w:val="Header and Footer"/>
    <w:basedOn w:val="Normal"/>
    <w:qFormat/>
    <w:pPr/>
    <w:rPr/>
  </w:style>
  <w:style w:type="paragraph" w:styleId="Header">
    <w:name w:val="header"/>
    <w:basedOn w:val="Normal"/>
    <w:link w:val="KopfzeileZchn"/>
    <w:pPr>
      <w:tabs>
        <w:tab w:val="clear" w:pos="720"/>
        <w:tab w:val="center" w:pos="4680" w:leader="none"/>
        <w:tab w:val="right" w:pos="9360" w:leader="none"/>
      </w:tabs>
      <w:spacing w:lineRule="auto" w:line="240" w:before="0" w:after="0"/>
    </w:pPr>
    <w:rPr/>
  </w:style>
  <w:style w:type="paragraph" w:styleId="Footer">
    <w:name w:val="footer"/>
    <w:basedOn w:val="Normal"/>
    <w:link w:val="FuzeileZchn"/>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bidi w:val="0"/>
      <w:spacing w:before="0" w:after="0"/>
      <w:jc w:val="left"/>
    </w:pPr>
    <w:rPr>
      <w:rFonts w:ascii="Cambria" w:hAnsi="Cambria" w:eastAsia="MS Mincho" w:cs="Tahoma"/>
      <w:color w:val="auto"/>
      <w:kern w:val="0"/>
      <w:sz w:val="22"/>
      <w:szCs w:val="22"/>
      <w:lang w:val="en-US" w:eastAsia="en-US" w:bidi="ar-SA"/>
    </w:rPr>
  </w:style>
  <w:style w:type="paragraph" w:styleId="Title">
    <w:name w:val="Title"/>
    <w:basedOn w:val="Normal"/>
    <w:next w:val="Normal"/>
    <w:link w:val="TitelZchn"/>
    <w:uiPriority w:val="10"/>
    <w:qFormat/>
    <w:pPr>
      <w:pBdr>
        <w:bottom w:val="single" w:sz="8" w:space="4" w:color="4F81BD"/>
      </w:pBdr>
      <w:spacing w:lineRule="auto" w:line="240" w:before="0" w:after="300"/>
      <w:contextualSpacing/>
    </w:pPr>
    <w:rPr>
      <w:rFonts w:ascii="Calibri" w:hAnsi="Calibri" w:eastAsia="MS Gothic"/>
      <w:color w:themeColor="dark2" w:themeShade="bf" w:val="17365D"/>
      <w:spacing w:val="5"/>
      <w:kern w:val="2"/>
      <w:sz w:val="52"/>
      <w:szCs w:val="52"/>
    </w:rPr>
  </w:style>
  <w:style w:type="paragraph" w:styleId="Subtitle">
    <w:name w:val="Subtitle"/>
    <w:basedOn w:val="Normal"/>
    <w:next w:val="Normal"/>
    <w:link w:val="UntertitelZchn"/>
    <w:uiPriority w:val="11"/>
    <w:qFormat/>
    <w:pPr/>
    <w:rPr>
      <w:rFonts w:ascii="Calibri" w:hAnsi="Calibri" w:eastAsia="MS Gothic"/>
      <w:i/>
      <w:iCs/>
      <w:color w:themeColor="accent1" w:val="4F81BD"/>
      <w:spacing w:val="15"/>
      <w:sz w:val="24"/>
      <w:szCs w:val="24"/>
    </w:rPr>
  </w:style>
  <w:style w:type="paragraph" w:styleId="ListParagraph">
    <w:name w:val="List Paragraph"/>
    <w:basedOn w:val="Normal"/>
    <w:qFormat/>
    <w:pPr>
      <w:spacing w:before="0" w:after="200"/>
      <w:ind w:left="720"/>
      <w:contextualSpacing/>
    </w:pPr>
    <w:rPr/>
  </w:style>
  <w:style w:type="paragraph" w:styleId="BodyText2">
    <w:name w:val="Body Text 2"/>
    <w:basedOn w:val="Normal"/>
    <w:link w:val="Textkrper2Zchn"/>
    <w:qFormat/>
    <w:pPr>
      <w:spacing w:lineRule="auto" w:line="480" w:before="0" w:after="120"/>
    </w:pPr>
    <w:rPr/>
  </w:style>
  <w:style w:type="paragraph" w:styleId="BodyText3">
    <w:name w:val="Body Text 3"/>
    <w:basedOn w:val="Normal"/>
    <w:link w:val="Textkrper3Zchn"/>
    <w:qFormat/>
    <w:pPr>
      <w:spacing w:before="0" w:after="120"/>
    </w:pPr>
    <w:rPr>
      <w:sz w:val="16"/>
      <w:szCs w:val="16"/>
    </w:rPr>
  </w:style>
  <w:style w:type="paragraph" w:styleId="List2">
    <w:name w:val="List 2"/>
    <w:basedOn w:val="Normal"/>
    <w:qFormat/>
    <w:pPr>
      <w:spacing w:before="0" w:after="200"/>
      <w:ind w:hanging="360" w:left="720"/>
      <w:contextualSpacing/>
    </w:pPr>
    <w:rPr/>
  </w:style>
  <w:style w:type="paragraph" w:styleId="List3">
    <w:name w:val="List 3"/>
    <w:basedOn w:val="Normal"/>
    <w:qFormat/>
    <w:pPr>
      <w:spacing w:before="0" w:after="200"/>
      <w:ind w:hanging="360" w:lef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Text">
    <w:name w:val="macro"/>
    <w:link w:val="MakrotextZchn"/>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MS Mincho" w:cs="Tahoma"/>
      <w:color w:val="auto"/>
      <w:kern w:val="0"/>
      <w:sz w:val="20"/>
      <w:szCs w:val="20"/>
      <w:lang w:val="en-US" w:eastAsia="en-US" w:bidi="ar-SA"/>
    </w:rPr>
  </w:style>
  <w:style w:type="paragraph" w:styleId="Quote">
    <w:name w:val="Quote"/>
    <w:basedOn w:val="Normal"/>
    <w:next w:val="Normal"/>
    <w:link w:val="ZitatZchn"/>
    <w:qFormat/>
    <w:pPr/>
    <w:rPr>
      <w:i/>
      <w:iCs/>
      <w:color w:themeColor="dark1" w:val="000000"/>
    </w:rPr>
  </w:style>
  <w:style w:type="paragraph" w:styleId="IntenseQuote">
    <w:name w:val="Intense Quote"/>
    <w:basedOn w:val="Normal"/>
    <w:next w:val="Normal"/>
    <w:link w:val="IntensivesZitatZchn"/>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OC1">
    <w:name w:val="toc 1"/>
    <w:basedOn w:val="Index"/>
    <w:pPr>
      <w:tabs>
        <w:tab w:val="clear" w:pos="720"/>
        <w:tab w:val="right" w:pos="8640" w:leader="dot"/>
      </w:tabs>
    </w:pPr>
    <w:rPr/>
  </w:style>
  <w:style w:type="paragraph" w:styleId="TOC2">
    <w:name w:val="toc 2"/>
    <w:basedOn w:val="Index"/>
    <w:pPr>
      <w:tabs>
        <w:tab w:val="clear" w:pos="720"/>
        <w:tab w:val="right" w:pos="8357" w:leader="dot"/>
      </w:tabs>
      <w:ind w:left="283"/>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customStyle="1">
    <w:name w:val="Preformatted Text"/>
    <w:basedOn w:val="Normal"/>
    <w:qFormat/>
    <w:pPr>
      <w:spacing w:before="0" w:after="0"/>
    </w:pPr>
    <w:rPr>
      <w:rFonts w:ascii="Liberation Mono" w:hAnsi="Liberation Mono" w:eastAsia="Liberation Mono" w:cs="Liberation Mono"/>
      <w:sz w:val="20"/>
      <w:szCs w:val="20"/>
    </w:rPr>
  </w:style>
  <w:style w:type="paragraph" w:styleId="TOC3">
    <w:name w:val="toc 3"/>
    <w:basedOn w:val="Index"/>
    <w:pPr>
      <w:tabs>
        <w:tab w:val="clear" w:pos="720"/>
        <w:tab w:val="right" w:pos="8073" w:leader="dot"/>
      </w:tabs>
      <w:ind w:left="567"/>
    </w:pPr>
    <w:rPr/>
  </w:style>
  <w:style w:type="paragraph" w:styleId="BlockQuotation" w:customStyle="1">
    <w:name w:val="Block Quotation"/>
    <w:basedOn w:val="Normal"/>
    <w:qFormat/>
    <w:pPr>
      <w:spacing w:before="0" w:after="283"/>
      <w:ind w:left="567" w:right="567"/>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wmf"/><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LibreOffice/25.2.7.2$Windows_X86_64 LibreOffice_project/5cbfd1ab6520636bb5f7b99185aa69bd7456825d</Application>
  <AppVersion>15.0000</AppVersion>
  <Pages>17</Pages>
  <Words>2532</Words>
  <Characters>15013</Characters>
  <CharactersWithSpaces>17381</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2026-01-22T15:33:00Z</dcterms:created>
  <dc:creator>python-docx</dc:creator>
  <dc:description>generated by python-docx</dc:description>
  <dc:language>en-US</dc:language>
  <cp:lastModifiedBy/>
  <dcterms:modified xsi:type="dcterms:W3CDTF">2026-02-13T15:40:00Z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