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Calibri" w:hAnsi="Calibri"/>
        </w:rPr>
      </w:pPr>
      <w:r>
        <w:rPr/>
        <w:drawing>
          <wp:inline distT="0" distB="0" distL="0" distR="0">
            <wp:extent cx="1892300" cy="417830"/>
            <wp:effectExtent l="0" t="0" r="0" b="0"/>
            <wp:docPr id="1" name="Picture 2" descr="\\iaea.org\Secretariat\MTCD\PublishingCurrent\2017\IAEA\17-42841_LOGO_IAEA_update\Design\Presentation_IAEA\IAEA_Logo_E_horizontal_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aea.org\Secretariat\MTCD\PublishingCurrent\2017\IAEA\17-42841_LOGO_IAEA_update\Design\Presentation_IAEA\IAEA_Logo_E_horizontal_Blue.png"/>
                    <pic:cNvPicPr>
                      <a:picLocks noChangeAspect="1" noChangeArrowheads="1"/>
                    </pic:cNvPicPr>
                  </pic:nvPicPr>
                  <pic:blipFill>
                    <a:blip r:embed="rId2"/>
                    <a:stretch>
                      <a:fillRect/>
                    </a:stretch>
                  </pic:blipFill>
                  <pic:spPr bwMode="auto">
                    <a:xfrm>
                      <a:off x="0" y="0"/>
                      <a:ext cx="1892300" cy="417830"/>
                    </a:xfrm>
                    <a:prstGeom prst="rect">
                      <a:avLst/>
                    </a:prstGeom>
                    <a:noFill/>
                  </pic:spPr>
                </pic:pic>
              </a:graphicData>
            </a:graphic>
          </wp:inline>
        </w:drawing>
      </w:r>
    </w:p>
    <w:p>
      <w:pPr>
        <w:pStyle w:val="Normal"/>
        <w:rPr/>
      </w:pPr>
      <w:r>
        <w:rPr/>
      </w:r>
    </w:p>
    <w:p>
      <w:pPr>
        <w:pStyle w:val="Normal"/>
        <w:rPr/>
      </w:pPr>
      <w:r>
        <w:rPr/>
      </w:r>
    </w:p>
    <w:p>
      <w:pPr>
        <w:pStyle w:val="Heading1"/>
        <w:ind w:hanging="0" w:left="0"/>
        <w:jc w:val="center"/>
        <w:rPr>
          <w:rFonts w:ascii="Calibri" w:hAnsi="Calibri"/>
        </w:rPr>
      </w:pPr>
      <w:bookmarkStart w:id="0" w:name="__RefHeading___Toc2078_3529209179"/>
      <w:bookmarkEnd w:id="0"/>
      <w:r>
        <w:rPr>
          <w:sz w:val="64"/>
          <w:szCs w:val="64"/>
        </w:rPr>
        <w:t xml:space="preserve">ZODIAC Data Privacy Assessment </w:t>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t>Version 0.3 (Draft – Not Approved)</w:t>
      </w:r>
    </w:p>
    <w:p>
      <w:pPr>
        <w:pStyle w:val="Normal"/>
        <w:rPr>
          <w:rFonts w:ascii="Calibri" w:hAnsi="Calibri"/>
        </w:rPr>
      </w:pPr>
      <w:r>
        <w:rPr>
          <w:rFonts w:ascii="Calibri" w:hAnsi="Calibri"/>
        </w:rPr>
        <w:t>Prepared by: IAEA NMDI / ZODIAC Team</w:t>
      </w:r>
    </w:p>
    <w:p>
      <w:pPr>
        <w:pStyle w:val="Normal"/>
        <w:rPr>
          <w:rFonts w:ascii="Calibri" w:hAnsi="Calibri"/>
        </w:rPr>
      </w:pPr>
      <w:r>
        <w:rPr>
          <w:rFonts w:ascii="Calibri" w:hAnsi="Calibri"/>
        </w:rPr>
        <w:t xml:space="preserve">Classification: Internal Use </w:t>
      </w:r>
    </w:p>
    <w:sdt>
      <w:sdtPr>
        <w:docPartObj>
          <w:docPartGallery w:val="Table of Contents"/>
          <w:docPartUnique w:val="true"/>
        </w:docPartObj>
      </w:sdtPr>
      <w:sdtContent>
        <w:p>
          <w:pPr>
            <w:pStyle w:val="TOCHeading"/>
            <w:rPr/>
          </w:pPr>
          <w:r>
            <w:rPr/>
            <w:t>Table of Contents</w:t>
          </w:r>
        </w:p>
        <w:p>
          <w:pPr>
            <w:pStyle w:val="TOC1"/>
            <w:tabs>
              <w:tab w:val="clear" w:pos="8640"/>
              <w:tab w:val="right" w:pos="8639" w:leader="dot"/>
            </w:tabs>
            <w:rPr/>
          </w:pPr>
          <w:r>
            <w:fldChar w:fldCharType="begin"/>
          </w:r>
          <w:r>
            <w:rPr>
              <w:rStyle w:val="IndexLink"/>
            </w:rPr>
            <w:instrText xml:space="preserve"> TOC \f \o "1-9" \h</w:instrText>
          </w:r>
          <w:r>
            <w:rPr>
              <w:rStyle w:val="IndexLink"/>
            </w:rPr>
            <w:fldChar w:fldCharType="separate"/>
          </w:r>
          <w:hyperlink w:anchor="__RefHeading___Toc2078_3529209179">
            <w:r>
              <w:rPr>
                <w:rStyle w:val="IndexLink"/>
              </w:rPr>
              <w:t>ZODIAC Data Privacy Assessment</w:t>
              <w:tab/>
              <w:t>1</w:t>
            </w:r>
          </w:hyperlink>
        </w:p>
        <w:p>
          <w:pPr>
            <w:pStyle w:val="TOC2"/>
            <w:tabs>
              <w:tab w:val="clear" w:pos="8357"/>
              <w:tab w:val="right" w:pos="8639" w:leader="dot"/>
            </w:tabs>
            <w:rPr/>
          </w:pPr>
          <w:hyperlink w:anchor="__RefHeading___Toc2539_1635066637">
            <w:r>
              <w:rPr>
                <w:rStyle w:val="IndexLink"/>
              </w:rPr>
              <w:t>1. Purpose and Scope</w:t>
              <w:tab/>
              <w:t>3</w:t>
            </w:r>
          </w:hyperlink>
        </w:p>
        <w:p>
          <w:pPr>
            <w:pStyle w:val="TOC2"/>
            <w:tabs>
              <w:tab w:val="clear" w:pos="8357"/>
              <w:tab w:val="right" w:pos="8639" w:leader="dot"/>
            </w:tabs>
            <w:rPr/>
          </w:pPr>
          <w:hyperlink w:anchor="__RefHeading___Toc5361_3713573311">
            <w:r>
              <w:rPr>
                <w:rStyle w:val="IndexLink"/>
              </w:rPr>
              <w:t>2. Data Categories Processed</w:t>
              <w:tab/>
              <w:t>3</w:t>
            </w:r>
          </w:hyperlink>
        </w:p>
        <w:p>
          <w:pPr>
            <w:pStyle w:val="TOC2"/>
            <w:tabs>
              <w:tab w:val="clear" w:pos="8357"/>
              <w:tab w:val="right" w:pos="8639" w:leader="dot"/>
            </w:tabs>
            <w:rPr/>
          </w:pPr>
          <w:hyperlink w:anchor="__RefHeading___Toc2080_3529209179">
            <w:r>
              <w:rPr>
                <w:rStyle w:val="IndexLink"/>
              </w:rPr>
              <w:t>3. Controllership</w:t>
              <w:tab/>
              <w:t>3</w:t>
            </w:r>
          </w:hyperlink>
        </w:p>
        <w:p>
          <w:pPr>
            <w:pStyle w:val="TOC2"/>
            <w:tabs>
              <w:tab w:val="clear" w:pos="8357"/>
              <w:tab w:val="right" w:pos="8639" w:leader="dot"/>
            </w:tabs>
            <w:rPr/>
          </w:pPr>
          <w:hyperlink w:anchor="__RefHeading___Toc2082_3529209179">
            <w:r>
              <w:rPr>
                <w:rStyle w:val="IndexLink"/>
              </w:rPr>
              <w:t>4. GDPR Applicability</w:t>
              <w:tab/>
              <w:t>4</w:t>
            </w:r>
          </w:hyperlink>
        </w:p>
        <w:p>
          <w:pPr>
            <w:pStyle w:val="TOC2"/>
            <w:tabs>
              <w:tab w:val="clear" w:pos="8357"/>
              <w:tab w:val="right" w:pos="8639" w:leader="dot"/>
            </w:tabs>
            <w:rPr/>
          </w:pPr>
          <w:hyperlink w:anchor="__RefHeading___Toc2084_3529209179">
            <w:r>
              <w:rPr>
                <w:rStyle w:val="IndexLink"/>
              </w:rPr>
              <w:t>5. Technical and Organisational Measures</w:t>
              <w:tab/>
              <w:t>4</w:t>
            </w:r>
          </w:hyperlink>
        </w:p>
        <w:p>
          <w:pPr>
            <w:pStyle w:val="TOC2"/>
            <w:tabs>
              <w:tab w:val="clear" w:pos="8357"/>
              <w:tab w:val="right" w:pos="8639" w:leader="dot"/>
            </w:tabs>
            <w:rPr/>
          </w:pPr>
          <w:hyperlink w:anchor="__RefHeading___Toc2086_3529209179">
            <w:r>
              <w:rPr>
                <w:rStyle w:val="IndexLink"/>
              </w:rPr>
              <w:t>6. Risk Assessment</w:t>
              <w:tab/>
              <w:t>4</w:t>
            </w:r>
          </w:hyperlink>
        </w:p>
        <w:p>
          <w:pPr>
            <w:pStyle w:val="TOC2"/>
            <w:tabs>
              <w:tab w:val="clear" w:pos="8357"/>
              <w:tab w:val="right" w:pos="8639" w:leader="dot"/>
            </w:tabs>
            <w:rPr/>
          </w:pPr>
          <w:hyperlink w:anchor="__RefHeading___Toc2088_3529209179">
            <w:r>
              <w:rPr>
                <w:rStyle w:val="IndexLink"/>
              </w:rPr>
              <w:t>7. Summary</w:t>
              <w:tab/>
              <w:t>4</w:t>
            </w:r>
          </w:hyperlink>
        </w:p>
        <w:p>
          <w:pPr>
            <w:pStyle w:val="TOC2"/>
            <w:tabs>
              <w:tab w:val="clear" w:pos="8357"/>
              <w:tab w:val="right" w:pos="8639" w:leader="dot"/>
            </w:tabs>
            <w:rPr/>
          </w:pPr>
          <w:hyperlink w:anchor="__RefHeading___Toc2559_1635066637">
            <w:r>
              <w:rPr>
                <w:rStyle w:val="IndexLink"/>
              </w:rPr>
              <w:t>8. Change Log</w:t>
              <w:tab/>
              <w:t>5</w:t>
            </w:r>
          </w:hyperlink>
          <w:r>
            <w:rPr>
              <w:rStyle w:val="IndexLink"/>
            </w:rPr>
            <w:fldChar w:fldCharType="end"/>
          </w:r>
        </w:p>
      </w:sdtContent>
    </w:sdt>
    <w:p>
      <w:pPr>
        <w:pStyle w:val="Normal"/>
        <w:widowControl/>
        <w:bidi w:val="0"/>
        <w:spacing w:lineRule="auto" w:line="276" w:before="0" w:after="200"/>
        <w:jc w:val="left"/>
        <w:rPr>
          <w:rFonts w:ascii="Calibri" w:hAnsi="Calibri"/>
        </w:rPr>
      </w:pPr>
      <w:r>
        <w:rPr>
          <w:rFonts w:ascii="Calibri" w:hAnsi="Calibri"/>
        </w:rPr>
      </w:r>
      <w:r>
        <w:br w:type="page"/>
      </w:r>
    </w:p>
    <w:p>
      <w:pPr>
        <w:pStyle w:val="Heading2"/>
        <w:keepNext w:val="true"/>
        <w:keepLines/>
        <w:widowControl/>
        <w:numPr>
          <w:ilvl w:val="0"/>
          <w:numId w:val="7"/>
        </w:numPr>
        <w:suppressAutoHyphens w:val="true"/>
        <w:overflowPunct w:val="true"/>
        <w:bidi w:val="0"/>
        <w:spacing w:lineRule="auto" w:line="276" w:before="0" w:after="0"/>
        <w:ind w:hanging="360" w:left="360" w:right="0"/>
        <w:jc w:val="left"/>
        <w:rPr>
          <w:rFonts w:ascii="Calibri" w:hAnsi="Calibri"/>
        </w:rPr>
      </w:pPr>
      <w:bookmarkStart w:id="1" w:name="__RefHeading___Toc2539_1635066637"/>
      <w:bookmarkEnd w:id="1"/>
      <w:r>
        <w:rPr/>
        <w:t>Purpose and Scope</w:t>
      </w:r>
    </w:p>
    <w:p>
      <w:pPr>
        <w:pStyle w:val="BodyText"/>
        <w:spacing w:before="0" w:after="200"/>
        <w:rPr>
          <w:rFonts w:ascii="Calibri" w:hAnsi="Calibri"/>
        </w:rPr>
      </w:pPr>
      <w:r>
        <w:rPr>
          <w:rFonts w:ascii="Calibri" w:hAnsi="Calibri"/>
        </w:rPr>
        <w:t>This summary provides an overview of data processing activities within the ZODIAC Pillar 4 platform (medical imaging repository) from the perspective of the International Atomic Energy Agency (IAEA). It supports the ongoing data privacy review and is complemented by the completed Data Mapping Excel workbook and the ZODIAC Anonymization Guideline v0.3.</w:t>
      </w:r>
    </w:p>
    <w:p>
      <w:pPr>
        <w:pStyle w:val="Heading2"/>
        <w:widowControl/>
        <w:numPr>
          <w:ilvl w:val="0"/>
          <w:numId w:val="7"/>
        </w:numPr>
        <w:suppressAutoHyphens w:val="true"/>
        <w:overflowPunct w:val="true"/>
        <w:bidi w:val="0"/>
        <w:spacing w:lineRule="auto" w:line="276"/>
        <w:ind w:hanging="360" w:left="360" w:right="0"/>
        <w:jc w:val="left"/>
        <w:rPr>
          <w:rFonts w:ascii="Calibri" w:hAnsi="Calibri"/>
        </w:rPr>
      </w:pPr>
      <w:bookmarkStart w:id="2" w:name="__RefHeading___Toc5361_3713573311"/>
      <w:bookmarkEnd w:id="2"/>
      <w:r>
        <w:rPr/>
        <w:t>Data Categories Processed</w:t>
      </w:r>
    </w:p>
    <w:p>
      <w:pPr>
        <w:pStyle w:val="BodyText"/>
        <w:widowControl/>
        <w:suppressAutoHyphens w:val="true"/>
        <w:overflowPunct w:val="true"/>
        <w:bidi w:val="0"/>
        <w:spacing w:lineRule="auto" w:line="276" w:before="0" w:after="200"/>
        <w:jc w:val="left"/>
        <w:rPr>
          <w:rFonts w:ascii="Calibri" w:hAnsi="Calibri"/>
        </w:rPr>
      </w:pPr>
      <w:r>
        <w:rPr>
          <w:rFonts w:eastAsia="ＭＳ 明朝" w:cs="Tahoma" w:ascii="Calibri" w:hAnsi="Calibri"/>
          <w:color w:val="auto"/>
          <w:kern w:val="0"/>
          <w:sz w:val="22"/>
          <w:szCs w:val="22"/>
          <w:lang w:val="en-US" w:eastAsia="en-US" w:bidi="ar-SA"/>
        </w:rPr>
        <w:t>The platform processes two distinct categories of data:</w:t>
      </w:r>
    </w:p>
    <w:p>
      <w:pPr>
        <w:pStyle w:val="BodyText"/>
        <w:numPr>
          <w:ilvl w:val="0"/>
          <w:numId w:val="8"/>
        </w:numPr>
        <w:tabs>
          <w:tab w:val="clear" w:pos="720"/>
          <w:tab w:val="left" w:pos="0" w:leader="none"/>
        </w:tabs>
        <w:spacing w:before="0" w:after="0"/>
        <w:ind w:hanging="283" w:left="709"/>
        <w:rPr/>
      </w:pPr>
      <w:r>
        <w:rPr>
          <w:rStyle w:val="Strong"/>
          <w:rFonts w:ascii="Calibri" w:hAnsi="Calibri"/>
        </w:rPr>
        <w:t>Medical imaging and clinical data (patients)</w:t>
      </w:r>
    </w:p>
    <w:p>
      <w:pPr>
        <w:pStyle w:val="BodyText"/>
        <w:numPr>
          <w:ilvl w:val="1"/>
          <w:numId w:val="8"/>
        </w:numPr>
        <w:tabs>
          <w:tab w:val="clear" w:pos="720"/>
          <w:tab w:val="left" w:pos="0" w:leader="none"/>
        </w:tabs>
        <w:spacing w:before="0" w:after="0"/>
        <w:ind w:hanging="283" w:left="1418"/>
        <w:rPr>
          <w:rFonts w:ascii="Calibri" w:hAnsi="Calibri"/>
        </w:rPr>
      </w:pPr>
      <w:r>
        <w:rPr>
          <w:rFonts w:ascii="Calibri" w:hAnsi="Calibri"/>
        </w:rPr>
        <w:t xml:space="preserve">Source: Participating institutes </w:t>
      </w:r>
    </w:p>
    <w:p>
      <w:pPr>
        <w:pStyle w:val="BodyText"/>
        <w:numPr>
          <w:ilvl w:val="1"/>
          <w:numId w:val="8"/>
        </w:numPr>
        <w:tabs>
          <w:tab w:val="clear" w:pos="720"/>
          <w:tab w:val="left" w:pos="0" w:leader="none"/>
        </w:tabs>
        <w:spacing w:before="0" w:after="0"/>
        <w:ind w:hanging="283" w:left="1418"/>
        <w:rPr>
          <w:rFonts w:ascii="Calibri" w:hAnsi="Calibri"/>
        </w:rPr>
      </w:pPr>
      <w:r>
        <w:rPr>
          <w:rFonts w:ascii="Calibri" w:hAnsi="Calibri"/>
        </w:rPr>
        <w:t xml:space="preserve">Processing: Fully anonymized client-side in the uploader’s web browser before any transmission </w:t>
      </w:r>
    </w:p>
    <w:p>
      <w:pPr>
        <w:pStyle w:val="BodyText"/>
        <w:numPr>
          <w:ilvl w:val="1"/>
          <w:numId w:val="8"/>
        </w:numPr>
        <w:tabs>
          <w:tab w:val="clear" w:pos="720"/>
          <w:tab w:val="left" w:pos="0" w:leader="none"/>
        </w:tabs>
        <w:spacing w:before="0" w:after="0"/>
        <w:ind w:hanging="283" w:left="1418"/>
        <w:rPr>
          <w:rFonts w:ascii="Calibri" w:hAnsi="Calibri"/>
        </w:rPr>
      </w:pPr>
      <w:r>
        <w:rPr>
          <w:rFonts w:ascii="Calibri" w:hAnsi="Calibri"/>
        </w:rPr>
        <w:t>Content received by IAEA: Anonymized DICOM images and clinical variables (e.g., age, sex, findings). Applied anonymization techniques include removal of dates of birth, generalization of age into ranges, controlled per-patient date shifting for all other date fields, and stable pseudonymization of identifiers</w:t>
      </w:r>
      <w:r>
        <w:rPr>
          <w:rFonts w:eastAsia="ＭＳ 明朝" w:cs="Tahoma" w:ascii="Calibri" w:hAnsi="Calibri"/>
          <w:color w:val="auto"/>
          <w:kern w:val="0"/>
          <w:sz w:val="22"/>
          <w:szCs w:val="22"/>
          <w:lang w:val="en-US" w:eastAsia="en-US" w:bidi="ar-SA"/>
        </w:rPr>
        <w:t xml:space="preserve">. </w:t>
      </w:r>
    </w:p>
    <w:p>
      <w:pPr>
        <w:pStyle w:val="BodyText"/>
        <w:numPr>
          <w:ilvl w:val="1"/>
          <w:numId w:val="8"/>
        </w:numPr>
        <w:tabs>
          <w:tab w:val="clear" w:pos="720"/>
          <w:tab w:val="left" w:pos="0" w:leader="none"/>
        </w:tabs>
        <w:spacing w:before="0" w:after="0"/>
        <w:ind w:hanging="283" w:left="1418"/>
        <w:rPr>
          <w:rFonts w:ascii="Calibri" w:hAnsi="Calibri"/>
        </w:rPr>
      </w:pPr>
      <w:r>
        <w:rPr>
          <w:rFonts w:ascii="Calibri" w:hAnsi="Calibri"/>
        </w:rPr>
        <w:t xml:space="preserve">Identifiers: All direct and indirect identifiers removed, hashed, or generalized locally </w:t>
      </w:r>
    </w:p>
    <w:p>
      <w:pPr>
        <w:pStyle w:val="BodyText"/>
        <w:numPr>
          <w:ilvl w:val="1"/>
          <w:numId w:val="8"/>
        </w:numPr>
        <w:tabs>
          <w:tab w:val="clear" w:pos="720"/>
          <w:tab w:val="left" w:pos="0" w:leader="none"/>
        </w:tabs>
        <w:spacing w:before="0" w:after="0"/>
        <w:ind w:hanging="283" w:left="1418"/>
        <w:rPr>
          <w:rFonts w:ascii="Calibri" w:hAnsi="Calibri"/>
        </w:rPr>
      </w:pPr>
      <w:r>
        <w:rPr>
          <w:rFonts w:ascii="Calibri" w:hAnsi="Calibri"/>
        </w:rPr>
        <w:t xml:space="preserve">Re-identification: Not reasonably possible by IAEA (mapping remains exclusively at institute level) </w:t>
      </w:r>
    </w:p>
    <w:p>
      <w:pPr>
        <w:pStyle w:val="BodyText"/>
        <w:numPr>
          <w:ilvl w:val="0"/>
          <w:numId w:val="8"/>
        </w:numPr>
        <w:tabs>
          <w:tab w:val="clear" w:pos="720"/>
          <w:tab w:val="left" w:pos="0" w:leader="none"/>
        </w:tabs>
        <w:spacing w:before="0" w:after="0"/>
        <w:ind w:hanging="283" w:left="709"/>
        <w:rPr/>
      </w:pPr>
      <w:r>
        <w:rPr>
          <w:rStyle w:val="Strong"/>
          <w:rFonts w:ascii="Calibri" w:hAnsi="Calibri"/>
        </w:rPr>
        <w:t>Platform user account data (institute staff)</w:t>
      </w:r>
    </w:p>
    <w:p>
      <w:pPr>
        <w:pStyle w:val="BodyText"/>
        <w:numPr>
          <w:ilvl w:val="1"/>
          <w:numId w:val="8"/>
        </w:numPr>
        <w:tabs>
          <w:tab w:val="clear" w:pos="720"/>
          <w:tab w:val="left" w:pos="0" w:leader="none"/>
        </w:tabs>
        <w:spacing w:before="0" w:after="0"/>
        <w:ind w:hanging="283" w:left="1418"/>
        <w:rPr>
          <w:rFonts w:ascii="Calibri" w:hAnsi="Calibri"/>
        </w:rPr>
      </w:pPr>
      <w:r>
        <w:rPr>
          <w:rFonts w:ascii="Calibri" w:hAnsi="Calibri"/>
        </w:rPr>
        <w:t xml:space="preserve">Content: Name, email address, institute affiliation, role </w:t>
      </w:r>
    </w:p>
    <w:p>
      <w:pPr>
        <w:pStyle w:val="BodyText"/>
        <w:numPr>
          <w:ilvl w:val="1"/>
          <w:numId w:val="8"/>
        </w:numPr>
        <w:tabs>
          <w:tab w:val="clear" w:pos="720"/>
          <w:tab w:val="left" w:pos="0" w:leader="none"/>
        </w:tabs>
        <w:spacing w:before="0" w:after="0"/>
        <w:ind w:hanging="283" w:left="1418"/>
        <w:rPr>
          <w:rFonts w:ascii="Calibri" w:hAnsi="Calibri"/>
        </w:rPr>
      </w:pPr>
      <w:r>
        <w:rPr>
          <w:rFonts w:ascii="Calibri" w:hAnsi="Calibri"/>
        </w:rPr>
        <w:t xml:space="preserve">Purpose: Authentication, authorization, audit logging </w:t>
      </w:r>
    </w:p>
    <w:p>
      <w:pPr>
        <w:pStyle w:val="BodyText"/>
        <w:numPr>
          <w:ilvl w:val="1"/>
          <w:numId w:val="8"/>
        </w:numPr>
        <w:tabs>
          <w:tab w:val="clear" w:pos="720"/>
          <w:tab w:val="left" w:pos="0" w:leader="none"/>
        </w:tabs>
        <w:spacing w:before="0" w:after="0"/>
        <w:ind w:hanging="283" w:left="1418"/>
        <w:rPr>
          <w:rFonts w:ascii="Calibri" w:hAnsi="Calibri"/>
        </w:rPr>
      </w:pPr>
      <w:r>
        <w:rPr>
          <w:rFonts w:ascii="Calibri" w:hAnsi="Calibri"/>
        </w:rPr>
        <w:t>Legal basis: Legitimate interest (platform security and auditability) and contractual necessity (access provision) for enabling controlled access to the system.</w:t>
      </w:r>
    </w:p>
    <w:p>
      <w:pPr>
        <w:pStyle w:val="BodyText"/>
        <w:numPr>
          <w:ilvl w:val="1"/>
          <w:numId w:val="8"/>
        </w:numPr>
        <w:tabs>
          <w:tab w:val="clear" w:pos="720"/>
          <w:tab w:val="left" w:pos="0" w:leader="none"/>
        </w:tabs>
        <w:ind w:hanging="283" w:left="1418"/>
        <w:rPr>
          <w:rFonts w:ascii="Calibri" w:hAnsi="Calibri"/>
        </w:rPr>
      </w:pPr>
      <w:r>
        <w:rPr>
          <w:rFonts w:ascii="Calibri" w:hAnsi="Calibri"/>
        </w:rPr>
        <w:t xml:space="preserve">Risk level: Low (limited non-sensitive personal data: username and email address used solely for authentication and audit logging purposes) </w:t>
      </w:r>
    </w:p>
    <w:p>
      <w:pPr>
        <w:pStyle w:val="Heading2"/>
        <w:widowControl/>
        <w:numPr>
          <w:ilvl w:val="0"/>
          <w:numId w:val="7"/>
        </w:numPr>
        <w:suppressAutoHyphens w:val="true"/>
        <w:overflowPunct w:val="true"/>
        <w:bidi w:val="0"/>
        <w:spacing w:lineRule="auto" w:line="276"/>
        <w:ind w:hanging="0" w:left="0" w:right="0"/>
        <w:jc w:val="left"/>
        <w:rPr>
          <w:rFonts w:ascii="Calibri" w:hAnsi="Calibri"/>
        </w:rPr>
      </w:pPr>
      <w:bookmarkStart w:id="3" w:name="__RefHeading___Toc2080_3529209179"/>
      <w:bookmarkEnd w:id="3"/>
      <w:r>
        <w:rPr/>
        <w:t>Controllership</w:t>
      </w:r>
    </w:p>
    <w:p>
      <w:pPr>
        <w:pStyle w:val="BodyText"/>
        <w:numPr>
          <w:ilvl w:val="0"/>
          <w:numId w:val="9"/>
        </w:numPr>
        <w:tabs>
          <w:tab w:val="clear" w:pos="720"/>
          <w:tab w:val="left" w:pos="0" w:leader="none"/>
        </w:tabs>
        <w:spacing w:before="0" w:after="0"/>
        <w:ind w:hanging="283" w:left="709"/>
        <w:rPr>
          <w:rFonts w:ascii="Calibri" w:hAnsi="Calibri"/>
        </w:rPr>
      </w:pPr>
      <w:r>
        <w:rPr>
          <w:rFonts w:ascii="Calibri" w:hAnsi="Calibri"/>
        </w:rPr>
        <w:t xml:space="preserve">Participating institutes act as controllers for the collection and anonymization of patient data at institute level. IAEA acts as controller for the processing of anonymized data only at platform level. No joint controllership applies to personal patient data. </w:t>
      </w:r>
    </w:p>
    <w:p>
      <w:pPr>
        <w:pStyle w:val="BodyText"/>
        <w:numPr>
          <w:ilvl w:val="0"/>
          <w:numId w:val="9"/>
        </w:numPr>
        <w:tabs>
          <w:tab w:val="clear" w:pos="720"/>
          <w:tab w:val="left" w:pos="0" w:leader="none"/>
        </w:tabs>
        <w:spacing w:before="0" w:after="0"/>
        <w:ind w:hanging="283" w:left="709"/>
        <w:rPr/>
      </w:pPr>
      <w:r>
        <w:rPr>
          <w:rFonts w:ascii="Calibri" w:hAnsi="Calibri"/>
        </w:rPr>
        <w:t xml:space="preserve">Personal data processing of patients occurs </w:t>
      </w:r>
      <w:r>
        <w:rPr>
          <w:rStyle w:val="Strong"/>
          <w:rFonts w:ascii="Calibri" w:hAnsi="Calibri"/>
        </w:rPr>
        <w:t>exclusively at institute level</w:t>
      </w:r>
      <w:r>
        <w:rPr>
          <w:rFonts w:ascii="Calibri" w:hAnsi="Calibri"/>
        </w:rPr>
        <w:t xml:space="preserve">. </w:t>
      </w:r>
    </w:p>
    <w:p>
      <w:pPr>
        <w:pStyle w:val="BodyText"/>
        <w:numPr>
          <w:ilvl w:val="0"/>
          <w:numId w:val="9"/>
        </w:numPr>
        <w:tabs>
          <w:tab w:val="clear" w:pos="720"/>
          <w:tab w:val="left" w:pos="0" w:leader="none"/>
        </w:tabs>
        <w:ind w:hanging="283" w:left="709"/>
        <w:rPr/>
      </w:pPr>
      <w:r>
        <w:rPr>
          <w:rFonts w:ascii="Calibri" w:hAnsi="Calibri"/>
        </w:rPr>
        <w:t xml:space="preserve">IAEA processes </w:t>
      </w:r>
      <w:r>
        <w:rPr>
          <w:rStyle w:val="Strong"/>
          <w:rFonts w:ascii="Calibri" w:hAnsi="Calibri"/>
        </w:rPr>
        <w:t>only anonymized datasets</w:t>
      </w:r>
      <w:r>
        <w:rPr>
          <w:rFonts w:ascii="Calibri" w:hAnsi="Calibri"/>
        </w:rPr>
        <w:t xml:space="preserve">. </w:t>
      </w:r>
    </w:p>
    <w:p>
      <w:pPr>
        <w:pStyle w:val="Heading2"/>
        <w:widowControl/>
        <w:numPr>
          <w:ilvl w:val="0"/>
          <w:numId w:val="7"/>
        </w:numPr>
        <w:suppressAutoHyphens w:val="true"/>
        <w:overflowPunct w:val="true"/>
        <w:bidi w:val="0"/>
        <w:spacing w:lineRule="auto" w:line="276"/>
        <w:ind w:hanging="360" w:left="360" w:right="0"/>
        <w:jc w:val="left"/>
        <w:rPr>
          <w:rFonts w:ascii="Calibri" w:hAnsi="Calibri"/>
        </w:rPr>
      </w:pPr>
      <w:bookmarkStart w:id="4" w:name="__RefHeading___Toc2082_3529209179"/>
      <w:bookmarkEnd w:id="4"/>
      <w:r>
        <w:rPr/>
        <w:t>GDPR Applicability</w:t>
      </w:r>
    </w:p>
    <w:p>
      <w:pPr>
        <w:pStyle w:val="BodyText"/>
        <w:spacing w:before="0" w:after="200"/>
        <w:ind w:hanging="0" w:left="0" w:right="0"/>
        <w:rPr/>
      </w:pPr>
      <w:r>
        <w:rPr>
          <w:rFonts w:ascii="Calibri" w:hAnsi="Calibri"/>
        </w:rPr>
        <w:t xml:space="preserve">In accordance with </w:t>
      </w:r>
      <w:r>
        <w:rPr>
          <w:rStyle w:val="Strong"/>
          <w:rFonts w:ascii="Calibri" w:hAnsi="Calibri"/>
        </w:rPr>
        <w:t>GDPR Recital 26</w:t>
      </w:r>
      <w:r>
        <w:rPr>
          <w:rFonts w:ascii="Calibri" w:hAnsi="Calibri"/>
        </w:rPr>
        <w:t>, data received and processed by the IAEA platform is anonymized and no longer constitutes personal data, as re-identification is not reasonably likely without information held solely by the institute.</w:t>
      </w:r>
    </w:p>
    <w:p>
      <w:pPr>
        <w:pStyle w:val="BodyText"/>
        <w:spacing w:before="0" w:after="200"/>
        <w:ind w:hanging="0" w:left="0" w:right="0"/>
        <w:rPr>
          <w:rFonts w:ascii="Calibri" w:hAnsi="Calibri"/>
        </w:rPr>
      </w:pPr>
      <w:r>
        <w:rPr>
          <w:rFonts w:ascii="Calibri" w:hAnsi="Calibri"/>
        </w:rPr>
        <w:t>GDPR obligations therefore apply only to platform user account data (Category 2).</w:t>
      </w:r>
    </w:p>
    <w:p>
      <w:pPr>
        <w:pStyle w:val="Heading2"/>
        <w:widowControl/>
        <w:numPr>
          <w:ilvl w:val="0"/>
          <w:numId w:val="7"/>
        </w:numPr>
        <w:suppressAutoHyphens w:val="true"/>
        <w:overflowPunct w:val="true"/>
        <w:bidi w:val="0"/>
        <w:spacing w:lineRule="auto" w:line="276"/>
        <w:ind w:hanging="360" w:left="360" w:right="0"/>
        <w:jc w:val="left"/>
        <w:rPr>
          <w:rFonts w:ascii="Calibri" w:hAnsi="Calibri"/>
        </w:rPr>
      </w:pPr>
      <w:bookmarkStart w:id="5" w:name="__RefHeading___Toc2084_3529209179"/>
      <w:bookmarkEnd w:id="5"/>
      <w:r>
        <w:rPr/>
        <w:t>Technical and Organisational Measures</w:t>
      </w:r>
    </w:p>
    <w:p>
      <w:pPr>
        <w:pStyle w:val="BodyText"/>
        <w:numPr>
          <w:ilvl w:val="0"/>
          <w:numId w:val="10"/>
        </w:numPr>
        <w:tabs>
          <w:tab w:val="clear" w:pos="720"/>
          <w:tab w:val="left" w:pos="0" w:leader="none"/>
        </w:tabs>
        <w:spacing w:before="0" w:after="0"/>
        <w:ind w:hanging="283" w:left="709"/>
        <w:rPr>
          <w:rFonts w:ascii="Calibri" w:hAnsi="Calibri"/>
        </w:rPr>
      </w:pPr>
      <w:r>
        <w:rPr>
          <w:rFonts w:ascii="Calibri" w:hAnsi="Calibri"/>
        </w:rPr>
        <w:t xml:space="preserve">Client-side anonymization (pure JavaScript – no raw data transmission) </w:t>
      </w:r>
    </w:p>
    <w:p>
      <w:pPr>
        <w:pStyle w:val="BodyText"/>
        <w:numPr>
          <w:ilvl w:val="0"/>
          <w:numId w:val="10"/>
        </w:numPr>
        <w:tabs>
          <w:tab w:val="clear" w:pos="720"/>
          <w:tab w:val="left" w:pos="0" w:leader="none"/>
        </w:tabs>
        <w:spacing w:before="0" w:after="0"/>
        <w:ind w:hanging="283" w:left="709"/>
        <w:rPr>
          <w:rFonts w:ascii="Calibri" w:hAnsi="Calibri"/>
        </w:rPr>
      </w:pPr>
      <w:r>
        <w:rPr>
          <w:rFonts w:ascii="Calibri" w:hAnsi="Calibri"/>
        </w:rPr>
        <w:t>Encryption in transit enforced via Application Load Balancer security policy ELBSecurityPolicy-TLS13-1-2-2021-06 (TLS 1.2 and TLS 1.3).</w:t>
      </w:r>
    </w:p>
    <w:p>
      <w:pPr>
        <w:pStyle w:val="BodyText"/>
        <w:numPr>
          <w:ilvl w:val="0"/>
          <w:numId w:val="10"/>
        </w:numPr>
        <w:tabs>
          <w:tab w:val="clear" w:pos="720"/>
          <w:tab w:val="left" w:pos="0" w:leader="none"/>
        </w:tabs>
        <w:spacing w:before="0" w:after="0"/>
        <w:ind w:hanging="283" w:left="709"/>
        <w:rPr>
          <w:rFonts w:ascii="Calibri" w:hAnsi="Calibri"/>
        </w:rPr>
      </w:pPr>
      <w:r>
        <w:rPr>
          <w:rFonts w:ascii="Calibri" w:hAnsi="Calibri"/>
        </w:rPr>
        <w:t>Encryption at rest enabled for Amazon S3 (AES-256 server-side encryption) and Amazon RDS PostgreSQL (AWS KMS-managed keys).</w:t>
      </w:r>
    </w:p>
    <w:p>
      <w:pPr>
        <w:pStyle w:val="BodyText"/>
        <w:numPr>
          <w:ilvl w:val="0"/>
          <w:numId w:val="10"/>
        </w:numPr>
        <w:tabs>
          <w:tab w:val="clear" w:pos="720"/>
          <w:tab w:val="left" w:pos="0" w:leader="none"/>
        </w:tabs>
        <w:spacing w:before="0" w:after="0"/>
        <w:ind w:hanging="283" w:left="709"/>
        <w:rPr>
          <w:rFonts w:ascii="Calibri" w:hAnsi="Calibri"/>
        </w:rPr>
      </w:pPr>
      <w:r>
        <w:rPr>
          <w:rFonts w:ascii="Calibri" w:hAnsi="Calibri"/>
        </w:rPr>
        <w:t>AWS Web Application Firewall (WAF v2) deployed in blocking mode with AWS Managed Rule Groups.</w:t>
      </w:r>
    </w:p>
    <w:p>
      <w:pPr>
        <w:pStyle w:val="BodyText"/>
        <w:numPr>
          <w:ilvl w:val="0"/>
          <w:numId w:val="10"/>
        </w:numPr>
        <w:tabs>
          <w:tab w:val="clear" w:pos="720"/>
          <w:tab w:val="left" w:pos="0" w:leader="none"/>
        </w:tabs>
        <w:spacing w:before="0" w:after="0"/>
        <w:ind w:hanging="283" w:left="709"/>
        <w:rPr>
          <w:rFonts w:ascii="Calibri" w:hAnsi="Calibri"/>
        </w:rPr>
      </w:pPr>
      <w:r>
        <w:rPr>
          <w:rFonts w:ascii="Calibri" w:hAnsi="Calibri"/>
        </w:rPr>
        <w:t>Network segregation enforced via VPC segmentation, Security Groups, and Network ACL default-deny posture.</w:t>
      </w:r>
    </w:p>
    <w:p>
      <w:pPr>
        <w:pStyle w:val="BodyText"/>
        <w:numPr>
          <w:ilvl w:val="0"/>
          <w:numId w:val="10"/>
        </w:numPr>
        <w:tabs>
          <w:tab w:val="clear" w:pos="720"/>
          <w:tab w:val="left" w:pos="0" w:leader="none"/>
        </w:tabs>
        <w:spacing w:before="0" w:after="0"/>
        <w:ind w:hanging="283" w:left="709"/>
        <w:rPr>
          <w:rFonts w:ascii="Calibri" w:hAnsi="Calibri"/>
        </w:rPr>
      </w:pPr>
      <w:r>
        <w:rPr>
          <w:rFonts w:ascii="Calibri" w:hAnsi="Calibri"/>
        </w:rPr>
        <w:t>Proposed enablement of Amazon GuardDuty for runtime threat detection (decision pending)</w:t>
      </w:r>
    </w:p>
    <w:p>
      <w:pPr>
        <w:pStyle w:val="BodyText"/>
        <w:numPr>
          <w:ilvl w:val="0"/>
          <w:numId w:val="10"/>
        </w:numPr>
        <w:tabs>
          <w:tab w:val="clear" w:pos="720"/>
          <w:tab w:val="left" w:pos="0" w:leader="none"/>
        </w:tabs>
        <w:spacing w:before="0" w:after="0"/>
        <w:ind w:hanging="283" w:left="709"/>
        <w:rPr>
          <w:rFonts w:ascii="Calibri" w:hAnsi="Calibri"/>
        </w:rPr>
      </w:pPr>
      <w:r>
        <w:rPr>
          <w:rFonts w:ascii="Calibri" w:hAnsi="Calibri"/>
        </w:rPr>
        <w:t xml:space="preserve">Role-based access control and audit logging </w:t>
      </w:r>
    </w:p>
    <w:p>
      <w:pPr>
        <w:pStyle w:val="BodyText"/>
        <w:widowControl/>
        <w:numPr>
          <w:ilvl w:val="0"/>
          <w:numId w:val="10"/>
        </w:numPr>
        <w:tabs>
          <w:tab w:val="clear" w:pos="720"/>
          <w:tab w:val="left" w:pos="0" w:leader="none"/>
        </w:tabs>
        <w:suppressAutoHyphens w:val="true"/>
        <w:overflowPunct w:val="true"/>
        <w:bidi w:val="0"/>
        <w:spacing w:lineRule="auto" w:line="276" w:before="0" w:after="0"/>
        <w:ind w:hanging="283" w:left="709"/>
        <w:jc w:val="left"/>
        <w:rPr>
          <w:rFonts w:ascii="Calibri" w:hAnsi="Calibri"/>
        </w:rPr>
      </w:pPr>
      <w:r>
        <w:rPr>
          <w:rFonts w:eastAsia="ＭＳ 明朝" w:cs="Tahoma" w:ascii="Calibri" w:hAnsi="Calibri"/>
          <w:color w:val="auto"/>
          <w:kern w:val="0"/>
          <w:sz w:val="22"/>
          <w:szCs w:val="22"/>
          <w:lang w:val="en-US" w:eastAsia="en-US" w:bidi="ar-SA"/>
        </w:rPr>
        <w:t xml:space="preserve">No third-party sharing of data outside UNICC-managed infrastructure </w:t>
      </w:r>
    </w:p>
    <w:p>
      <w:pPr>
        <w:pStyle w:val="BodyText"/>
        <w:widowControl/>
        <w:numPr>
          <w:ilvl w:val="0"/>
          <w:numId w:val="10"/>
        </w:numPr>
        <w:tabs>
          <w:tab w:val="clear" w:pos="720"/>
          <w:tab w:val="left" w:pos="0" w:leader="none"/>
        </w:tabs>
        <w:suppressAutoHyphens w:val="true"/>
        <w:overflowPunct w:val="true"/>
        <w:bidi w:val="0"/>
        <w:spacing w:lineRule="auto" w:line="276" w:before="0" w:after="0"/>
        <w:ind w:hanging="283" w:left="709"/>
        <w:jc w:val="left"/>
        <w:rPr>
          <w:rFonts w:ascii="Calibri" w:hAnsi="Calibri"/>
        </w:rPr>
      </w:pPr>
      <w:r>
        <w:rPr>
          <w:rFonts w:eastAsia="ＭＳ 明朝" w:cs="Tahoma" w:ascii="Calibri" w:hAnsi="Calibri"/>
          <w:color w:val="auto"/>
          <w:kern w:val="0"/>
          <w:sz w:val="22"/>
          <w:szCs w:val="22"/>
          <w:lang w:val="en-US" w:eastAsia="en-US" w:bidi="ar-SA"/>
        </w:rPr>
        <w:t>D</w:t>
      </w:r>
      <w:r>
        <w:rPr>
          <w:rFonts w:ascii="Calibri" w:hAnsi="Calibri"/>
        </w:rPr>
        <w:t xml:space="preserve">eterministic anonymization logic ensuring consistent transformation across DICOM metadata and associated clinical data files. </w:t>
      </w:r>
    </w:p>
    <w:p>
      <w:pPr>
        <w:pStyle w:val="BodyText"/>
        <w:widowControl/>
        <w:tabs>
          <w:tab w:val="clear" w:pos="720"/>
          <w:tab w:val="left" w:pos="0" w:leader="none"/>
        </w:tabs>
        <w:suppressAutoHyphens w:val="true"/>
        <w:overflowPunct w:val="true"/>
        <w:bidi w:val="0"/>
        <w:spacing w:lineRule="auto" w:line="276" w:before="0" w:after="0"/>
        <w:ind w:hanging="0" w:left="0"/>
        <w:jc w:val="left"/>
        <w:rPr>
          <w:rFonts w:ascii="Calibri" w:hAnsi="Calibri"/>
        </w:rPr>
      </w:pPr>
      <w:r>
        <w:rPr>
          <w:rFonts w:ascii="Calibri" w:hAnsi="Calibri"/>
        </w:rPr>
      </w:r>
    </w:p>
    <w:p>
      <w:pPr>
        <w:pStyle w:val="BodyText"/>
        <w:widowControl/>
        <w:tabs>
          <w:tab w:val="clear" w:pos="720"/>
          <w:tab w:val="left" w:pos="0" w:leader="none"/>
        </w:tabs>
        <w:suppressAutoHyphens w:val="true"/>
        <w:overflowPunct w:val="true"/>
        <w:bidi w:val="0"/>
        <w:spacing w:lineRule="auto" w:line="276" w:before="0" w:after="0"/>
        <w:ind w:hanging="0" w:left="0"/>
        <w:jc w:val="left"/>
        <w:rPr>
          <w:rFonts w:ascii="Calibri" w:hAnsi="Calibri"/>
        </w:rPr>
      </w:pPr>
      <w:r>
        <w:rPr>
          <w:rFonts w:ascii="Calibri" w:hAnsi="Calibri"/>
        </w:rPr>
        <w:t xml:space="preserve">It should be noted that clinical data is limited to structured fields and anonymized prior to upload. Free-text clinical notes are not supported, and residual risk is mitigated through role-based access control, validation rules, and audit logging. </w:t>
      </w:r>
    </w:p>
    <w:p>
      <w:pPr>
        <w:pStyle w:val="Heading2"/>
        <w:widowControl/>
        <w:numPr>
          <w:ilvl w:val="0"/>
          <w:numId w:val="7"/>
        </w:numPr>
        <w:suppressAutoHyphens w:val="true"/>
        <w:overflowPunct w:val="true"/>
        <w:bidi w:val="0"/>
        <w:spacing w:lineRule="auto" w:line="276"/>
        <w:ind w:hanging="360" w:left="360" w:right="0"/>
        <w:jc w:val="left"/>
        <w:rPr>
          <w:rFonts w:ascii="Calibri" w:hAnsi="Calibri"/>
        </w:rPr>
      </w:pPr>
      <w:bookmarkStart w:id="6" w:name="__RefHeading___Toc2086_3529209179"/>
      <w:bookmarkEnd w:id="6"/>
      <w:r>
        <w:rPr/>
        <w:t>Risk Assessment</w:t>
      </w:r>
    </w:p>
    <w:p>
      <w:pPr>
        <w:pStyle w:val="BodyText"/>
        <w:numPr>
          <w:ilvl w:val="0"/>
          <w:numId w:val="11"/>
        </w:numPr>
        <w:tabs>
          <w:tab w:val="clear" w:pos="720"/>
          <w:tab w:val="left" w:pos="0" w:leader="none"/>
        </w:tabs>
        <w:spacing w:before="0" w:after="0"/>
        <w:ind w:hanging="283" w:left="709"/>
        <w:rPr/>
      </w:pPr>
      <w:r>
        <w:rPr>
          <w:rStyle w:val="Strong"/>
          <w:rFonts w:ascii="Calibri" w:hAnsi="Calibri"/>
        </w:rPr>
        <w:t>Patient data risk at IAEA level:</w:t>
      </w:r>
      <w:r>
        <w:rPr>
          <w:rFonts w:ascii="Calibri" w:hAnsi="Calibri"/>
        </w:rPr>
        <w:t xml:space="preserve"> Negligible </w:t>
      </w:r>
    </w:p>
    <w:p>
      <w:pPr>
        <w:pStyle w:val="BodyText"/>
        <w:numPr>
          <w:ilvl w:val="0"/>
          <w:numId w:val="11"/>
        </w:numPr>
        <w:tabs>
          <w:tab w:val="clear" w:pos="720"/>
          <w:tab w:val="left" w:pos="0" w:leader="none"/>
        </w:tabs>
        <w:spacing w:before="0" w:after="0"/>
        <w:ind w:hanging="283" w:left="709"/>
        <w:rPr/>
      </w:pPr>
      <w:r>
        <w:rPr>
          <w:rStyle w:val="Strong"/>
          <w:rFonts w:ascii="Calibri" w:hAnsi="Calibri"/>
        </w:rPr>
        <w:t>User account data risk:</w:t>
      </w:r>
      <w:r>
        <w:rPr>
          <w:rFonts w:ascii="Calibri" w:hAnsi="Calibri"/>
        </w:rPr>
        <w:t xml:space="preserve"> Low. Data is stored in a private Amazon RDS PostgreSQL instance within a non-public subnet, accessible only via internal VPC connections and protected by role-based access controls, encryption at rest (AWS KMS), and TLS encryption in transit. </w:t>
      </w:r>
    </w:p>
    <w:p>
      <w:pPr>
        <w:pStyle w:val="BodyText"/>
        <w:numPr>
          <w:ilvl w:val="0"/>
          <w:numId w:val="11"/>
        </w:numPr>
        <w:tabs>
          <w:tab w:val="clear" w:pos="720"/>
          <w:tab w:val="left" w:pos="0" w:leader="none"/>
        </w:tabs>
        <w:ind w:hanging="283" w:left="709"/>
        <w:rPr>
          <w:rFonts w:ascii="Calibri" w:hAnsi="Calibri"/>
        </w:rPr>
      </w:pPr>
      <w:r>
        <w:rPr>
          <w:rFonts w:ascii="Calibri" w:hAnsi="Calibri"/>
        </w:rPr>
        <w:t>No systematic monitoring, profiling, or processing of special categories of personal data is performed by the platform.</w:t>
      </w:r>
    </w:p>
    <w:p>
      <w:pPr>
        <w:pStyle w:val="Heading2"/>
        <w:widowControl/>
        <w:numPr>
          <w:ilvl w:val="0"/>
          <w:numId w:val="7"/>
        </w:numPr>
        <w:suppressAutoHyphens w:val="true"/>
        <w:overflowPunct w:val="true"/>
        <w:bidi w:val="0"/>
        <w:spacing w:lineRule="auto" w:line="276"/>
        <w:ind w:hanging="360" w:left="360" w:right="0"/>
        <w:jc w:val="left"/>
        <w:rPr>
          <w:rFonts w:ascii="Calibri" w:hAnsi="Calibri"/>
        </w:rPr>
      </w:pPr>
      <w:bookmarkStart w:id="7" w:name="__RefHeading___Toc2088_3529209179"/>
      <w:bookmarkEnd w:id="7"/>
      <w:r>
        <w:rPr/>
        <w:t>Summary</w:t>
      </w:r>
    </w:p>
    <w:p>
      <w:pPr>
        <w:pStyle w:val="BodyText"/>
        <w:spacing w:before="0" w:after="200"/>
        <w:ind w:hanging="0" w:left="0" w:right="0"/>
        <w:rPr>
          <w:rFonts w:ascii="Calibri" w:hAnsi="Calibri"/>
        </w:rPr>
      </w:pPr>
      <w:r>
        <w:rPr>
          <w:rFonts w:ascii="Calibri" w:hAnsi="Calibri"/>
        </w:rPr>
        <w:t>This assessment is conducted from the IAEA processing perspective and does not replace institute-level privacy assessments performed under national law.</w:t>
        <w:br/>
        <w:br/>
      </w:r>
      <w:r>
        <w:rPr>
          <w:rFonts w:eastAsia="ＭＳ 明朝" w:cs="Tahoma" w:ascii="Calibri" w:hAnsi="Calibri"/>
          <w:color w:val="auto"/>
          <w:kern w:val="0"/>
          <w:sz w:val="22"/>
          <w:szCs w:val="22"/>
          <w:lang w:val="en-US" w:eastAsia="en-US" w:bidi="ar-SA"/>
        </w:rPr>
        <w:t>No identifiable personal patient data is processed by the IAEA platform. All patient data is anonymized prior to upload, and residual privacy risk at platform level is assessed as low. The completed Data Mapping workbook and the ZODIAC Anonymization Guideline provide a sufficient and proportionate assessment of the processing activities.</w:t>
      </w:r>
      <w:r>
        <w:rPr>
          <w:rFonts w:ascii="Calibri" w:hAnsi="Calibri"/>
        </w:rPr>
        <w:br/>
        <w:br/>
        <w:t>Based on the above, the processing does not meet the criteria of Article 35 GDPR requiring a Data Protection Impact Assessment (DPIA). Accordingly, a full DPIA is not required at this stage.</w:t>
        <w:br/>
        <w:br/>
        <w:t>This document serves as a draft summary for reviewers and will be updated following feedback.</w:t>
      </w:r>
    </w:p>
    <w:p>
      <w:pPr>
        <w:pStyle w:val="Heading2"/>
        <w:widowControl/>
        <w:numPr>
          <w:ilvl w:val="0"/>
          <w:numId w:val="7"/>
        </w:numPr>
        <w:suppressAutoHyphens w:val="true"/>
        <w:overflowPunct w:val="true"/>
        <w:bidi w:val="0"/>
        <w:spacing w:lineRule="auto" w:line="276"/>
        <w:ind w:hanging="360" w:left="360" w:right="0"/>
        <w:jc w:val="left"/>
        <w:rPr>
          <w:rFonts w:ascii="Calibri" w:hAnsi="Calibri"/>
        </w:rPr>
      </w:pPr>
      <w:bookmarkStart w:id="8" w:name="__RefHeading___Toc2559_1635066637"/>
      <w:bookmarkEnd w:id="8"/>
      <w:r>
        <w:rPr/>
        <w:t>Change Log</w:t>
      </w:r>
    </w:p>
    <w:tbl>
      <w:tblPr>
        <w:tblW w:w="8459" w:type="dxa"/>
        <w:jc w:val="left"/>
        <w:tblInd w:w="68" w:type="dxa"/>
        <w:tblLayout w:type="fixed"/>
        <w:tblCellMar>
          <w:top w:w="0" w:type="dxa"/>
          <w:left w:w="108" w:type="dxa"/>
          <w:bottom w:w="0" w:type="dxa"/>
          <w:right w:w="108" w:type="dxa"/>
        </w:tblCellMar>
      </w:tblPr>
      <w:tblGrid>
        <w:gridCol w:w="1010"/>
        <w:gridCol w:w="1350"/>
        <w:gridCol w:w="3780"/>
        <w:gridCol w:w="2318"/>
      </w:tblGrid>
      <w:tr>
        <w:trPr/>
        <w:tc>
          <w:tcPr>
            <w:tcW w:w="1010" w:type="dxa"/>
            <w:tcBorders>
              <w:top w:val="single" w:sz="4" w:space="0" w:color="000000"/>
              <w:left w:val="single" w:sz="4" w:space="0" w:color="000000"/>
              <w:bottom w:val="single" w:sz="4" w:space="0" w:color="000000"/>
              <w:right w:val="single" w:sz="4" w:space="0" w:color="000000"/>
            </w:tcBorders>
            <w:shd w:fill="DDDDDD" w:val="clear"/>
          </w:tcPr>
          <w:p>
            <w:pPr>
              <w:pStyle w:val="Normal"/>
              <w:widowControl/>
              <w:spacing w:lineRule="auto" w:line="240" w:before="0" w:after="0"/>
              <w:jc w:val="left"/>
              <w:rPr>
                <w:rFonts w:ascii="Calibri" w:hAnsi="Calibri"/>
              </w:rPr>
            </w:pPr>
            <w:r>
              <w:rPr>
                <w:rFonts w:eastAsia="ＭＳ 明朝" w:ascii="Calibri" w:hAnsi="Calibri"/>
                <w:b/>
                <w:bCs/>
                <w:kern w:val="0"/>
                <w:sz w:val="22"/>
                <w:szCs w:val="22"/>
                <w:lang w:val="en-US" w:eastAsia="en-US" w:bidi="ar-SA"/>
              </w:rPr>
              <w:t>Version</w:t>
            </w:r>
          </w:p>
        </w:tc>
        <w:tc>
          <w:tcPr>
            <w:tcW w:w="1350" w:type="dxa"/>
            <w:tcBorders>
              <w:top w:val="single" w:sz="4" w:space="0" w:color="000000"/>
              <w:left w:val="single" w:sz="4" w:space="0" w:color="000000"/>
              <w:bottom w:val="single" w:sz="4" w:space="0" w:color="000000"/>
              <w:right w:val="single" w:sz="4" w:space="0" w:color="000000"/>
            </w:tcBorders>
            <w:shd w:fill="DDDDDD" w:val="clear"/>
          </w:tcPr>
          <w:p>
            <w:pPr>
              <w:pStyle w:val="Normal"/>
              <w:widowControl/>
              <w:spacing w:lineRule="auto" w:line="240" w:before="0" w:after="0"/>
              <w:jc w:val="left"/>
              <w:rPr>
                <w:rFonts w:ascii="Calibri" w:hAnsi="Calibri"/>
              </w:rPr>
            </w:pPr>
            <w:r>
              <w:rPr>
                <w:rFonts w:eastAsia="ＭＳ 明朝" w:ascii="Calibri" w:hAnsi="Calibri"/>
                <w:b/>
                <w:bCs/>
                <w:kern w:val="0"/>
                <w:sz w:val="22"/>
                <w:szCs w:val="22"/>
                <w:lang w:val="en-US" w:eastAsia="en-US" w:bidi="ar-SA"/>
              </w:rPr>
              <w:t>Date</w:t>
            </w:r>
          </w:p>
        </w:tc>
        <w:tc>
          <w:tcPr>
            <w:tcW w:w="3780" w:type="dxa"/>
            <w:tcBorders>
              <w:top w:val="single" w:sz="4" w:space="0" w:color="000000"/>
              <w:left w:val="single" w:sz="4" w:space="0" w:color="000000"/>
              <w:bottom w:val="single" w:sz="4" w:space="0" w:color="000000"/>
              <w:right w:val="single" w:sz="4" w:space="0" w:color="000000"/>
            </w:tcBorders>
            <w:shd w:fill="DDDDDD" w:val="clear"/>
          </w:tcPr>
          <w:p>
            <w:pPr>
              <w:pStyle w:val="Normal"/>
              <w:widowControl/>
              <w:spacing w:lineRule="auto" w:line="240" w:before="0" w:after="0"/>
              <w:jc w:val="left"/>
              <w:rPr>
                <w:rFonts w:ascii="Calibri" w:hAnsi="Calibri"/>
              </w:rPr>
            </w:pPr>
            <w:r>
              <w:rPr>
                <w:rFonts w:eastAsia="ＭＳ 明朝" w:ascii="Calibri" w:hAnsi="Calibri"/>
                <w:b/>
                <w:bCs/>
                <w:kern w:val="0"/>
                <w:sz w:val="22"/>
                <w:szCs w:val="22"/>
                <w:lang w:val="en-US" w:eastAsia="en-US" w:bidi="ar-SA"/>
              </w:rPr>
              <w:t>Description</w:t>
            </w:r>
          </w:p>
        </w:tc>
        <w:tc>
          <w:tcPr>
            <w:tcW w:w="2318" w:type="dxa"/>
            <w:tcBorders>
              <w:top w:val="single" w:sz="4" w:space="0" w:color="000000"/>
              <w:left w:val="single" w:sz="4" w:space="0" w:color="000000"/>
              <w:bottom w:val="single" w:sz="4" w:space="0" w:color="000000"/>
              <w:right w:val="single" w:sz="4" w:space="0" w:color="000000"/>
            </w:tcBorders>
            <w:shd w:fill="DDDDDD" w:val="clear"/>
          </w:tcPr>
          <w:p>
            <w:pPr>
              <w:pStyle w:val="Normal"/>
              <w:widowControl/>
              <w:spacing w:lineRule="auto" w:line="240" w:before="0" w:after="0"/>
              <w:jc w:val="left"/>
              <w:rPr>
                <w:rFonts w:ascii="Calibri" w:hAnsi="Calibri"/>
              </w:rPr>
            </w:pPr>
            <w:r>
              <w:rPr>
                <w:rFonts w:eastAsia="ＭＳ 明朝" w:ascii="Calibri" w:hAnsi="Calibri"/>
                <w:b/>
                <w:bCs/>
                <w:kern w:val="0"/>
                <w:sz w:val="22"/>
                <w:szCs w:val="22"/>
                <w:lang w:val="en-US" w:eastAsia="en-US" w:bidi="ar-SA"/>
              </w:rPr>
              <w:t>Author / Reviewed by</w:t>
            </w:r>
          </w:p>
        </w:tc>
      </w:tr>
      <w:tr>
        <w:trPr/>
        <w:tc>
          <w:tcPr>
            <w:tcW w:w="101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libri" w:hAnsi="Calibri"/>
              </w:rPr>
            </w:pPr>
            <w:r>
              <w:rPr>
                <w:rFonts w:eastAsia="ＭＳ 明朝" w:ascii="Calibri" w:hAnsi="Calibri"/>
                <w:kern w:val="0"/>
                <w:sz w:val="22"/>
                <w:szCs w:val="22"/>
                <w:lang w:val="en-US" w:eastAsia="en-US" w:bidi="ar-SA"/>
              </w:rPr>
              <w:t>0.1</w:t>
            </w:r>
          </w:p>
        </w:tc>
        <w:tc>
          <w:tcPr>
            <w:tcW w:w="135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libri" w:hAnsi="Calibri"/>
              </w:rPr>
            </w:pPr>
            <w:r>
              <w:rPr>
                <w:rFonts w:eastAsia="ＭＳ 明朝" w:ascii="Calibri" w:hAnsi="Calibri"/>
                <w:kern w:val="0"/>
                <w:sz w:val="22"/>
                <w:szCs w:val="22"/>
                <w:lang w:val="en-US" w:eastAsia="en-US" w:bidi="ar-SA"/>
              </w:rPr>
              <w:t>18.12.2025</w:t>
            </w:r>
          </w:p>
        </w:tc>
        <w:tc>
          <w:tcPr>
            <w:tcW w:w="3780" w:type="dxa"/>
            <w:tcBorders>
              <w:top w:val="single" w:sz="4" w:space="0" w:color="000000"/>
              <w:left w:val="single" w:sz="4" w:space="0" w:color="000000"/>
              <w:bottom w:val="single" w:sz="4" w:space="0" w:color="000000"/>
              <w:right w:val="single" w:sz="4" w:space="0" w:color="000000"/>
            </w:tcBorders>
          </w:tcPr>
          <w:p>
            <w:pPr>
              <w:pStyle w:val="BodyText"/>
              <w:widowControl/>
              <w:spacing w:lineRule="auto" w:line="240" w:before="0" w:after="0"/>
              <w:jc w:val="left"/>
              <w:rPr>
                <w:rFonts w:ascii="Calibri" w:hAnsi="Calibri"/>
              </w:rPr>
            </w:pPr>
            <w:r>
              <w:rPr>
                <w:rFonts w:eastAsia="ＭＳ 明朝" w:ascii="Calibri" w:hAnsi="Calibri"/>
                <w:kern w:val="0"/>
                <w:sz w:val="22"/>
                <w:szCs w:val="22"/>
                <w:lang w:val="en-US" w:eastAsia="en-US" w:bidi="ar-SA"/>
              </w:rPr>
              <w:t>Initial draft</w:t>
            </w:r>
          </w:p>
        </w:tc>
        <w:tc>
          <w:tcPr>
            <w:tcW w:w="231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libri" w:hAnsi="Calibri"/>
              </w:rPr>
            </w:pPr>
            <w:r>
              <w:rPr>
                <w:rFonts w:eastAsia="ＭＳ 明朝" w:ascii="Calibri" w:hAnsi="Calibri"/>
                <w:kern w:val="0"/>
                <w:sz w:val="22"/>
                <w:szCs w:val="22"/>
                <w:lang w:val="en-US" w:eastAsia="en-US" w:bidi="ar-SA"/>
              </w:rPr>
              <w:t>Ibrahim Saracoglu / ZODIAC Team</w:t>
            </w:r>
          </w:p>
        </w:tc>
      </w:tr>
      <w:tr>
        <w:trPr/>
        <w:tc>
          <w:tcPr>
            <w:tcW w:w="1010" w:type="dxa"/>
            <w:tcBorders>
              <w:left w:val="single" w:sz="4" w:space="0" w:color="000000"/>
              <w:bottom w:val="single" w:sz="4" w:space="0" w:color="000000"/>
              <w:right w:val="single" w:sz="4" w:space="0" w:color="000000"/>
            </w:tcBorders>
          </w:tcPr>
          <w:p>
            <w:pPr>
              <w:pStyle w:val="Normal"/>
              <w:widowControl/>
              <w:spacing w:lineRule="auto" w:line="240" w:before="0" w:after="0"/>
              <w:jc w:val="left"/>
              <w:rPr>
                <w:rFonts w:ascii="Calibri" w:hAnsi="Calibri"/>
              </w:rPr>
            </w:pPr>
            <w:r>
              <w:rPr>
                <w:rFonts w:ascii="Calibri" w:hAnsi="Calibri"/>
              </w:rPr>
              <w:t>0.2</w:t>
            </w:r>
          </w:p>
        </w:tc>
        <w:tc>
          <w:tcPr>
            <w:tcW w:w="1350" w:type="dxa"/>
            <w:tcBorders>
              <w:left w:val="single" w:sz="4" w:space="0" w:color="000000"/>
              <w:bottom w:val="single" w:sz="4" w:space="0" w:color="000000"/>
              <w:right w:val="single" w:sz="4" w:space="0" w:color="000000"/>
            </w:tcBorders>
          </w:tcPr>
          <w:p>
            <w:pPr>
              <w:pStyle w:val="Normal"/>
              <w:widowControl/>
              <w:spacing w:lineRule="auto" w:line="240" w:before="0" w:after="0"/>
              <w:jc w:val="left"/>
              <w:rPr>
                <w:rFonts w:ascii="Calibri" w:hAnsi="Calibri"/>
              </w:rPr>
            </w:pPr>
            <w:r>
              <w:rPr>
                <w:rFonts w:ascii="Calibri" w:hAnsi="Calibri"/>
              </w:rPr>
              <w:t>20.01.2026</w:t>
            </w:r>
          </w:p>
        </w:tc>
        <w:tc>
          <w:tcPr>
            <w:tcW w:w="3780" w:type="dxa"/>
            <w:tcBorders>
              <w:left w:val="single" w:sz="4" w:space="0" w:color="000000"/>
              <w:bottom w:val="single" w:sz="4" w:space="0" w:color="000000"/>
              <w:right w:val="single" w:sz="4" w:space="0" w:color="000000"/>
            </w:tcBorders>
          </w:tcPr>
          <w:p>
            <w:pPr>
              <w:pStyle w:val="BodyText"/>
              <w:widowControl/>
              <w:spacing w:lineRule="auto" w:line="240" w:before="0" w:after="0"/>
              <w:jc w:val="left"/>
              <w:rPr>
                <w:rFonts w:ascii="Calibri" w:hAnsi="Calibri"/>
              </w:rPr>
            </w:pPr>
            <w:r>
              <w:rPr>
                <w:rFonts w:eastAsia="ＭＳ 明朝" w:ascii="Calibri" w:hAnsi="Calibri"/>
                <w:kern w:val="0"/>
                <w:sz w:val="22"/>
                <w:szCs w:val="22"/>
                <w:lang w:val="en-US" w:eastAsia="en-US" w:bidi="ar-SA"/>
              </w:rPr>
              <w:t>Aligned with updated anonymization strategy (date of birth removal, age generalization, controlled date shifting).</w:t>
            </w:r>
          </w:p>
        </w:tc>
        <w:tc>
          <w:tcPr>
            <w:tcW w:w="2318" w:type="dxa"/>
            <w:tcBorders>
              <w:left w:val="single" w:sz="4" w:space="0" w:color="000000"/>
              <w:bottom w:val="single" w:sz="4" w:space="0" w:color="000000"/>
              <w:right w:val="single" w:sz="4" w:space="0" w:color="000000"/>
            </w:tcBorders>
          </w:tcPr>
          <w:p>
            <w:pPr>
              <w:pStyle w:val="Normal"/>
              <w:widowControl/>
              <w:spacing w:lineRule="auto" w:line="240" w:before="0" w:after="0"/>
              <w:jc w:val="left"/>
              <w:rPr>
                <w:rFonts w:ascii="Calibri" w:hAnsi="Calibri"/>
              </w:rPr>
            </w:pPr>
            <w:r>
              <w:rPr>
                <w:rFonts w:eastAsia="ＭＳ 明朝" w:ascii="Calibri" w:hAnsi="Calibri"/>
                <w:kern w:val="0"/>
                <w:sz w:val="22"/>
                <w:szCs w:val="22"/>
                <w:lang w:val="en-US" w:eastAsia="en-US" w:bidi="ar-SA"/>
              </w:rPr>
              <w:t>Ibrahim Saracoglu / ZODIAC Team</w:t>
            </w:r>
          </w:p>
        </w:tc>
      </w:tr>
      <w:tr>
        <w:trPr/>
        <w:tc>
          <w:tcPr>
            <w:tcW w:w="101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libri" w:hAnsi="Calibri"/>
              </w:rPr>
            </w:pPr>
            <w:r>
              <w:rPr>
                <w:rFonts w:eastAsia="ＭＳ 明朝" w:ascii="Calibri" w:hAnsi="Calibri"/>
                <w:kern w:val="0"/>
                <w:sz w:val="22"/>
                <w:szCs w:val="22"/>
                <w:lang w:val="en-US" w:eastAsia="en-US" w:bidi="ar-SA"/>
              </w:rPr>
              <w:t>0.3</w:t>
            </w:r>
          </w:p>
        </w:tc>
        <w:tc>
          <w:tcPr>
            <w:tcW w:w="135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libri" w:hAnsi="Calibri"/>
              </w:rPr>
            </w:pPr>
            <w:r>
              <w:rPr>
                <w:rFonts w:eastAsia="ＭＳ 明朝" w:ascii="Calibri" w:hAnsi="Calibri"/>
                <w:kern w:val="0"/>
                <w:sz w:val="22"/>
                <w:szCs w:val="22"/>
                <w:lang w:val="en-US" w:eastAsia="en-US" w:bidi="ar-SA"/>
              </w:rPr>
              <w:t>13.02.2026</w:t>
            </w:r>
          </w:p>
        </w:tc>
        <w:tc>
          <w:tcPr>
            <w:tcW w:w="378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libri" w:hAnsi="Calibri"/>
              </w:rPr>
            </w:pPr>
            <w:r>
              <w:rPr>
                <w:rFonts w:eastAsia="ＭＳ 明朝" w:ascii="Calibri" w:hAnsi="Calibri"/>
                <w:kern w:val="0"/>
                <w:sz w:val="22"/>
                <w:szCs w:val="22"/>
                <w:lang w:val="en-US" w:eastAsia="en-US" w:bidi="ar-SA"/>
              </w:rPr>
              <w:t>Security Risk Assessment comments are applied.</w:t>
            </w:r>
          </w:p>
        </w:tc>
        <w:tc>
          <w:tcPr>
            <w:tcW w:w="231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libri" w:hAnsi="Calibri"/>
              </w:rPr>
            </w:pPr>
            <w:r>
              <w:rPr>
                <w:rFonts w:eastAsia="ＭＳ 明朝" w:ascii="Calibri" w:hAnsi="Calibri"/>
                <w:kern w:val="0"/>
                <w:sz w:val="22"/>
                <w:szCs w:val="22"/>
                <w:lang w:val="en-US" w:eastAsia="en-US" w:bidi="ar-SA"/>
              </w:rPr>
              <w:t>Ibrahim Saracoglu / ZODIAC Team</w:t>
            </w:r>
          </w:p>
        </w:tc>
      </w:tr>
    </w:tbl>
    <w:p>
      <w:pPr>
        <w:pStyle w:val="Normal"/>
        <w:widowControl/>
        <w:bidi w:val="0"/>
        <w:spacing w:lineRule="auto" w:line="276" w:before="0" w:after="200"/>
        <w:jc w:val="left"/>
        <w:rPr>
          <w:rFonts w:ascii="Calibri" w:hAnsi="Calibri"/>
        </w:rPr>
      </w:pPr>
      <w:r>
        <w:rPr>
          <w:rFonts w:ascii="Calibri" w:hAnsi="Calibri"/>
        </w:rPr>
      </w:r>
    </w:p>
    <w:sectPr>
      <w:footerReference w:type="even" r:id="rId3"/>
      <w:footerReference w:type="default" r:id="rId4"/>
      <w:footerReference w:type="first" r:id="rId5"/>
      <w:type w:val="nextPage"/>
      <w:pgSz w:w="12240" w:h="15840"/>
      <w:pgMar w:left="1800" w:right="1800" w:gutter="0" w:header="0" w:top="1440" w:footer="1440" w:bottom="198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Mono">
    <w:altName w:val="Courier New"/>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bookmarkStart w:id="9" w:name="PageNumWizard_FOOTER_Default_Page_Style1"/>
    <w:r>
      <w:rPr/>
      <w:fldChar w:fldCharType="begin"/>
    </w:r>
    <w:r>
      <w:rPr/>
      <w:instrText xml:space="preserve"> PAGE </w:instrText>
    </w:r>
    <w:r>
      <w:rPr/>
      <w:fldChar w:fldCharType="separate"/>
    </w:r>
    <w:r>
      <w:rPr/>
      <w:t>5</w:t>
    </w:r>
    <w:r>
      <w:rPr/>
      <w:fldChar w:fldCharType="end"/>
    </w:r>
    <w:bookmarkEnd w:id="9"/>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bookmarkStart w:id="10" w:name="PageNumWizard_FOOTER_Default_Page_Style1"/>
    <w:r>
      <w:rPr/>
      <w:fldChar w:fldCharType="begin"/>
    </w:r>
    <w:r>
      <w:rPr/>
      <w:instrText xml:space="preserve"> PAGE </w:instrText>
    </w:r>
    <w:r>
      <w:rPr/>
      <w:fldChar w:fldCharType="separate"/>
    </w:r>
    <w:r>
      <w:rPr/>
      <w:t>5</w:t>
    </w:r>
    <w:r>
      <w:rPr/>
      <w:fldChar w:fldCharType="end"/>
    </w:r>
    <w:bookmarkEnd w:id="10"/>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Tahoma"/>
        <w:sz w:val="22"/>
        <w:szCs w:val="22"/>
        <w:lang w:val="en-US" w:eastAsia="en-US"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76" w:before="0" w:after="200"/>
      <w:jc w:val="left"/>
    </w:pPr>
    <w:rPr>
      <w:rFonts w:ascii="Cambria" w:hAnsi="Cambria" w:eastAsia="ＭＳ 明朝" w:cs="Tahoma"/>
      <w:color w:val="auto"/>
      <w:kern w:val="0"/>
      <w:sz w:val="22"/>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480" w:after="0"/>
      <w:outlineLvl w:val="0"/>
    </w:pPr>
    <w:rPr>
      <w:rFonts w:ascii="Calibri" w:hAnsi="Calibri" w:eastAsia="ＭＳ ゴシック" w:cs="Tahoma"/>
      <w:b/>
      <w:bCs/>
      <w:color w:themeColor="accent1" w:themeShade="bf" w:val="365F91"/>
      <w:sz w:val="28"/>
      <w:szCs w:val="28"/>
    </w:rPr>
  </w:style>
  <w:style w:type="paragraph" w:styleId="Heading2">
    <w:name w:val="heading 2"/>
    <w:basedOn w:val="Normal"/>
    <w:next w:val="Normal"/>
    <w:link w:val="Heading2Char"/>
    <w:qFormat/>
    <w:pPr>
      <w:keepNext w:val="true"/>
      <w:keepLines/>
      <w:numPr>
        <w:ilvl w:val="0"/>
        <w:numId w:val="0"/>
      </w:numPr>
      <w:spacing w:before="200" w:after="0"/>
      <w:outlineLvl w:val="1"/>
    </w:pPr>
    <w:rPr>
      <w:rFonts w:ascii="Calibri" w:hAnsi="Calibri" w:eastAsia="ＭＳ ゴシック" w:cs="Tahoma"/>
      <w:b/>
      <w:bCs/>
      <w:color w:themeColor="accent1" w:val="4F81BD"/>
      <w:sz w:val="26"/>
      <w:szCs w:val="26"/>
    </w:rPr>
  </w:style>
  <w:style w:type="paragraph" w:styleId="Heading3">
    <w:name w:val="heading 3"/>
    <w:basedOn w:val="Normal"/>
    <w:next w:val="Normal"/>
    <w:link w:val="Heading3Char"/>
    <w:qFormat/>
    <w:pPr>
      <w:keepNext w:val="true"/>
      <w:keepLines/>
      <w:numPr>
        <w:ilvl w:val="0"/>
        <w:numId w:val="0"/>
      </w:numPr>
      <w:spacing w:before="200" w:after="0"/>
      <w:outlineLvl w:val="2"/>
    </w:pPr>
    <w:rPr>
      <w:rFonts w:ascii="Calibri" w:hAnsi="Calibri" w:eastAsia="ＭＳ ゴシック" w:cs="Tahoma"/>
      <w:b/>
      <w:bCs/>
      <w:color w:themeColor="accent1" w:val="4F81BD"/>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ＭＳ ゴシック" w:cs="Tahoma"/>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ＭＳ ゴシック" w:cs="Tahoma"/>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ＭＳ ゴシック" w:cs="Tahoma"/>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ＭＳ ゴシック" w:cs="Tahoma"/>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ＭＳ ゴシック" w:cs="Tahoma"/>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ＭＳ ゴシック" w:cs="Tahoma"/>
      <w:i/>
      <w:iCs/>
      <w:color w:themeColor="dark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ＭＳ ゴシック" w:cs="Tahoma"/>
      <w:b/>
      <w:bCs/>
      <w:color w:themeColor="accent1" w:themeShade="bf" w:val="365F91"/>
      <w:sz w:val="28"/>
      <w:szCs w:val="28"/>
    </w:rPr>
  </w:style>
  <w:style w:type="character" w:styleId="Heading2Char">
    <w:name w:val="Heading 2 Char"/>
    <w:basedOn w:val="DefaultParagraphFont"/>
    <w:link w:val="Heading2"/>
    <w:qFormat/>
    <w:rPr>
      <w:rFonts w:ascii="Calibri" w:hAnsi="Calibri" w:eastAsia="ＭＳ ゴシック" w:cs="Tahoma"/>
      <w:b/>
      <w:bCs/>
      <w:color w:themeColor="accent1" w:val="4F81BD"/>
      <w:sz w:val="26"/>
      <w:szCs w:val="26"/>
    </w:rPr>
  </w:style>
  <w:style w:type="character" w:styleId="Heading3Char">
    <w:name w:val="Heading 3 Char"/>
    <w:basedOn w:val="DefaultParagraphFont"/>
    <w:link w:val="Heading3"/>
    <w:qFormat/>
    <w:rPr>
      <w:rFonts w:ascii="Calibri" w:hAnsi="Calibri" w:eastAsia="ＭＳ ゴシック" w:cs="Tahoma"/>
      <w:b/>
      <w:bCs/>
      <w:color w:themeColor="accent1" w:val="4F81BD"/>
    </w:rPr>
  </w:style>
  <w:style w:type="character" w:styleId="TitleChar">
    <w:name w:val="Title Char"/>
    <w:basedOn w:val="DefaultParagraphFont"/>
    <w:link w:val="Title"/>
    <w:qFormat/>
    <w:rPr>
      <w:rFonts w:ascii="Calibri" w:hAnsi="Calibri" w:eastAsia="ＭＳ ゴシック" w:cs="Tahoma"/>
      <w:color w:themeColor="dark2" w:themeShade="bf" w:val="17365D"/>
      <w:spacing w:val="5"/>
      <w:kern w:val="2"/>
      <w:sz w:val="52"/>
      <w:szCs w:val="52"/>
    </w:rPr>
  </w:style>
  <w:style w:type="character" w:styleId="SubtitleChar">
    <w:name w:val="Subtitle Char"/>
    <w:basedOn w:val="DefaultParagraphFont"/>
    <w:link w:val="Subtitle"/>
    <w:qFormat/>
    <w:rPr>
      <w:rFonts w:ascii="Calibri" w:hAnsi="Calibri" w:eastAsia="ＭＳ ゴシック" w:cs="Tahoma"/>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Text"/>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link w:val="Heading4"/>
    <w:qFormat/>
    <w:rPr>
      <w:rFonts w:ascii="Calibri" w:hAnsi="Calibri" w:eastAsia="ＭＳ ゴシック" w:cs="Tahoma"/>
      <w:b/>
      <w:bCs/>
      <w:i/>
      <w:iCs/>
      <w:color w:themeColor="accent1" w:val="4F81BD"/>
    </w:rPr>
  </w:style>
  <w:style w:type="character" w:styleId="Heading5Char">
    <w:name w:val="Heading 5 Char"/>
    <w:basedOn w:val="DefaultParagraphFont"/>
    <w:link w:val="Heading5"/>
    <w:qFormat/>
    <w:rPr>
      <w:rFonts w:ascii="Calibri" w:hAnsi="Calibri" w:eastAsia="ＭＳ ゴシック" w:cs="Tahoma"/>
      <w:color w:themeColor="accent1" w:themeShade="7f" w:val="243F60"/>
    </w:rPr>
  </w:style>
  <w:style w:type="character" w:styleId="Heading6Char">
    <w:name w:val="Heading 6 Char"/>
    <w:basedOn w:val="DefaultParagraphFont"/>
    <w:link w:val="Heading6"/>
    <w:qFormat/>
    <w:rPr>
      <w:rFonts w:ascii="Calibri" w:hAnsi="Calibri" w:eastAsia="ＭＳ ゴシック" w:cs="Tahoma"/>
      <w:i/>
      <w:iCs/>
      <w:color w:themeColor="accent1" w:themeShade="7f" w:val="243F60"/>
    </w:rPr>
  </w:style>
  <w:style w:type="character" w:styleId="Heading7Char">
    <w:name w:val="Heading 7 Char"/>
    <w:basedOn w:val="DefaultParagraphFont"/>
    <w:link w:val="Heading7"/>
    <w:qFormat/>
    <w:rPr>
      <w:rFonts w:ascii="Calibri" w:hAnsi="Calibri" w:eastAsia="ＭＳ ゴシック" w:cs="Tahoma"/>
      <w:i/>
      <w:iCs/>
      <w:color w:themeColor="dark1" w:themeTint="bf" w:val="404040"/>
    </w:rPr>
  </w:style>
  <w:style w:type="character" w:styleId="Heading8Char">
    <w:name w:val="Heading 8 Char"/>
    <w:basedOn w:val="DefaultParagraphFont"/>
    <w:link w:val="Heading8"/>
    <w:qFormat/>
    <w:rPr>
      <w:rFonts w:ascii="Calibri" w:hAnsi="Calibri" w:eastAsia="ＭＳ ゴシック" w:cs="Tahoma"/>
      <w:color w:themeColor="accent1" w:val="4F81BD"/>
      <w:sz w:val="20"/>
      <w:szCs w:val="20"/>
    </w:rPr>
  </w:style>
  <w:style w:type="character" w:styleId="Heading9Char">
    <w:name w:val="Heading 9 Char"/>
    <w:basedOn w:val="DefaultParagraphFont"/>
    <w:link w:val="Heading9"/>
    <w:qFormat/>
    <w:rPr>
      <w:rFonts w:ascii="Calibri" w:hAnsi="Calibri" w:eastAsia="ＭＳ ゴシック" w:cs="Tahoma"/>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character" w:styleId="Hyperlink">
    <w:name w:val="Hyperlink"/>
    <w:rPr>
      <w:color w:val="000080"/>
      <w:u w:val="single"/>
    </w:rPr>
  </w:style>
  <w:style w:type="character" w:styleId="IndexLink">
    <w:name w:val="Index Link"/>
    <w:qFormat/>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200"/>
      <w:ind w:hanging="360" w:lef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suppressAutoHyphens w:val="true"/>
      <w:overflowPunct w:val="true"/>
      <w:bidi w:val="0"/>
      <w:spacing w:lineRule="auto" w:line="240" w:before="0" w:after="0"/>
      <w:jc w:val="left"/>
    </w:pPr>
    <w:rPr>
      <w:rFonts w:ascii="Cambria" w:hAnsi="Cambria" w:eastAsia="ＭＳ 明朝" w:cs="Tahoma"/>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libri" w:hAnsi="Calibri" w:eastAsia="ＭＳ ゴシック" w:cs="Tahoma"/>
      <w:color w:themeColor="dark2" w:themeShade="bf" w:val="17365D"/>
      <w:spacing w:val="5"/>
      <w:kern w:val="2"/>
      <w:sz w:val="52"/>
      <w:szCs w:val="52"/>
    </w:rPr>
  </w:style>
  <w:style w:type="paragraph" w:styleId="Subtitle">
    <w:name w:val="Subtitle"/>
    <w:basedOn w:val="Normal"/>
    <w:next w:val="Normal"/>
    <w:link w:val="SubtitleChar"/>
    <w:qFormat/>
    <w:pPr/>
    <w:rPr>
      <w:rFonts w:ascii="Calibri" w:hAnsi="Calibri" w:eastAsia="ＭＳ ゴシック" w:cs="Tahoma"/>
      <w:i/>
      <w:iCs/>
      <w:color w:themeColor="accent1" w:val="4F81BD"/>
      <w:spacing w:val="15"/>
      <w:sz w:val="24"/>
      <w:szCs w:val="24"/>
    </w:rPr>
  </w:style>
  <w:style w:type="paragraph" w:styleId="ListParagraph">
    <w:name w:val="List Paragraph"/>
    <w:basedOn w:val="Normal"/>
    <w:qFormat/>
    <w:pPr>
      <w:spacing w:before="0" w:after="200"/>
      <w:ind w:lef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200"/>
      <w:ind w:hanging="360" w:left="720"/>
      <w:contextualSpacing/>
    </w:pPr>
    <w:rPr/>
  </w:style>
  <w:style w:type="paragraph" w:styleId="List3">
    <w:name w:val="List 3"/>
    <w:basedOn w:val="Normal"/>
    <w:qFormat/>
    <w:pPr>
      <w:spacing w:before="0" w:after="200"/>
      <w:ind w:hanging="360" w:left="1080"/>
      <w:contextualSpacing/>
    </w:pPr>
    <w:rPr/>
  </w:style>
  <w:style w:type="paragraph" w:styleId="ListBullet">
    <w:name w:val="List Bullet"/>
    <w:basedOn w:val="Normal"/>
    <w:pPr>
      <w:numPr>
        <w:ilvl w:val="0"/>
        <w:numId w:val="1"/>
      </w:numPr>
      <w:spacing w:before="0" w:after="200"/>
      <w:contextualSpacing/>
    </w:pPr>
    <w:rPr/>
  </w:style>
  <w:style w:type="paragraph" w:styleId="ListBullet2">
    <w:name w:val="List Bullet 2"/>
    <w:basedOn w:val="Normal"/>
    <w:pPr>
      <w:numPr>
        <w:ilvl w:val="0"/>
        <w:numId w:val="2"/>
      </w:numPr>
      <w:spacing w:before="0" w:after="200"/>
      <w:contextualSpacing/>
    </w:pPr>
    <w:rPr/>
  </w:style>
  <w:style w:type="paragraph" w:styleId="ListBullet3">
    <w:name w:val="List Bullet 3"/>
    <w:basedOn w:val="Normal"/>
    <w:pPr>
      <w:numPr>
        <w:ilvl w:val="0"/>
        <w:numId w:val="3"/>
      </w:numPr>
      <w:spacing w:before="0" w:after="200"/>
      <w:contextualSpacing/>
    </w:pPr>
    <w:rPr/>
  </w:style>
  <w:style w:type="paragraph" w:styleId="ListNumber">
    <w:name w:val="List Number"/>
    <w:basedOn w:val="Normal"/>
    <w:pPr>
      <w:numPr>
        <w:ilvl w:val="0"/>
        <w:numId w:val="4"/>
      </w:numPr>
      <w:spacing w:before="0" w:after="200"/>
      <w:contextualSpacing/>
    </w:pPr>
    <w:rPr/>
  </w:style>
  <w:style w:type="paragraph" w:styleId="ListNumber2">
    <w:name w:val="List Number 2"/>
    <w:basedOn w:val="Normal"/>
    <w:pPr>
      <w:numPr>
        <w:ilvl w:val="0"/>
        <w:numId w:val="5"/>
      </w:numPr>
      <w:spacing w:before="0" w:after="200"/>
      <w:contextualSpacing/>
    </w:pPr>
    <w:rPr/>
  </w:style>
  <w:style w:type="paragraph" w:styleId="ListNumber3">
    <w:name w:val="List Number 3"/>
    <w:basedOn w:val="Normal"/>
    <w:pPr>
      <w:numPr>
        <w:ilvl w:val="0"/>
        <w:numId w:val="6"/>
      </w:numPr>
      <w:spacing w:before="0" w:after="200"/>
      <w:contextualSpacing/>
    </w:pPr>
    <w:rPr/>
  </w:style>
  <w:style w:type="paragraph" w:styleId="ListContinue">
    <w:name w:val="List Continue"/>
    <w:basedOn w:val="Normal"/>
    <w:pPr>
      <w:spacing w:before="0" w:after="120"/>
      <w:ind w:left="360"/>
      <w:contextualSpacing/>
    </w:pPr>
    <w:rPr/>
  </w:style>
  <w:style w:type="paragraph" w:styleId="ListContinue2">
    <w:name w:val="List Continue 2"/>
    <w:basedOn w:val="Normal"/>
    <w:pPr>
      <w:spacing w:before="0" w:after="120"/>
      <w:ind w:left="720"/>
      <w:contextualSpacing/>
    </w:pPr>
    <w:rPr/>
  </w:style>
  <w:style w:type="paragraph" w:styleId="ListContinue3">
    <w:name w:val="List Continue 3"/>
    <w:basedOn w:val="Normal"/>
    <w:pPr>
      <w:spacing w:before="0" w:after="120"/>
      <w:ind w:lef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overflowPunct w:val="true"/>
      <w:bidi w:val="0"/>
      <w:spacing w:lineRule="auto" w:line="276" w:before="0" w:after="200"/>
      <w:jc w:val="left"/>
    </w:pPr>
    <w:rPr>
      <w:rFonts w:ascii="Courier" w:hAnsi="Courier" w:eastAsia="ＭＳ 明朝" w:cs="Tahoma"/>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TOC1">
    <w:name w:val="toc 1"/>
    <w:basedOn w:val="Index"/>
    <w:pPr>
      <w:tabs>
        <w:tab w:val="clear" w:pos="720"/>
        <w:tab w:val="right" w:pos="8640" w:leader="dot"/>
      </w:tabs>
      <w:ind w:hanging="0" w:left="0"/>
    </w:pPr>
    <w:rPr/>
  </w:style>
  <w:style w:type="paragraph" w:styleId="TOC2">
    <w:name w:val="toc 2"/>
    <w:basedOn w:val="Index"/>
    <w:pPr>
      <w:tabs>
        <w:tab w:val="clear" w:pos="720"/>
        <w:tab w:val="right" w:pos="8357" w:leader="dot"/>
      </w:tabs>
      <w:ind w:hanging="0" w:left="283"/>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1632</TotalTime>
  <Application>LibreOffice/25.2.7.2$Windows_X86_64 LibreOffice_project/5cbfd1ab6520636bb5f7b99185aa69bd7456825d</Application>
  <AppVersion>15.0000</AppVersion>
  <Pages>5</Pages>
  <Words>794</Words>
  <Characters>4728</Characters>
  <CharactersWithSpaces>5441</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2026-02-13T15:43:50Z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file>