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AA97" w14:textId="77777777" w:rsidR="001537F8" w:rsidRDefault="00000000">
      <w:pPr>
        <w:pStyle w:val="Title"/>
      </w:pPr>
      <w:r>
        <w:t xml:space="preserve">ISARIC/WHO Clinical </w:t>
      </w:r>
      <w:proofErr w:type="spellStart"/>
      <w:r>
        <w:t>Characterisation</w:t>
      </w:r>
      <w:proofErr w:type="spellEnd"/>
      <w:r>
        <w:t xml:space="preserve"> Protocol (CCP) for Severe Emerging Infections and Syndromes</w:t>
      </w:r>
    </w:p>
    <w:p w14:paraId="6900229E" w14:textId="77777777" w:rsidR="001537F8" w:rsidRDefault="00000000">
      <w:pPr>
        <w:pStyle w:val="Subtitle"/>
      </w:pPr>
      <w:r>
        <w:t>CCP version 3.3</w:t>
      </w:r>
    </w:p>
    <w:p w14:paraId="453CF757" w14:textId="48A1C1EB" w:rsidR="008D77DA" w:rsidRDefault="00000000">
      <w:pPr>
        <w:pStyle w:val="Abstract"/>
      </w:pPr>
      <w:r>
        <w:t xml:space="preserve">Adaptability is essential for preparedness. Since the next outbreak cannot be predicted, the CCP is deliberately adaptable. In any outbreak, the actual research activity undertaken will be restricted by the current scientific need and local resource availability. By including a broad range of investigations, the CCP enables independent review and institutional approvals to be obtained before the outbreak hits. </w:t>
      </w:r>
      <w:r>
        <w:rPr>
          <w:noProof/>
        </w:rPr>
        <w:drawing>
          <wp:inline distT="0" distB="0" distL="0" distR="0" wp14:anchorId="56A8BEE3" wp14:editId="36B1719E">
            <wp:extent cx="5814646" cy="1524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g/header.pdf"/>
                    <pic:cNvPicPr>
                      <a:picLocks noChangeAspect="1" noChangeArrowheads="1"/>
                    </pic:cNvPicPr>
                  </pic:nvPicPr>
                  <pic:blipFill>
                    <a:blip r:embed="rId7"/>
                    <a:stretch>
                      <a:fillRect/>
                    </a:stretch>
                  </pic:blipFill>
                  <pic:spPr bwMode="auto">
                    <a:xfrm>
                      <a:off x="0" y="0"/>
                      <a:ext cx="5844529" cy="1531832"/>
                    </a:xfrm>
                    <a:prstGeom prst="rect">
                      <a:avLst/>
                    </a:prstGeom>
                    <a:noFill/>
                    <a:ln w="9525">
                      <a:noFill/>
                      <a:headEnd/>
                      <a:tailEnd/>
                    </a:ln>
                  </pic:spPr>
                </pic:pic>
              </a:graphicData>
            </a:graphic>
          </wp:inline>
        </w:drawing>
      </w:r>
      <w:r>
        <w:t xml:space="preserve"> </w:t>
      </w:r>
      <w:r>
        <w:rPr>
          <w:b/>
          <w:bCs/>
        </w:rPr>
        <w:t>Open Source License</w:t>
      </w:r>
      <w:r>
        <w:t xml:space="preserve">: this document was created by members of ISARIC (International Severe Acute Respiratory and Emerging Infection Consortium) in collaboration with the World Health Organization and is distributed under the </w:t>
      </w:r>
      <w:hyperlink r:id="rId8">
        <w:r>
          <w:rPr>
            <w:rStyle w:val="Hyperlink"/>
          </w:rPr>
          <w:t>Creative Commons Attribution Non-commercial ShareAlike Licence version 3.0</w:t>
        </w:r>
      </w:hyperlink>
      <w:r>
        <w:t>. It is freely available for you to copy, adapt, distribute and transmit under the conditions that: a) the original source is attributed; b) the work is not used for commercial purposes; c) any altered forms of this document are distributed freely under the same conditions. If you make modifications/translations/</w:t>
      </w:r>
      <w:proofErr w:type="gramStart"/>
      <w:r>
        <w:t>improvements</w:t>
      </w:r>
      <w:proofErr w:type="gramEnd"/>
      <w:r>
        <w:t xml:space="preserve"> we would be grateful if you would consider sharing these - however minor they are - with the international community through ISARIC: data@isaric.org. Versions will be stored and shared at the permanent web address: </w:t>
      </w:r>
      <w:hyperlink r:id="rId9">
        <w:r>
          <w:rPr>
            <w:rStyle w:val="Hyperlink"/>
          </w:rPr>
          <w:t>github.com/</w:t>
        </w:r>
        <w:proofErr w:type="spellStart"/>
        <w:r>
          <w:rPr>
            <w:rStyle w:val="Hyperlink"/>
          </w:rPr>
          <w:t>isasric-ccp</w:t>
        </w:r>
        <w:proofErr w:type="spellEnd"/>
      </w:hyperlink>
      <w:r>
        <w:t>.</w:t>
      </w:r>
    </w:p>
    <w:p w14:paraId="009940A6" w14:textId="77777777" w:rsidR="008D77DA" w:rsidRDefault="008D77DA">
      <w:pPr>
        <w:rPr>
          <w:sz w:val="20"/>
          <w:szCs w:val="20"/>
        </w:rPr>
      </w:pPr>
      <w:r>
        <w:br w:type="page"/>
      </w:r>
    </w:p>
    <w:p w14:paraId="60877BB5" w14:textId="77777777" w:rsidR="001537F8" w:rsidRDefault="001537F8">
      <w:pPr>
        <w:pStyle w:val="Abstract"/>
      </w:pPr>
    </w:p>
    <w:sdt>
      <w:sdtPr>
        <w:rPr>
          <w:rFonts w:asciiTheme="minorHAnsi" w:eastAsiaTheme="minorHAnsi" w:hAnsiTheme="minorHAnsi" w:cstheme="minorBidi"/>
          <w:color w:val="auto"/>
          <w:sz w:val="24"/>
          <w:szCs w:val="24"/>
        </w:rPr>
        <w:id w:val="-932054264"/>
        <w:docPartObj>
          <w:docPartGallery w:val="Table of Contents"/>
          <w:docPartUnique/>
        </w:docPartObj>
      </w:sdtPr>
      <w:sdtContent>
        <w:p w14:paraId="4EE9ACAE" w14:textId="77777777" w:rsidR="001537F8" w:rsidRDefault="00000000">
          <w:pPr>
            <w:pStyle w:val="TOCHeading"/>
          </w:pPr>
          <w:r>
            <w:t>Table of contents</w:t>
          </w:r>
        </w:p>
        <w:p w14:paraId="75927483" w14:textId="77777777" w:rsidR="00134105" w:rsidRDefault="00000000">
          <w:pPr>
            <w:pStyle w:val="TOC1"/>
            <w:tabs>
              <w:tab w:val="right" w:leader="dot" w:pos="9350"/>
            </w:tabs>
            <w:rPr>
              <w:rFonts w:eastAsiaTheme="minorEastAsia"/>
              <w:noProof/>
              <w:kern w:val="2"/>
              <w:lang w:val="en-GB" w:eastAsia="en-GB"/>
              <w14:ligatures w14:val="standardContextual"/>
            </w:rPr>
          </w:pPr>
          <w:r>
            <w:fldChar w:fldCharType="begin"/>
          </w:r>
          <w:r>
            <w:instrText>TOC \o "1-3" \h \z \u</w:instrText>
          </w:r>
          <w:r>
            <w:fldChar w:fldCharType="separate"/>
          </w:r>
          <w:hyperlink w:anchor="_Toc169541983" w:history="1">
            <w:r w:rsidR="00134105" w:rsidRPr="004F13FD">
              <w:rPr>
                <w:rStyle w:val="Hyperlink"/>
                <w:noProof/>
              </w:rPr>
              <w:t>1. Background</w:t>
            </w:r>
            <w:r w:rsidR="00134105">
              <w:rPr>
                <w:noProof/>
                <w:webHidden/>
              </w:rPr>
              <w:tab/>
            </w:r>
            <w:r w:rsidR="00134105">
              <w:rPr>
                <w:noProof/>
                <w:webHidden/>
              </w:rPr>
              <w:fldChar w:fldCharType="begin"/>
            </w:r>
            <w:r w:rsidR="00134105">
              <w:rPr>
                <w:noProof/>
                <w:webHidden/>
              </w:rPr>
              <w:instrText xml:space="preserve"> PAGEREF _Toc169541983 \h </w:instrText>
            </w:r>
            <w:r w:rsidR="00134105">
              <w:rPr>
                <w:noProof/>
                <w:webHidden/>
              </w:rPr>
            </w:r>
            <w:r w:rsidR="00134105">
              <w:rPr>
                <w:noProof/>
                <w:webHidden/>
              </w:rPr>
              <w:fldChar w:fldCharType="separate"/>
            </w:r>
            <w:r w:rsidR="00134105">
              <w:rPr>
                <w:noProof/>
                <w:webHidden/>
              </w:rPr>
              <w:t>3</w:t>
            </w:r>
            <w:r w:rsidR="00134105">
              <w:rPr>
                <w:noProof/>
                <w:webHidden/>
              </w:rPr>
              <w:fldChar w:fldCharType="end"/>
            </w:r>
          </w:hyperlink>
        </w:p>
        <w:p w14:paraId="0E8CB59C"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84" w:history="1">
            <w:r w:rsidR="00134105" w:rsidRPr="004F13FD">
              <w:rPr>
                <w:rStyle w:val="Hyperlink"/>
                <w:noProof/>
              </w:rPr>
              <w:t>1.1 Purpose of the Study</w:t>
            </w:r>
            <w:r w:rsidR="00134105">
              <w:rPr>
                <w:noProof/>
                <w:webHidden/>
              </w:rPr>
              <w:tab/>
            </w:r>
            <w:r w:rsidR="00134105">
              <w:rPr>
                <w:noProof/>
                <w:webHidden/>
              </w:rPr>
              <w:fldChar w:fldCharType="begin"/>
            </w:r>
            <w:r w:rsidR="00134105">
              <w:rPr>
                <w:noProof/>
                <w:webHidden/>
              </w:rPr>
              <w:instrText xml:space="preserve"> PAGEREF _Toc169541984 \h </w:instrText>
            </w:r>
            <w:r w:rsidR="00134105">
              <w:rPr>
                <w:noProof/>
                <w:webHidden/>
              </w:rPr>
            </w:r>
            <w:r w:rsidR="00134105">
              <w:rPr>
                <w:noProof/>
                <w:webHidden/>
              </w:rPr>
              <w:fldChar w:fldCharType="separate"/>
            </w:r>
            <w:r w:rsidR="00134105">
              <w:rPr>
                <w:noProof/>
                <w:webHidden/>
              </w:rPr>
              <w:t>3</w:t>
            </w:r>
            <w:r w:rsidR="00134105">
              <w:rPr>
                <w:noProof/>
                <w:webHidden/>
              </w:rPr>
              <w:fldChar w:fldCharType="end"/>
            </w:r>
          </w:hyperlink>
        </w:p>
        <w:p w14:paraId="471FEA6D"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85" w:history="1">
            <w:r w:rsidR="00134105" w:rsidRPr="004F13FD">
              <w:rPr>
                <w:rStyle w:val="Hyperlink"/>
                <w:noProof/>
              </w:rPr>
              <w:t>1.2 Principles</w:t>
            </w:r>
            <w:r w:rsidR="00134105">
              <w:rPr>
                <w:noProof/>
                <w:webHidden/>
              </w:rPr>
              <w:tab/>
            </w:r>
            <w:r w:rsidR="00134105">
              <w:rPr>
                <w:noProof/>
                <w:webHidden/>
              </w:rPr>
              <w:fldChar w:fldCharType="begin"/>
            </w:r>
            <w:r w:rsidR="00134105">
              <w:rPr>
                <w:noProof/>
                <w:webHidden/>
              </w:rPr>
              <w:instrText xml:space="preserve"> PAGEREF _Toc169541985 \h </w:instrText>
            </w:r>
            <w:r w:rsidR="00134105">
              <w:rPr>
                <w:noProof/>
                <w:webHidden/>
              </w:rPr>
            </w:r>
            <w:r w:rsidR="00134105">
              <w:rPr>
                <w:noProof/>
                <w:webHidden/>
              </w:rPr>
              <w:fldChar w:fldCharType="separate"/>
            </w:r>
            <w:r w:rsidR="00134105">
              <w:rPr>
                <w:noProof/>
                <w:webHidden/>
              </w:rPr>
              <w:t>4</w:t>
            </w:r>
            <w:r w:rsidR="00134105">
              <w:rPr>
                <w:noProof/>
                <w:webHidden/>
              </w:rPr>
              <w:fldChar w:fldCharType="end"/>
            </w:r>
          </w:hyperlink>
        </w:p>
        <w:p w14:paraId="2E713FC0"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86" w:history="1">
            <w:r w:rsidR="00134105" w:rsidRPr="004F13FD">
              <w:rPr>
                <w:rStyle w:val="Hyperlink"/>
                <w:noProof/>
              </w:rPr>
              <w:t>1.3 Prior Uses</w:t>
            </w:r>
            <w:r w:rsidR="00134105">
              <w:rPr>
                <w:noProof/>
                <w:webHidden/>
              </w:rPr>
              <w:tab/>
            </w:r>
            <w:r w:rsidR="00134105">
              <w:rPr>
                <w:noProof/>
                <w:webHidden/>
              </w:rPr>
              <w:fldChar w:fldCharType="begin"/>
            </w:r>
            <w:r w:rsidR="00134105">
              <w:rPr>
                <w:noProof/>
                <w:webHidden/>
              </w:rPr>
              <w:instrText xml:space="preserve"> PAGEREF _Toc169541986 \h </w:instrText>
            </w:r>
            <w:r w:rsidR="00134105">
              <w:rPr>
                <w:noProof/>
                <w:webHidden/>
              </w:rPr>
            </w:r>
            <w:r w:rsidR="00134105">
              <w:rPr>
                <w:noProof/>
                <w:webHidden/>
              </w:rPr>
              <w:fldChar w:fldCharType="separate"/>
            </w:r>
            <w:r w:rsidR="00134105">
              <w:rPr>
                <w:noProof/>
                <w:webHidden/>
              </w:rPr>
              <w:t>4</w:t>
            </w:r>
            <w:r w:rsidR="00134105">
              <w:rPr>
                <w:noProof/>
                <w:webHidden/>
              </w:rPr>
              <w:fldChar w:fldCharType="end"/>
            </w:r>
          </w:hyperlink>
        </w:p>
        <w:p w14:paraId="49A76EA8"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87" w:history="1">
            <w:r w:rsidR="00134105" w:rsidRPr="004F13FD">
              <w:rPr>
                <w:rStyle w:val="Hyperlink"/>
                <w:noProof/>
              </w:rPr>
              <w:t>1.4 Background Information</w:t>
            </w:r>
            <w:r w:rsidR="00134105">
              <w:rPr>
                <w:noProof/>
                <w:webHidden/>
              </w:rPr>
              <w:tab/>
            </w:r>
            <w:r w:rsidR="00134105">
              <w:rPr>
                <w:noProof/>
                <w:webHidden/>
              </w:rPr>
              <w:fldChar w:fldCharType="begin"/>
            </w:r>
            <w:r w:rsidR="00134105">
              <w:rPr>
                <w:noProof/>
                <w:webHidden/>
              </w:rPr>
              <w:instrText xml:space="preserve"> PAGEREF _Toc169541987 \h </w:instrText>
            </w:r>
            <w:r w:rsidR="00134105">
              <w:rPr>
                <w:noProof/>
                <w:webHidden/>
              </w:rPr>
            </w:r>
            <w:r w:rsidR="00134105">
              <w:rPr>
                <w:noProof/>
                <w:webHidden/>
              </w:rPr>
              <w:fldChar w:fldCharType="separate"/>
            </w:r>
            <w:r w:rsidR="00134105">
              <w:rPr>
                <w:noProof/>
                <w:webHidden/>
              </w:rPr>
              <w:t>4</w:t>
            </w:r>
            <w:r w:rsidR="00134105">
              <w:rPr>
                <w:noProof/>
                <w:webHidden/>
              </w:rPr>
              <w:fldChar w:fldCharType="end"/>
            </w:r>
          </w:hyperlink>
        </w:p>
        <w:p w14:paraId="374D0EEE"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88" w:history="1">
            <w:r w:rsidR="00134105" w:rsidRPr="004F13FD">
              <w:rPr>
                <w:rStyle w:val="Hyperlink"/>
                <w:noProof/>
              </w:rPr>
              <w:t>1.5 Target Audience of this Document</w:t>
            </w:r>
            <w:r w:rsidR="00134105">
              <w:rPr>
                <w:noProof/>
                <w:webHidden/>
              </w:rPr>
              <w:tab/>
            </w:r>
            <w:r w:rsidR="00134105">
              <w:rPr>
                <w:noProof/>
                <w:webHidden/>
              </w:rPr>
              <w:fldChar w:fldCharType="begin"/>
            </w:r>
            <w:r w:rsidR="00134105">
              <w:rPr>
                <w:noProof/>
                <w:webHidden/>
              </w:rPr>
              <w:instrText xml:space="preserve"> PAGEREF _Toc169541988 \h </w:instrText>
            </w:r>
            <w:r w:rsidR="00134105">
              <w:rPr>
                <w:noProof/>
                <w:webHidden/>
              </w:rPr>
            </w:r>
            <w:r w:rsidR="00134105">
              <w:rPr>
                <w:noProof/>
                <w:webHidden/>
              </w:rPr>
              <w:fldChar w:fldCharType="separate"/>
            </w:r>
            <w:r w:rsidR="00134105">
              <w:rPr>
                <w:noProof/>
                <w:webHidden/>
              </w:rPr>
              <w:t>5</w:t>
            </w:r>
            <w:r w:rsidR="00134105">
              <w:rPr>
                <w:noProof/>
                <w:webHidden/>
              </w:rPr>
              <w:fldChar w:fldCharType="end"/>
            </w:r>
          </w:hyperlink>
        </w:p>
        <w:p w14:paraId="22428985"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89" w:history="1">
            <w:r w:rsidR="00134105" w:rsidRPr="004F13FD">
              <w:rPr>
                <w:rStyle w:val="Hyperlink"/>
                <w:noProof/>
              </w:rPr>
              <w:t>1.6 Source of this Protocol</w:t>
            </w:r>
            <w:r w:rsidR="00134105">
              <w:rPr>
                <w:noProof/>
                <w:webHidden/>
              </w:rPr>
              <w:tab/>
            </w:r>
            <w:r w:rsidR="00134105">
              <w:rPr>
                <w:noProof/>
                <w:webHidden/>
              </w:rPr>
              <w:fldChar w:fldCharType="begin"/>
            </w:r>
            <w:r w:rsidR="00134105">
              <w:rPr>
                <w:noProof/>
                <w:webHidden/>
              </w:rPr>
              <w:instrText xml:space="preserve"> PAGEREF _Toc169541989 \h </w:instrText>
            </w:r>
            <w:r w:rsidR="00134105">
              <w:rPr>
                <w:noProof/>
                <w:webHidden/>
              </w:rPr>
            </w:r>
            <w:r w:rsidR="00134105">
              <w:rPr>
                <w:noProof/>
                <w:webHidden/>
              </w:rPr>
              <w:fldChar w:fldCharType="separate"/>
            </w:r>
            <w:r w:rsidR="00134105">
              <w:rPr>
                <w:noProof/>
                <w:webHidden/>
              </w:rPr>
              <w:t>5</w:t>
            </w:r>
            <w:r w:rsidR="00134105">
              <w:rPr>
                <w:noProof/>
                <w:webHidden/>
              </w:rPr>
              <w:fldChar w:fldCharType="end"/>
            </w:r>
          </w:hyperlink>
        </w:p>
        <w:p w14:paraId="6DA26A9C"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1990" w:history="1">
            <w:r w:rsidR="00134105" w:rsidRPr="004F13FD">
              <w:rPr>
                <w:rStyle w:val="Hyperlink"/>
                <w:noProof/>
              </w:rPr>
              <w:t>2. Objectives</w:t>
            </w:r>
            <w:r w:rsidR="00134105">
              <w:rPr>
                <w:noProof/>
                <w:webHidden/>
              </w:rPr>
              <w:tab/>
            </w:r>
            <w:r w:rsidR="00134105">
              <w:rPr>
                <w:noProof/>
                <w:webHidden/>
              </w:rPr>
              <w:fldChar w:fldCharType="begin"/>
            </w:r>
            <w:r w:rsidR="00134105">
              <w:rPr>
                <w:noProof/>
                <w:webHidden/>
              </w:rPr>
              <w:instrText xml:space="preserve"> PAGEREF _Toc169541990 \h </w:instrText>
            </w:r>
            <w:r w:rsidR="00134105">
              <w:rPr>
                <w:noProof/>
                <w:webHidden/>
              </w:rPr>
            </w:r>
            <w:r w:rsidR="00134105">
              <w:rPr>
                <w:noProof/>
                <w:webHidden/>
              </w:rPr>
              <w:fldChar w:fldCharType="separate"/>
            </w:r>
            <w:r w:rsidR="00134105">
              <w:rPr>
                <w:noProof/>
                <w:webHidden/>
              </w:rPr>
              <w:t>5</w:t>
            </w:r>
            <w:r w:rsidR="00134105">
              <w:rPr>
                <w:noProof/>
                <w:webHidden/>
              </w:rPr>
              <w:fldChar w:fldCharType="end"/>
            </w:r>
          </w:hyperlink>
        </w:p>
        <w:p w14:paraId="0AE0E4D3"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91" w:history="1">
            <w:r w:rsidR="00134105" w:rsidRPr="004F13FD">
              <w:rPr>
                <w:rStyle w:val="Hyperlink"/>
                <w:noProof/>
              </w:rPr>
              <w:t>2.1 Primary objectives</w:t>
            </w:r>
            <w:r w:rsidR="00134105">
              <w:rPr>
                <w:noProof/>
                <w:webHidden/>
              </w:rPr>
              <w:tab/>
            </w:r>
            <w:r w:rsidR="00134105">
              <w:rPr>
                <w:noProof/>
                <w:webHidden/>
              </w:rPr>
              <w:fldChar w:fldCharType="begin"/>
            </w:r>
            <w:r w:rsidR="00134105">
              <w:rPr>
                <w:noProof/>
                <w:webHidden/>
              </w:rPr>
              <w:instrText xml:space="preserve"> PAGEREF _Toc169541991 \h </w:instrText>
            </w:r>
            <w:r w:rsidR="00134105">
              <w:rPr>
                <w:noProof/>
                <w:webHidden/>
              </w:rPr>
            </w:r>
            <w:r w:rsidR="00134105">
              <w:rPr>
                <w:noProof/>
                <w:webHidden/>
              </w:rPr>
              <w:fldChar w:fldCharType="separate"/>
            </w:r>
            <w:r w:rsidR="00134105">
              <w:rPr>
                <w:noProof/>
                <w:webHidden/>
              </w:rPr>
              <w:t>5</w:t>
            </w:r>
            <w:r w:rsidR="00134105">
              <w:rPr>
                <w:noProof/>
                <w:webHidden/>
              </w:rPr>
              <w:fldChar w:fldCharType="end"/>
            </w:r>
          </w:hyperlink>
        </w:p>
        <w:p w14:paraId="70B739C2"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92" w:history="1">
            <w:r w:rsidR="00134105" w:rsidRPr="004F13FD">
              <w:rPr>
                <w:rStyle w:val="Hyperlink"/>
                <w:noProof/>
              </w:rPr>
              <w:t>2.2 Secondary Objectives</w:t>
            </w:r>
            <w:r w:rsidR="00134105">
              <w:rPr>
                <w:noProof/>
                <w:webHidden/>
              </w:rPr>
              <w:tab/>
            </w:r>
            <w:r w:rsidR="00134105">
              <w:rPr>
                <w:noProof/>
                <w:webHidden/>
              </w:rPr>
              <w:fldChar w:fldCharType="begin"/>
            </w:r>
            <w:r w:rsidR="00134105">
              <w:rPr>
                <w:noProof/>
                <w:webHidden/>
              </w:rPr>
              <w:instrText xml:space="preserve"> PAGEREF _Toc169541992 \h </w:instrText>
            </w:r>
            <w:r w:rsidR="00134105">
              <w:rPr>
                <w:noProof/>
                <w:webHidden/>
              </w:rPr>
            </w:r>
            <w:r w:rsidR="00134105">
              <w:rPr>
                <w:noProof/>
                <w:webHidden/>
              </w:rPr>
              <w:fldChar w:fldCharType="separate"/>
            </w:r>
            <w:r w:rsidR="00134105">
              <w:rPr>
                <w:noProof/>
                <w:webHidden/>
              </w:rPr>
              <w:t>6</w:t>
            </w:r>
            <w:r w:rsidR="00134105">
              <w:rPr>
                <w:noProof/>
                <w:webHidden/>
              </w:rPr>
              <w:fldChar w:fldCharType="end"/>
            </w:r>
          </w:hyperlink>
        </w:p>
        <w:p w14:paraId="402FAFC7"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1993" w:history="1">
            <w:r w:rsidR="00134105" w:rsidRPr="004F13FD">
              <w:rPr>
                <w:rStyle w:val="Hyperlink"/>
                <w:noProof/>
              </w:rPr>
              <w:t>3. Methods</w:t>
            </w:r>
            <w:r w:rsidR="00134105">
              <w:rPr>
                <w:noProof/>
                <w:webHidden/>
              </w:rPr>
              <w:tab/>
            </w:r>
            <w:r w:rsidR="00134105">
              <w:rPr>
                <w:noProof/>
                <w:webHidden/>
              </w:rPr>
              <w:fldChar w:fldCharType="begin"/>
            </w:r>
            <w:r w:rsidR="00134105">
              <w:rPr>
                <w:noProof/>
                <w:webHidden/>
              </w:rPr>
              <w:instrText xml:space="preserve"> PAGEREF _Toc169541993 \h </w:instrText>
            </w:r>
            <w:r w:rsidR="00134105">
              <w:rPr>
                <w:noProof/>
                <w:webHidden/>
              </w:rPr>
            </w:r>
            <w:r w:rsidR="00134105">
              <w:rPr>
                <w:noProof/>
                <w:webHidden/>
              </w:rPr>
              <w:fldChar w:fldCharType="separate"/>
            </w:r>
            <w:r w:rsidR="00134105">
              <w:rPr>
                <w:noProof/>
                <w:webHidden/>
              </w:rPr>
              <w:t>6</w:t>
            </w:r>
            <w:r w:rsidR="00134105">
              <w:rPr>
                <w:noProof/>
                <w:webHidden/>
              </w:rPr>
              <w:fldChar w:fldCharType="end"/>
            </w:r>
          </w:hyperlink>
        </w:p>
        <w:p w14:paraId="00773924"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94" w:history="1">
            <w:r w:rsidR="00134105" w:rsidRPr="004F13FD">
              <w:rPr>
                <w:rStyle w:val="Hyperlink"/>
                <w:noProof/>
              </w:rPr>
              <w:t>3.1 Activation</w:t>
            </w:r>
            <w:r w:rsidR="00134105">
              <w:rPr>
                <w:noProof/>
                <w:webHidden/>
              </w:rPr>
              <w:tab/>
            </w:r>
            <w:r w:rsidR="00134105">
              <w:rPr>
                <w:noProof/>
                <w:webHidden/>
              </w:rPr>
              <w:fldChar w:fldCharType="begin"/>
            </w:r>
            <w:r w:rsidR="00134105">
              <w:rPr>
                <w:noProof/>
                <w:webHidden/>
              </w:rPr>
              <w:instrText xml:space="preserve"> PAGEREF _Toc169541994 \h </w:instrText>
            </w:r>
            <w:r w:rsidR="00134105">
              <w:rPr>
                <w:noProof/>
                <w:webHidden/>
              </w:rPr>
            </w:r>
            <w:r w:rsidR="00134105">
              <w:rPr>
                <w:noProof/>
                <w:webHidden/>
              </w:rPr>
              <w:fldChar w:fldCharType="separate"/>
            </w:r>
            <w:r w:rsidR="00134105">
              <w:rPr>
                <w:noProof/>
                <w:webHidden/>
              </w:rPr>
              <w:t>6</w:t>
            </w:r>
            <w:r w:rsidR="00134105">
              <w:rPr>
                <w:noProof/>
                <w:webHidden/>
              </w:rPr>
              <w:fldChar w:fldCharType="end"/>
            </w:r>
          </w:hyperlink>
        </w:p>
        <w:p w14:paraId="78D7D75E"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95" w:history="1">
            <w:r w:rsidR="00134105" w:rsidRPr="004F13FD">
              <w:rPr>
                <w:rStyle w:val="Hyperlink"/>
                <w:noProof/>
              </w:rPr>
              <w:t>3.2 Stratified recruitment according to local resource</w:t>
            </w:r>
            <w:r w:rsidR="00134105">
              <w:rPr>
                <w:noProof/>
                <w:webHidden/>
              </w:rPr>
              <w:tab/>
            </w:r>
            <w:r w:rsidR="00134105">
              <w:rPr>
                <w:noProof/>
                <w:webHidden/>
              </w:rPr>
              <w:fldChar w:fldCharType="begin"/>
            </w:r>
            <w:r w:rsidR="00134105">
              <w:rPr>
                <w:noProof/>
                <w:webHidden/>
              </w:rPr>
              <w:instrText xml:space="preserve"> PAGEREF _Toc169541995 \h </w:instrText>
            </w:r>
            <w:r w:rsidR="00134105">
              <w:rPr>
                <w:noProof/>
                <w:webHidden/>
              </w:rPr>
            </w:r>
            <w:r w:rsidR="00134105">
              <w:rPr>
                <w:noProof/>
                <w:webHidden/>
              </w:rPr>
              <w:fldChar w:fldCharType="separate"/>
            </w:r>
            <w:r w:rsidR="00134105">
              <w:rPr>
                <w:noProof/>
                <w:webHidden/>
              </w:rPr>
              <w:t>6</w:t>
            </w:r>
            <w:r w:rsidR="00134105">
              <w:rPr>
                <w:noProof/>
                <w:webHidden/>
              </w:rPr>
              <w:fldChar w:fldCharType="end"/>
            </w:r>
          </w:hyperlink>
        </w:p>
        <w:p w14:paraId="0B6E2152"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1996" w:history="1">
            <w:r w:rsidR="00134105" w:rsidRPr="004F13FD">
              <w:rPr>
                <w:rStyle w:val="Hyperlink"/>
                <w:noProof/>
              </w:rPr>
              <w:t>3.2.1 Data collection</w:t>
            </w:r>
            <w:r w:rsidR="00134105">
              <w:rPr>
                <w:noProof/>
                <w:webHidden/>
              </w:rPr>
              <w:tab/>
            </w:r>
            <w:r w:rsidR="00134105">
              <w:rPr>
                <w:noProof/>
                <w:webHidden/>
              </w:rPr>
              <w:fldChar w:fldCharType="begin"/>
            </w:r>
            <w:r w:rsidR="00134105">
              <w:rPr>
                <w:noProof/>
                <w:webHidden/>
              </w:rPr>
              <w:instrText xml:space="preserve"> PAGEREF _Toc169541996 \h </w:instrText>
            </w:r>
            <w:r w:rsidR="00134105">
              <w:rPr>
                <w:noProof/>
                <w:webHidden/>
              </w:rPr>
            </w:r>
            <w:r w:rsidR="00134105">
              <w:rPr>
                <w:noProof/>
                <w:webHidden/>
              </w:rPr>
              <w:fldChar w:fldCharType="separate"/>
            </w:r>
            <w:r w:rsidR="00134105">
              <w:rPr>
                <w:noProof/>
                <w:webHidden/>
              </w:rPr>
              <w:t>8</w:t>
            </w:r>
            <w:r w:rsidR="00134105">
              <w:rPr>
                <w:noProof/>
                <w:webHidden/>
              </w:rPr>
              <w:fldChar w:fldCharType="end"/>
            </w:r>
          </w:hyperlink>
        </w:p>
        <w:p w14:paraId="1B010282"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1997" w:history="1">
            <w:r w:rsidR="00134105" w:rsidRPr="004F13FD">
              <w:rPr>
                <w:rStyle w:val="Hyperlink"/>
                <w:noProof/>
              </w:rPr>
              <w:t>3.3 Entry Criteria</w:t>
            </w:r>
            <w:r w:rsidR="00134105">
              <w:rPr>
                <w:noProof/>
                <w:webHidden/>
              </w:rPr>
              <w:tab/>
            </w:r>
            <w:r w:rsidR="00134105">
              <w:rPr>
                <w:noProof/>
                <w:webHidden/>
              </w:rPr>
              <w:fldChar w:fldCharType="begin"/>
            </w:r>
            <w:r w:rsidR="00134105">
              <w:rPr>
                <w:noProof/>
                <w:webHidden/>
              </w:rPr>
              <w:instrText xml:space="preserve"> PAGEREF _Toc169541997 \h </w:instrText>
            </w:r>
            <w:r w:rsidR="00134105">
              <w:rPr>
                <w:noProof/>
                <w:webHidden/>
              </w:rPr>
            </w:r>
            <w:r w:rsidR="00134105">
              <w:rPr>
                <w:noProof/>
                <w:webHidden/>
              </w:rPr>
              <w:fldChar w:fldCharType="separate"/>
            </w:r>
            <w:r w:rsidR="00134105">
              <w:rPr>
                <w:noProof/>
                <w:webHidden/>
              </w:rPr>
              <w:t>8</w:t>
            </w:r>
            <w:r w:rsidR="00134105">
              <w:rPr>
                <w:noProof/>
                <w:webHidden/>
              </w:rPr>
              <w:fldChar w:fldCharType="end"/>
            </w:r>
          </w:hyperlink>
        </w:p>
        <w:p w14:paraId="10CA0627"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1998" w:history="1">
            <w:r w:rsidR="00134105" w:rsidRPr="004F13FD">
              <w:rPr>
                <w:rStyle w:val="Hyperlink"/>
                <w:noProof/>
              </w:rPr>
              <w:t>3.3.1 Inclusion criteria</w:t>
            </w:r>
            <w:r w:rsidR="00134105">
              <w:rPr>
                <w:noProof/>
                <w:webHidden/>
              </w:rPr>
              <w:tab/>
            </w:r>
            <w:r w:rsidR="00134105">
              <w:rPr>
                <w:noProof/>
                <w:webHidden/>
              </w:rPr>
              <w:fldChar w:fldCharType="begin"/>
            </w:r>
            <w:r w:rsidR="00134105">
              <w:rPr>
                <w:noProof/>
                <w:webHidden/>
              </w:rPr>
              <w:instrText xml:space="preserve"> PAGEREF _Toc169541998 \h </w:instrText>
            </w:r>
            <w:r w:rsidR="00134105">
              <w:rPr>
                <w:noProof/>
                <w:webHidden/>
              </w:rPr>
            </w:r>
            <w:r w:rsidR="00134105">
              <w:rPr>
                <w:noProof/>
                <w:webHidden/>
              </w:rPr>
              <w:fldChar w:fldCharType="separate"/>
            </w:r>
            <w:r w:rsidR="00134105">
              <w:rPr>
                <w:noProof/>
                <w:webHidden/>
              </w:rPr>
              <w:t>8</w:t>
            </w:r>
            <w:r w:rsidR="00134105">
              <w:rPr>
                <w:noProof/>
                <w:webHidden/>
              </w:rPr>
              <w:fldChar w:fldCharType="end"/>
            </w:r>
          </w:hyperlink>
        </w:p>
        <w:p w14:paraId="315AC03D"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1999" w:history="1">
            <w:r w:rsidR="00134105" w:rsidRPr="004F13FD">
              <w:rPr>
                <w:rStyle w:val="Hyperlink"/>
                <w:noProof/>
              </w:rPr>
              <w:t>3.3.2 Exclusion criteria:</w:t>
            </w:r>
            <w:r w:rsidR="00134105">
              <w:rPr>
                <w:noProof/>
                <w:webHidden/>
              </w:rPr>
              <w:tab/>
            </w:r>
            <w:r w:rsidR="00134105">
              <w:rPr>
                <w:noProof/>
                <w:webHidden/>
              </w:rPr>
              <w:fldChar w:fldCharType="begin"/>
            </w:r>
            <w:r w:rsidR="00134105">
              <w:rPr>
                <w:noProof/>
                <w:webHidden/>
              </w:rPr>
              <w:instrText xml:space="preserve"> PAGEREF _Toc169541999 \h </w:instrText>
            </w:r>
            <w:r w:rsidR="00134105">
              <w:rPr>
                <w:noProof/>
                <w:webHidden/>
              </w:rPr>
            </w:r>
            <w:r w:rsidR="00134105">
              <w:rPr>
                <w:noProof/>
                <w:webHidden/>
              </w:rPr>
              <w:fldChar w:fldCharType="separate"/>
            </w:r>
            <w:r w:rsidR="00134105">
              <w:rPr>
                <w:noProof/>
                <w:webHidden/>
              </w:rPr>
              <w:t>9</w:t>
            </w:r>
            <w:r w:rsidR="00134105">
              <w:rPr>
                <w:noProof/>
                <w:webHidden/>
              </w:rPr>
              <w:fldChar w:fldCharType="end"/>
            </w:r>
          </w:hyperlink>
        </w:p>
        <w:p w14:paraId="018DB53D"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00" w:history="1">
            <w:r w:rsidR="00134105" w:rsidRPr="004F13FD">
              <w:rPr>
                <w:rStyle w:val="Hyperlink"/>
                <w:noProof/>
              </w:rPr>
              <w:t>3.4 Study Design</w:t>
            </w:r>
            <w:r w:rsidR="00134105">
              <w:rPr>
                <w:noProof/>
                <w:webHidden/>
              </w:rPr>
              <w:tab/>
            </w:r>
            <w:r w:rsidR="00134105">
              <w:rPr>
                <w:noProof/>
                <w:webHidden/>
              </w:rPr>
              <w:fldChar w:fldCharType="begin"/>
            </w:r>
            <w:r w:rsidR="00134105">
              <w:rPr>
                <w:noProof/>
                <w:webHidden/>
              </w:rPr>
              <w:instrText xml:space="preserve"> PAGEREF _Toc169542000 \h </w:instrText>
            </w:r>
            <w:r w:rsidR="00134105">
              <w:rPr>
                <w:noProof/>
                <w:webHidden/>
              </w:rPr>
            </w:r>
            <w:r w:rsidR="00134105">
              <w:rPr>
                <w:noProof/>
                <w:webHidden/>
              </w:rPr>
              <w:fldChar w:fldCharType="separate"/>
            </w:r>
            <w:r w:rsidR="00134105">
              <w:rPr>
                <w:noProof/>
                <w:webHidden/>
              </w:rPr>
              <w:t>9</w:t>
            </w:r>
            <w:r w:rsidR="00134105">
              <w:rPr>
                <w:noProof/>
                <w:webHidden/>
              </w:rPr>
              <w:fldChar w:fldCharType="end"/>
            </w:r>
          </w:hyperlink>
        </w:p>
        <w:p w14:paraId="346E86CE"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01" w:history="1">
            <w:r w:rsidR="00134105" w:rsidRPr="004F13FD">
              <w:rPr>
                <w:rStyle w:val="Hyperlink"/>
                <w:noProof/>
              </w:rPr>
              <w:t>3.5 Sample Size</w:t>
            </w:r>
            <w:r w:rsidR="00134105">
              <w:rPr>
                <w:noProof/>
                <w:webHidden/>
              </w:rPr>
              <w:tab/>
            </w:r>
            <w:r w:rsidR="00134105">
              <w:rPr>
                <w:noProof/>
                <w:webHidden/>
              </w:rPr>
              <w:fldChar w:fldCharType="begin"/>
            </w:r>
            <w:r w:rsidR="00134105">
              <w:rPr>
                <w:noProof/>
                <w:webHidden/>
              </w:rPr>
              <w:instrText xml:space="preserve"> PAGEREF _Toc169542001 \h </w:instrText>
            </w:r>
            <w:r w:rsidR="00134105">
              <w:rPr>
                <w:noProof/>
                <w:webHidden/>
              </w:rPr>
            </w:r>
            <w:r w:rsidR="00134105">
              <w:rPr>
                <w:noProof/>
                <w:webHidden/>
              </w:rPr>
              <w:fldChar w:fldCharType="separate"/>
            </w:r>
            <w:r w:rsidR="00134105">
              <w:rPr>
                <w:noProof/>
                <w:webHidden/>
              </w:rPr>
              <w:t>9</w:t>
            </w:r>
            <w:r w:rsidR="00134105">
              <w:rPr>
                <w:noProof/>
                <w:webHidden/>
              </w:rPr>
              <w:fldChar w:fldCharType="end"/>
            </w:r>
          </w:hyperlink>
        </w:p>
        <w:p w14:paraId="0F3655AC"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02" w:history="1">
            <w:r w:rsidR="00134105" w:rsidRPr="004F13FD">
              <w:rPr>
                <w:rStyle w:val="Hyperlink"/>
                <w:noProof/>
              </w:rPr>
              <w:t>3.6 Identification of Potential Participants</w:t>
            </w:r>
            <w:r w:rsidR="00134105">
              <w:rPr>
                <w:noProof/>
                <w:webHidden/>
              </w:rPr>
              <w:tab/>
            </w:r>
            <w:r w:rsidR="00134105">
              <w:rPr>
                <w:noProof/>
                <w:webHidden/>
              </w:rPr>
              <w:fldChar w:fldCharType="begin"/>
            </w:r>
            <w:r w:rsidR="00134105">
              <w:rPr>
                <w:noProof/>
                <w:webHidden/>
              </w:rPr>
              <w:instrText xml:space="preserve"> PAGEREF _Toc169542002 \h </w:instrText>
            </w:r>
            <w:r w:rsidR="00134105">
              <w:rPr>
                <w:noProof/>
                <w:webHidden/>
              </w:rPr>
            </w:r>
            <w:r w:rsidR="00134105">
              <w:rPr>
                <w:noProof/>
                <w:webHidden/>
              </w:rPr>
              <w:fldChar w:fldCharType="separate"/>
            </w:r>
            <w:r w:rsidR="00134105">
              <w:rPr>
                <w:noProof/>
                <w:webHidden/>
              </w:rPr>
              <w:t>9</w:t>
            </w:r>
            <w:r w:rsidR="00134105">
              <w:rPr>
                <w:noProof/>
                <w:webHidden/>
              </w:rPr>
              <w:fldChar w:fldCharType="end"/>
            </w:r>
          </w:hyperlink>
        </w:p>
        <w:p w14:paraId="32815561"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03" w:history="1">
            <w:r w:rsidR="00134105" w:rsidRPr="004F13FD">
              <w:rPr>
                <w:rStyle w:val="Hyperlink"/>
                <w:noProof/>
              </w:rPr>
              <w:t>3.6.1 Selection of Participants</w:t>
            </w:r>
            <w:r w:rsidR="00134105">
              <w:rPr>
                <w:noProof/>
                <w:webHidden/>
              </w:rPr>
              <w:tab/>
            </w:r>
            <w:r w:rsidR="00134105">
              <w:rPr>
                <w:noProof/>
                <w:webHidden/>
              </w:rPr>
              <w:fldChar w:fldCharType="begin"/>
            </w:r>
            <w:r w:rsidR="00134105">
              <w:rPr>
                <w:noProof/>
                <w:webHidden/>
              </w:rPr>
              <w:instrText xml:space="preserve"> PAGEREF _Toc169542003 \h </w:instrText>
            </w:r>
            <w:r w:rsidR="00134105">
              <w:rPr>
                <w:noProof/>
                <w:webHidden/>
              </w:rPr>
            </w:r>
            <w:r w:rsidR="00134105">
              <w:rPr>
                <w:noProof/>
                <w:webHidden/>
              </w:rPr>
              <w:fldChar w:fldCharType="separate"/>
            </w:r>
            <w:r w:rsidR="00134105">
              <w:rPr>
                <w:noProof/>
                <w:webHidden/>
              </w:rPr>
              <w:t>9</w:t>
            </w:r>
            <w:r w:rsidR="00134105">
              <w:rPr>
                <w:noProof/>
                <w:webHidden/>
              </w:rPr>
              <w:fldChar w:fldCharType="end"/>
            </w:r>
          </w:hyperlink>
        </w:p>
        <w:p w14:paraId="26B53AAD"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04" w:history="1">
            <w:r w:rsidR="00134105" w:rsidRPr="004F13FD">
              <w:rPr>
                <w:rStyle w:val="Hyperlink"/>
                <w:noProof/>
              </w:rPr>
              <w:t>3.7 Approach to Potential Participants</w:t>
            </w:r>
            <w:r w:rsidR="00134105">
              <w:rPr>
                <w:noProof/>
                <w:webHidden/>
              </w:rPr>
              <w:tab/>
            </w:r>
            <w:r w:rsidR="00134105">
              <w:rPr>
                <w:noProof/>
                <w:webHidden/>
              </w:rPr>
              <w:fldChar w:fldCharType="begin"/>
            </w:r>
            <w:r w:rsidR="00134105">
              <w:rPr>
                <w:noProof/>
                <w:webHidden/>
              </w:rPr>
              <w:instrText xml:space="preserve"> PAGEREF _Toc169542004 \h </w:instrText>
            </w:r>
            <w:r w:rsidR="00134105">
              <w:rPr>
                <w:noProof/>
                <w:webHidden/>
              </w:rPr>
            </w:r>
            <w:r w:rsidR="00134105">
              <w:rPr>
                <w:noProof/>
                <w:webHidden/>
              </w:rPr>
              <w:fldChar w:fldCharType="separate"/>
            </w:r>
            <w:r w:rsidR="00134105">
              <w:rPr>
                <w:noProof/>
                <w:webHidden/>
              </w:rPr>
              <w:t>10</w:t>
            </w:r>
            <w:r w:rsidR="00134105">
              <w:rPr>
                <w:noProof/>
                <w:webHidden/>
              </w:rPr>
              <w:fldChar w:fldCharType="end"/>
            </w:r>
          </w:hyperlink>
        </w:p>
        <w:p w14:paraId="1198C52C"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05" w:history="1">
            <w:r w:rsidR="00134105" w:rsidRPr="004F13FD">
              <w:rPr>
                <w:rStyle w:val="Hyperlink"/>
                <w:noProof/>
              </w:rPr>
              <w:t>3.7.1 Module 0</w:t>
            </w:r>
            <w:r w:rsidR="00134105">
              <w:rPr>
                <w:noProof/>
                <w:webHidden/>
              </w:rPr>
              <w:tab/>
            </w:r>
            <w:r w:rsidR="00134105">
              <w:rPr>
                <w:noProof/>
                <w:webHidden/>
              </w:rPr>
              <w:fldChar w:fldCharType="begin"/>
            </w:r>
            <w:r w:rsidR="00134105">
              <w:rPr>
                <w:noProof/>
                <w:webHidden/>
              </w:rPr>
              <w:instrText xml:space="preserve"> PAGEREF _Toc169542005 \h </w:instrText>
            </w:r>
            <w:r w:rsidR="00134105">
              <w:rPr>
                <w:noProof/>
                <w:webHidden/>
              </w:rPr>
            </w:r>
            <w:r w:rsidR="00134105">
              <w:rPr>
                <w:noProof/>
                <w:webHidden/>
              </w:rPr>
              <w:fldChar w:fldCharType="separate"/>
            </w:r>
            <w:r w:rsidR="00134105">
              <w:rPr>
                <w:noProof/>
                <w:webHidden/>
              </w:rPr>
              <w:t>10</w:t>
            </w:r>
            <w:r w:rsidR="00134105">
              <w:rPr>
                <w:noProof/>
                <w:webHidden/>
              </w:rPr>
              <w:fldChar w:fldCharType="end"/>
            </w:r>
          </w:hyperlink>
        </w:p>
        <w:p w14:paraId="2CD0DB4D"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06" w:history="1">
            <w:r w:rsidR="00134105" w:rsidRPr="004F13FD">
              <w:rPr>
                <w:rStyle w:val="Hyperlink"/>
                <w:noProof/>
              </w:rPr>
              <w:t>3.7.2 Modules 1 and above.</w:t>
            </w:r>
            <w:r w:rsidR="00134105">
              <w:rPr>
                <w:noProof/>
                <w:webHidden/>
              </w:rPr>
              <w:tab/>
            </w:r>
            <w:r w:rsidR="00134105">
              <w:rPr>
                <w:noProof/>
                <w:webHidden/>
              </w:rPr>
              <w:fldChar w:fldCharType="begin"/>
            </w:r>
            <w:r w:rsidR="00134105">
              <w:rPr>
                <w:noProof/>
                <w:webHidden/>
              </w:rPr>
              <w:instrText xml:space="preserve"> PAGEREF _Toc169542006 \h </w:instrText>
            </w:r>
            <w:r w:rsidR="00134105">
              <w:rPr>
                <w:noProof/>
                <w:webHidden/>
              </w:rPr>
            </w:r>
            <w:r w:rsidR="00134105">
              <w:rPr>
                <w:noProof/>
                <w:webHidden/>
              </w:rPr>
              <w:fldChar w:fldCharType="separate"/>
            </w:r>
            <w:r w:rsidR="00134105">
              <w:rPr>
                <w:noProof/>
                <w:webHidden/>
              </w:rPr>
              <w:t>10</w:t>
            </w:r>
            <w:r w:rsidR="00134105">
              <w:rPr>
                <w:noProof/>
                <w:webHidden/>
              </w:rPr>
              <w:fldChar w:fldCharType="end"/>
            </w:r>
          </w:hyperlink>
        </w:p>
        <w:p w14:paraId="6379DE8B"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07" w:history="1">
            <w:r w:rsidR="00134105" w:rsidRPr="004F13FD">
              <w:rPr>
                <w:rStyle w:val="Hyperlink"/>
                <w:noProof/>
              </w:rPr>
              <w:t>3.8 Standard of Care</w:t>
            </w:r>
            <w:r w:rsidR="00134105">
              <w:rPr>
                <w:noProof/>
                <w:webHidden/>
              </w:rPr>
              <w:tab/>
            </w:r>
            <w:r w:rsidR="00134105">
              <w:rPr>
                <w:noProof/>
                <w:webHidden/>
              </w:rPr>
              <w:fldChar w:fldCharType="begin"/>
            </w:r>
            <w:r w:rsidR="00134105">
              <w:rPr>
                <w:noProof/>
                <w:webHidden/>
              </w:rPr>
              <w:instrText xml:space="preserve"> PAGEREF _Toc169542007 \h </w:instrText>
            </w:r>
            <w:r w:rsidR="00134105">
              <w:rPr>
                <w:noProof/>
                <w:webHidden/>
              </w:rPr>
            </w:r>
            <w:r w:rsidR="00134105">
              <w:rPr>
                <w:noProof/>
                <w:webHidden/>
              </w:rPr>
              <w:fldChar w:fldCharType="separate"/>
            </w:r>
            <w:r w:rsidR="00134105">
              <w:rPr>
                <w:noProof/>
                <w:webHidden/>
              </w:rPr>
              <w:t>11</w:t>
            </w:r>
            <w:r w:rsidR="00134105">
              <w:rPr>
                <w:noProof/>
                <w:webHidden/>
              </w:rPr>
              <w:fldChar w:fldCharType="end"/>
            </w:r>
          </w:hyperlink>
        </w:p>
        <w:p w14:paraId="555B5A37"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08" w:history="1">
            <w:r w:rsidR="00134105" w:rsidRPr="004F13FD">
              <w:rPr>
                <w:rStyle w:val="Hyperlink"/>
                <w:noProof/>
              </w:rPr>
              <w:t>3.9 Enrolment Procedures</w:t>
            </w:r>
            <w:r w:rsidR="00134105">
              <w:rPr>
                <w:noProof/>
                <w:webHidden/>
              </w:rPr>
              <w:tab/>
            </w:r>
            <w:r w:rsidR="00134105">
              <w:rPr>
                <w:noProof/>
                <w:webHidden/>
              </w:rPr>
              <w:fldChar w:fldCharType="begin"/>
            </w:r>
            <w:r w:rsidR="00134105">
              <w:rPr>
                <w:noProof/>
                <w:webHidden/>
              </w:rPr>
              <w:instrText xml:space="preserve"> PAGEREF _Toc169542008 \h </w:instrText>
            </w:r>
            <w:r w:rsidR="00134105">
              <w:rPr>
                <w:noProof/>
                <w:webHidden/>
              </w:rPr>
            </w:r>
            <w:r w:rsidR="00134105">
              <w:rPr>
                <w:noProof/>
                <w:webHidden/>
              </w:rPr>
              <w:fldChar w:fldCharType="separate"/>
            </w:r>
            <w:r w:rsidR="00134105">
              <w:rPr>
                <w:noProof/>
                <w:webHidden/>
              </w:rPr>
              <w:t>11</w:t>
            </w:r>
            <w:r w:rsidR="00134105">
              <w:rPr>
                <w:noProof/>
                <w:webHidden/>
              </w:rPr>
              <w:fldChar w:fldCharType="end"/>
            </w:r>
          </w:hyperlink>
        </w:p>
        <w:p w14:paraId="2CA0DECD"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09" w:history="1">
            <w:r w:rsidR="00134105" w:rsidRPr="004F13FD">
              <w:rPr>
                <w:rStyle w:val="Hyperlink"/>
                <w:noProof/>
              </w:rPr>
              <w:t>3.10 Data Collection and Sampling for Patients</w:t>
            </w:r>
            <w:r w:rsidR="00134105">
              <w:rPr>
                <w:noProof/>
                <w:webHidden/>
              </w:rPr>
              <w:tab/>
            </w:r>
            <w:r w:rsidR="00134105">
              <w:rPr>
                <w:noProof/>
                <w:webHidden/>
              </w:rPr>
              <w:fldChar w:fldCharType="begin"/>
            </w:r>
            <w:r w:rsidR="00134105">
              <w:rPr>
                <w:noProof/>
                <w:webHidden/>
              </w:rPr>
              <w:instrText xml:space="preserve"> PAGEREF _Toc169542009 \h </w:instrText>
            </w:r>
            <w:r w:rsidR="00134105">
              <w:rPr>
                <w:noProof/>
                <w:webHidden/>
              </w:rPr>
            </w:r>
            <w:r w:rsidR="00134105">
              <w:rPr>
                <w:noProof/>
                <w:webHidden/>
              </w:rPr>
              <w:fldChar w:fldCharType="separate"/>
            </w:r>
            <w:r w:rsidR="00134105">
              <w:rPr>
                <w:noProof/>
                <w:webHidden/>
              </w:rPr>
              <w:t>11</w:t>
            </w:r>
            <w:r w:rsidR="00134105">
              <w:rPr>
                <w:noProof/>
                <w:webHidden/>
              </w:rPr>
              <w:fldChar w:fldCharType="end"/>
            </w:r>
          </w:hyperlink>
        </w:p>
        <w:p w14:paraId="32902AC0"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0" w:history="1">
            <w:r w:rsidR="00134105" w:rsidRPr="004F13FD">
              <w:rPr>
                <w:rStyle w:val="Hyperlink"/>
                <w:noProof/>
              </w:rPr>
              <w:t>3.10.1 Clinical Data Collection</w:t>
            </w:r>
            <w:r w:rsidR="00134105">
              <w:rPr>
                <w:noProof/>
                <w:webHidden/>
              </w:rPr>
              <w:tab/>
            </w:r>
            <w:r w:rsidR="00134105">
              <w:rPr>
                <w:noProof/>
                <w:webHidden/>
              </w:rPr>
              <w:fldChar w:fldCharType="begin"/>
            </w:r>
            <w:r w:rsidR="00134105">
              <w:rPr>
                <w:noProof/>
                <w:webHidden/>
              </w:rPr>
              <w:instrText xml:space="preserve"> PAGEREF _Toc169542010 \h </w:instrText>
            </w:r>
            <w:r w:rsidR="00134105">
              <w:rPr>
                <w:noProof/>
                <w:webHidden/>
              </w:rPr>
            </w:r>
            <w:r w:rsidR="00134105">
              <w:rPr>
                <w:noProof/>
                <w:webHidden/>
              </w:rPr>
              <w:fldChar w:fldCharType="separate"/>
            </w:r>
            <w:r w:rsidR="00134105">
              <w:rPr>
                <w:noProof/>
                <w:webHidden/>
              </w:rPr>
              <w:t>11</w:t>
            </w:r>
            <w:r w:rsidR="00134105">
              <w:rPr>
                <w:noProof/>
                <w:webHidden/>
              </w:rPr>
              <w:fldChar w:fldCharType="end"/>
            </w:r>
          </w:hyperlink>
        </w:p>
        <w:p w14:paraId="5FC4DE24"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1" w:history="1">
            <w:r w:rsidR="00134105" w:rsidRPr="004F13FD">
              <w:rPr>
                <w:rStyle w:val="Hyperlink"/>
                <w:noProof/>
              </w:rPr>
              <w:t>3.10.2 Sample acquisition</w:t>
            </w:r>
            <w:r w:rsidR="00134105">
              <w:rPr>
                <w:noProof/>
                <w:webHidden/>
              </w:rPr>
              <w:tab/>
            </w:r>
            <w:r w:rsidR="00134105">
              <w:rPr>
                <w:noProof/>
                <w:webHidden/>
              </w:rPr>
              <w:fldChar w:fldCharType="begin"/>
            </w:r>
            <w:r w:rsidR="00134105">
              <w:rPr>
                <w:noProof/>
                <w:webHidden/>
              </w:rPr>
              <w:instrText xml:space="preserve"> PAGEREF _Toc169542011 \h </w:instrText>
            </w:r>
            <w:r w:rsidR="00134105">
              <w:rPr>
                <w:noProof/>
                <w:webHidden/>
              </w:rPr>
            </w:r>
            <w:r w:rsidR="00134105">
              <w:rPr>
                <w:noProof/>
                <w:webHidden/>
              </w:rPr>
              <w:fldChar w:fldCharType="separate"/>
            </w:r>
            <w:r w:rsidR="00134105">
              <w:rPr>
                <w:noProof/>
                <w:webHidden/>
              </w:rPr>
              <w:t>11</w:t>
            </w:r>
            <w:r w:rsidR="00134105">
              <w:rPr>
                <w:noProof/>
                <w:webHidden/>
              </w:rPr>
              <w:fldChar w:fldCharType="end"/>
            </w:r>
          </w:hyperlink>
        </w:p>
        <w:p w14:paraId="1E8AF57B"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2" w:history="1">
            <w:r w:rsidR="00134105" w:rsidRPr="004F13FD">
              <w:rPr>
                <w:rStyle w:val="Hyperlink"/>
                <w:noProof/>
              </w:rPr>
              <w:t>3.10.3 Sample Collection Schedules</w:t>
            </w:r>
            <w:r w:rsidR="00134105">
              <w:rPr>
                <w:noProof/>
                <w:webHidden/>
              </w:rPr>
              <w:tab/>
            </w:r>
            <w:r w:rsidR="00134105">
              <w:rPr>
                <w:noProof/>
                <w:webHidden/>
              </w:rPr>
              <w:fldChar w:fldCharType="begin"/>
            </w:r>
            <w:r w:rsidR="00134105">
              <w:rPr>
                <w:noProof/>
                <w:webHidden/>
              </w:rPr>
              <w:instrText xml:space="preserve"> PAGEREF _Toc169542012 \h </w:instrText>
            </w:r>
            <w:r w:rsidR="00134105">
              <w:rPr>
                <w:noProof/>
                <w:webHidden/>
              </w:rPr>
            </w:r>
            <w:r w:rsidR="00134105">
              <w:rPr>
                <w:noProof/>
                <w:webHidden/>
              </w:rPr>
              <w:fldChar w:fldCharType="separate"/>
            </w:r>
            <w:r w:rsidR="00134105">
              <w:rPr>
                <w:noProof/>
                <w:webHidden/>
              </w:rPr>
              <w:t>12</w:t>
            </w:r>
            <w:r w:rsidR="00134105">
              <w:rPr>
                <w:noProof/>
                <w:webHidden/>
              </w:rPr>
              <w:fldChar w:fldCharType="end"/>
            </w:r>
          </w:hyperlink>
        </w:p>
        <w:p w14:paraId="53F82076"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3" w:history="1">
            <w:r w:rsidR="00134105" w:rsidRPr="004F13FD">
              <w:rPr>
                <w:rStyle w:val="Hyperlink"/>
                <w:noProof/>
              </w:rPr>
              <w:t>3.10.4 Specimen Sampling, Storage Procedures and Transport</w:t>
            </w:r>
            <w:r w:rsidR="00134105">
              <w:rPr>
                <w:noProof/>
                <w:webHidden/>
              </w:rPr>
              <w:tab/>
            </w:r>
            <w:r w:rsidR="00134105">
              <w:rPr>
                <w:noProof/>
                <w:webHidden/>
              </w:rPr>
              <w:fldChar w:fldCharType="begin"/>
            </w:r>
            <w:r w:rsidR="00134105">
              <w:rPr>
                <w:noProof/>
                <w:webHidden/>
              </w:rPr>
              <w:instrText xml:space="preserve"> PAGEREF _Toc169542013 \h </w:instrText>
            </w:r>
            <w:r w:rsidR="00134105">
              <w:rPr>
                <w:noProof/>
                <w:webHidden/>
              </w:rPr>
            </w:r>
            <w:r w:rsidR="00134105">
              <w:rPr>
                <w:noProof/>
                <w:webHidden/>
              </w:rPr>
              <w:fldChar w:fldCharType="separate"/>
            </w:r>
            <w:r w:rsidR="00134105">
              <w:rPr>
                <w:noProof/>
                <w:webHidden/>
              </w:rPr>
              <w:t>12</w:t>
            </w:r>
            <w:r w:rsidR="00134105">
              <w:rPr>
                <w:noProof/>
                <w:webHidden/>
              </w:rPr>
              <w:fldChar w:fldCharType="end"/>
            </w:r>
          </w:hyperlink>
        </w:p>
        <w:p w14:paraId="71023238"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4" w:history="1">
            <w:r w:rsidR="00134105" w:rsidRPr="004F13FD">
              <w:rPr>
                <w:rStyle w:val="Hyperlink"/>
                <w:noProof/>
              </w:rPr>
              <w:t>3.10.5 Samples to be obtained</w:t>
            </w:r>
            <w:r w:rsidR="00134105">
              <w:rPr>
                <w:noProof/>
                <w:webHidden/>
              </w:rPr>
              <w:tab/>
            </w:r>
            <w:r w:rsidR="00134105">
              <w:rPr>
                <w:noProof/>
                <w:webHidden/>
              </w:rPr>
              <w:fldChar w:fldCharType="begin"/>
            </w:r>
            <w:r w:rsidR="00134105">
              <w:rPr>
                <w:noProof/>
                <w:webHidden/>
              </w:rPr>
              <w:instrText xml:space="preserve"> PAGEREF _Toc169542014 \h </w:instrText>
            </w:r>
            <w:r w:rsidR="00134105">
              <w:rPr>
                <w:noProof/>
                <w:webHidden/>
              </w:rPr>
            </w:r>
            <w:r w:rsidR="00134105">
              <w:rPr>
                <w:noProof/>
                <w:webHidden/>
              </w:rPr>
              <w:fldChar w:fldCharType="separate"/>
            </w:r>
            <w:r w:rsidR="00134105">
              <w:rPr>
                <w:noProof/>
                <w:webHidden/>
              </w:rPr>
              <w:t>12</w:t>
            </w:r>
            <w:r w:rsidR="00134105">
              <w:rPr>
                <w:noProof/>
                <w:webHidden/>
              </w:rPr>
              <w:fldChar w:fldCharType="end"/>
            </w:r>
          </w:hyperlink>
        </w:p>
        <w:p w14:paraId="7C4D88FF"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5" w:history="1">
            <w:r w:rsidR="00134105" w:rsidRPr="004F13FD">
              <w:rPr>
                <w:rStyle w:val="Hyperlink"/>
                <w:noProof/>
              </w:rPr>
              <w:t>3.10.6 Example activation guidance document for recruiting sites</w:t>
            </w:r>
            <w:r w:rsidR="00134105">
              <w:rPr>
                <w:noProof/>
                <w:webHidden/>
              </w:rPr>
              <w:tab/>
            </w:r>
            <w:r w:rsidR="00134105">
              <w:rPr>
                <w:noProof/>
                <w:webHidden/>
              </w:rPr>
              <w:fldChar w:fldCharType="begin"/>
            </w:r>
            <w:r w:rsidR="00134105">
              <w:rPr>
                <w:noProof/>
                <w:webHidden/>
              </w:rPr>
              <w:instrText xml:space="preserve"> PAGEREF _Toc169542015 \h </w:instrText>
            </w:r>
            <w:r w:rsidR="00134105">
              <w:rPr>
                <w:noProof/>
                <w:webHidden/>
              </w:rPr>
            </w:r>
            <w:r w:rsidR="00134105">
              <w:rPr>
                <w:noProof/>
                <w:webHidden/>
              </w:rPr>
              <w:fldChar w:fldCharType="separate"/>
            </w:r>
            <w:r w:rsidR="00134105">
              <w:rPr>
                <w:noProof/>
                <w:webHidden/>
              </w:rPr>
              <w:t>14</w:t>
            </w:r>
            <w:r w:rsidR="00134105">
              <w:rPr>
                <w:noProof/>
                <w:webHidden/>
              </w:rPr>
              <w:fldChar w:fldCharType="end"/>
            </w:r>
          </w:hyperlink>
        </w:p>
        <w:p w14:paraId="458DAC2D"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16" w:history="1">
            <w:r w:rsidR="00134105" w:rsidRPr="004F13FD">
              <w:rPr>
                <w:rStyle w:val="Hyperlink"/>
                <w:noProof/>
              </w:rPr>
              <w:t>ISARIC/WHO Clinical Characterisation Protocol Recruitment Procedures for COVID-19</w:t>
            </w:r>
            <w:r w:rsidR="00134105">
              <w:rPr>
                <w:noProof/>
                <w:webHidden/>
              </w:rPr>
              <w:tab/>
            </w:r>
            <w:r w:rsidR="00134105">
              <w:rPr>
                <w:noProof/>
                <w:webHidden/>
              </w:rPr>
              <w:fldChar w:fldCharType="begin"/>
            </w:r>
            <w:r w:rsidR="00134105">
              <w:rPr>
                <w:noProof/>
                <w:webHidden/>
              </w:rPr>
              <w:instrText xml:space="preserve"> PAGEREF _Toc169542016 \h </w:instrText>
            </w:r>
            <w:r w:rsidR="00134105">
              <w:rPr>
                <w:noProof/>
                <w:webHidden/>
              </w:rPr>
            </w:r>
            <w:r w:rsidR="00134105">
              <w:rPr>
                <w:noProof/>
                <w:webHidden/>
              </w:rPr>
              <w:fldChar w:fldCharType="separate"/>
            </w:r>
            <w:r w:rsidR="00134105">
              <w:rPr>
                <w:noProof/>
                <w:webHidden/>
              </w:rPr>
              <w:t>15</w:t>
            </w:r>
            <w:r w:rsidR="00134105">
              <w:rPr>
                <w:noProof/>
                <w:webHidden/>
              </w:rPr>
              <w:fldChar w:fldCharType="end"/>
            </w:r>
          </w:hyperlink>
        </w:p>
        <w:p w14:paraId="671318D5"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7" w:history="1">
            <w:r w:rsidR="00134105" w:rsidRPr="004F13FD">
              <w:rPr>
                <w:rStyle w:val="Hyperlink"/>
                <w:noProof/>
              </w:rPr>
              <w:t>3.10.7 Sampling instructions:</w:t>
            </w:r>
            <w:r w:rsidR="00134105">
              <w:rPr>
                <w:noProof/>
                <w:webHidden/>
              </w:rPr>
              <w:tab/>
            </w:r>
            <w:r w:rsidR="00134105">
              <w:rPr>
                <w:noProof/>
                <w:webHidden/>
              </w:rPr>
              <w:fldChar w:fldCharType="begin"/>
            </w:r>
            <w:r w:rsidR="00134105">
              <w:rPr>
                <w:noProof/>
                <w:webHidden/>
              </w:rPr>
              <w:instrText xml:space="preserve"> PAGEREF _Toc169542017 \h </w:instrText>
            </w:r>
            <w:r w:rsidR="00134105">
              <w:rPr>
                <w:noProof/>
                <w:webHidden/>
              </w:rPr>
            </w:r>
            <w:r w:rsidR="00134105">
              <w:rPr>
                <w:noProof/>
                <w:webHidden/>
              </w:rPr>
              <w:fldChar w:fldCharType="separate"/>
            </w:r>
            <w:r w:rsidR="00134105">
              <w:rPr>
                <w:noProof/>
                <w:webHidden/>
              </w:rPr>
              <w:t>15</w:t>
            </w:r>
            <w:r w:rsidR="00134105">
              <w:rPr>
                <w:noProof/>
                <w:webHidden/>
              </w:rPr>
              <w:fldChar w:fldCharType="end"/>
            </w:r>
          </w:hyperlink>
        </w:p>
        <w:p w14:paraId="62AC7F17"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8" w:history="1">
            <w:r w:rsidR="00134105" w:rsidRPr="004F13FD">
              <w:rPr>
                <w:rStyle w:val="Hyperlink"/>
                <w:noProof/>
              </w:rPr>
              <w:t>3.10.8 Optional sub-studies</w:t>
            </w:r>
            <w:r w:rsidR="00134105">
              <w:rPr>
                <w:noProof/>
                <w:webHidden/>
              </w:rPr>
              <w:tab/>
            </w:r>
            <w:r w:rsidR="00134105">
              <w:rPr>
                <w:noProof/>
                <w:webHidden/>
              </w:rPr>
              <w:fldChar w:fldCharType="begin"/>
            </w:r>
            <w:r w:rsidR="00134105">
              <w:rPr>
                <w:noProof/>
                <w:webHidden/>
              </w:rPr>
              <w:instrText xml:space="preserve"> PAGEREF _Toc169542018 \h </w:instrText>
            </w:r>
            <w:r w:rsidR="00134105">
              <w:rPr>
                <w:noProof/>
                <w:webHidden/>
              </w:rPr>
            </w:r>
            <w:r w:rsidR="00134105">
              <w:rPr>
                <w:noProof/>
                <w:webHidden/>
              </w:rPr>
              <w:fldChar w:fldCharType="separate"/>
            </w:r>
            <w:r w:rsidR="00134105">
              <w:rPr>
                <w:noProof/>
                <w:webHidden/>
              </w:rPr>
              <w:t>15</w:t>
            </w:r>
            <w:r w:rsidR="00134105">
              <w:rPr>
                <w:noProof/>
                <w:webHidden/>
              </w:rPr>
              <w:fldChar w:fldCharType="end"/>
            </w:r>
          </w:hyperlink>
        </w:p>
        <w:p w14:paraId="0E947BC9"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19" w:history="1">
            <w:r w:rsidR="00134105" w:rsidRPr="004F13FD">
              <w:rPr>
                <w:rStyle w:val="Hyperlink"/>
                <w:noProof/>
              </w:rPr>
              <w:t>3.10.9 Pharmacokinetic/Pharmacodynamics Studies</w:t>
            </w:r>
            <w:r w:rsidR="00134105">
              <w:rPr>
                <w:noProof/>
                <w:webHidden/>
              </w:rPr>
              <w:tab/>
            </w:r>
            <w:r w:rsidR="00134105">
              <w:rPr>
                <w:noProof/>
                <w:webHidden/>
              </w:rPr>
              <w:fldChar w:fldCharType="begin"/>
            </w:r>
            <w:r w:rsidR="00134105">
              <w:rPr>
                <w:noProof/>
                <w:webHidden/>
              </w:rPr>
              <w:instrText xml:space="preserve"> PAGEREF _Toc169542019 \h </w:instrText>
            </w:r>
            <w:r w:rsidR="00134105">
              <w:rPr>
                <w:noProof/>
                <w:webHidden/>
              </w:rPr>
            </w:r>
            <w:r w:rsidR="00134105">
              <w:rPr>
                <w:noProof/>
                <w:webHidden/>
              </w:rPr>
              <w:fldChar w:fldCharType="separate"/>
            </w:r>
            <w:r w:rsidR="00134105">
              <w:rPr>
                <w:noProof/>
                <w:webHidden/>
              </w:rPr>
              <w:t>15</w:t>
            </w:r>
            <w:r w:rsidR="00134105">
              <w:rPr>
                <w:noProof/>
                <w:webHidden/>
              </w:rPr>
              <w:fldChar w:fldCharType="end"/>
            </w:r>
          </w:hyperlink>
        </w:p>
        <w:p w14:paraId="715D8D1B"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0" w:history="1">
            <w:r w:rsidR="00134105" w:rsidRPr="004F13FD">
              <w:rPr>
                <w:rStyle w:val="Hyperlink"/>
                <w:noProof/>
              </w:rPr>
              <w:t>3.11 Follow-Up Procedures for Patients</w:t>
            </w:r>
            <w:r w:rsidR="00134105">
              <w:rPr>
                <w:noProof/>
                <w:webHidden/>
              </w:rPr>
              <w:tab/>
            </w:r>
            <w:r w:rsidR="00134105">
              <w:rPr>
                <w:noProof/>
                <w:webHidden/>
              </w:rPr>
              <w:fldChar w:fldCharType="begin"/>
            </w:r>
            <w:r w:rsidR="00134105">
              <w:rPr>
                <w:noProof/>
                <w:webHidden/>
              </w:rPr>
              <w:instrText xml:space="preserve"> PAGEREF _Toc169542020 \h </w:instrText>
            </w:r>
            <w:r w:rsidR="00134105">
              <w:rPr>
                <w:noProof/>
                <w:webHidden/>
              </w:rPr>
            </w:r>
            <w:r w:rsidR="00134105">
              <w:rPr>
                <w:noProof/>
                <w:webHidden/>
              </w:rPr>
              <w:fldChar w:fldCharType="separate"/>
            </w:r>
            <w:r w:rsidR="00134105">
              <w:rPr>
                <w:noProof/>
                <w:webHidden/>
              </w:rPr>
              <w:t>16</w:t>
            </w:r>
            <w:r w:rsidR="00134105">
              <w:rPr>
                <w:noProof/>
                <w:webHidden/>
              </w:rPr>
              <w:fldChar w:fldCharType="end"/>
            </w:r>
          </w:hyperlink>
        </w:p>
        <w:p w14:paraId="2CFB42C4"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1" w:history="1">
            <w:r w:rsidR="00134105" w:rsidRPr="004F13FD">
              <w:rPr>
                <w:rStyle w:val="Hyperlink"/>
                <w:noProof/>
              </w:rPr>
              <w:t>3.12 Withdrawal</w:t>
            </w:r>
            <w:r w:rsidR="00134105">
              <w:rPr>
                <w:noProof/>
                <w:webHidden/>
              </w:rPr>
              <w:tab/>
            </w:r>
            <w:r w:rsidR="00134105">
              <w:rPr>
                <w:noProof/>
                <w:webHidden/>
              </w:rPr>
              <w:fldChar w:fldCharType="begin"/>
            </w:r>
            <w:r w:rsidR="00134105">
              <w:rPr>
                <w:noProof/>
                <w:webHidden/>
              </w:rPr>
              <w:instrText xml:space="preserve"> PAGEREF _Toc169542021 \h </w:instrText>
            </w:r>
            <w:r w:rsidR="00134105">
              <w:rPr>
                <w:noProof/>
                <w:webHidden/>
              </w:rPr>
            </w:r>
            <w:r w:rsidR="00134105">
              <w:rPr>
                <w:noProof/>
                <w:webHidden/>
              </w:rPr>
              <w:fldChar w:fldCharType="separate"/>
            </w:r>
            <w:r w:rsidR="00134105">
              <w:rPr>
                <w:noProof/>
                <w:webHidden/>
              </w:rPr>
              <w:t>17</w:t>
            </w:r>
            <w:r w:rsidR="00134105">
              <w:rPr>
                <w:noProof/>
                <w:webHidden/>
              </w:rPr>
              <w:fldChar w:fldCharType="end"/>
            </w:r>
          </w:hyperlink>
        </w:p>
        <w:p w14:paraId="3E3D19B8"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2" w:history="1">
            <w:r w:rsidR="00134105" w:rsidRPr="004F13FD">
              <w:rPr>
                <w:rStyle w:val="Hyperlink"/>
                <w:noProof/>
              </w:rPr>
              <w:t>3.13 Use of Stored Samples</w:t>
            </w:r>
            <w:r w:rsidR="00134105">
              <w:rPr>
                <w:noProof/>
                <w:webHidden/>
              </w:rPr>
              <w:tab/>
            </w:r>
            <w:r w:rsidR="00134105">
              <w:rPr>
                <w:noProof/>
                <w:webHidden/>
              </w:rPr>
              <w:fldChar w:fldCharType="begin"/>
            </w:r>
            <w:r w:rsidR="00134105">
              <w:rPr>
                <w:noProof/>
                <w:webHidden/>
              </w:rPr>
              <w:instrText xml:space="preserve"> PAGEREF _Toc169542022 \h </w:instrText>
            </w:r>
            <w:r w:rsidR="00134105">
              <w:rPr>
                <w:noProof/>
                <w:webHidden/>
              </w:rPr>
            </w:r>
            <w:r w:rsidR="00134105">
              <w:rPr>
                <w:noProof/>
                <w:webHidden/>
              </w:rPr>
              <w:fldChar w:fldCharType="separate"/>
            </w:r>
            <w:r w:rsidR="00134105">
              <w:rPr>
                <w:noProof/>
                <w:webHidden/>
              </w:rPr>
              <w:t>17</w:t>
            </w:r>
            <w:r w:rsidR="00134105">
              <w:rPr>
                <w:noProof/>
                <w:webHidden/>
              </w:rPr>
              <w:fldChar w:fldCharType="end"/>
            </w:r>
          </w:hyperlink>
        </w:p>
        <w:p w14:paraId="49106A61"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3" w:history="1">
            <w:r w:rsidR="00134105" w:rsidRPr="004F13FD">
              <w:rPr>
                <w:rStyle w:val="Hyperlink"/>
                <w:noProof/>
              </w:rPr>
              <w:t>3.14 Future Use of Samples</w:t>
            </w:r>
            <w:r w:rsidR="00134105">
              <w:rPr>
                <w:noProof/>
                <w:webHidden/>
              </w:rPr>
              <w:tab/>
            </w:r>
            <w:r w:rsidR="00134105">
              <w:rPr>
                <w:noProof/>
                <w:webHidden/>
              </w:rPr>
              <w:fldChar w:fldCharType="begin"/>
            </w:r>
            <w:r w:rsidR="00134105">
              <w:rPr>
                <w:noProof/>
                <w:webHidden/>
              </w:rPr>
              <w:instrText xml:space="preserve"> PAGEREF _Toc169542023 \h </w:instrText>
            </w:r>
            <w:r w:rsidR="00134105">
              <w:rPr>
                <w:noProof/>
                <w:webHidden/>
              </w:rPr>
            </w:r>
            <w:r w:rsidR="00134105">
              <w:rPr>
                <w:noProof/>
                <w:webHidden/>
              </w:rPr>
              <w:fldChar w:fldCharType="separate"/>
            </w:r>
            <w:r w:rsidR="00134105">
              <w:rPr>
                <w:noProof/>
                <w:webHidden/>
              </w:rPr>
              <w:t>17</w:t>
            </w:r>
            <w:r w:rsidR="00134105">
              <w:rPr>
                <w:noProof/>
                <w:webHidden/>
              </w:rPr>
              <w:fldChar w:fldCharType="end"/>
            </w:r>
          </w:hyperlink>
        </w:p>
        <w:p w14:paraId="15CDF078"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2024" w:history="1">
            <w:r w:rsidR="00134105" w:rsidRPr="004F13FD">
              <w:rPr>
                <w:rStyle w:val="Hyperlink"/>
                <w:noProof/>
              </w:rPr>
              <w:t>4. Data Management</w:t>
            </w:r>
            <w:r w:rsidR="00134105">
              <w:rPr>
                <w:noProof/>
                <w:webHidden/>
              </w:rPr>
              <w:tab/>
            </w:r>
            <w:r w:rsidR="00134105">
              <w:rPr>
                <w:noProof/>
                <w:webHidden/>
              </w:rPr>
              <w:fldChar w:fldCharType="begin"/>
            </w:r>
            <w:r w:rsidR="00134105">
              <w:rPr>
                <w:noProof/>
                <w:webHidden/>
              </w:rPr>
              <w:instrText xml:space="preserve"> PAGEREF _Toc169542024 \h </w:instrText>
            </w:r>
            <w:r w:rsidR="00134105">
              <w:rPr>
                <w:noProof/>
                <w:webHidden/>
              </w:rPr>
            </w:r>
            <w:r w:rsidR="00134105">
              <w:rPr>
                <w:noProof/>
                <w:webHidden/>
              </w:rPr>
              <w:fldChar w:fldCharType="separate"/>
            </w:r>
            <w:r w:rsidR="00134105">
              <w:rPr>
                <w:noProof/>
                <w:webHidden/>
              </w:rPr>
              <w:t>18</w:t>
            </w:r>
            <w:r w:rsidR="00134105">
              <w:rPr>
                <w:noProof/>
                <w:webHidden/>
              </w:rPr>
              <w:fldChar w:fldCharType="end"/>
            </w:r>
          </w:hyperlink>
        </w:p>
        <w:p w14:paraId="188EEE48"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5" w:history="1">
            <w:r w:rsidR="00134105" w:rsidRPr="004F13FD">
              <w:rPr>
                <w:rStyle w:val="Hyperlink"/>
                <w:noProof/>
              </w:rPr>
              <w:t>4.1 Data Collection</w:t>
            </w:r>
            <w:r w:rsidR="00134105">
              <w:rPr>
                <w:noProof/>
                <w:webHidden/>
              </w:rPr>
              <w:tab/>
            </w:r>
            <w:r w:rsidR="00134105">
              <w:rPr>
                <w:noProof/>
                <w:webHidden/>
              </w:rPr>
              <w:fldChar w:fldCharType="begin"/>
            </w:r>
            <w:r w:rsidR="00134105">
              <w:rPr>
                <w:noProof/>
                <w:webHidden/>
              </w:rPr>
              <w:instrText xml:space="preserve"> PAGEREF _Toc169542025 \h </w:instrText>
            </w:r>
            <w:r w:rsidR="00134105">
              <w:rPr>
                <w:noProof/>
                <w:webHidden/>
              </w:rPr>
            </w:r>
            <w:r w:rsidR="00134105">
              <w:rPr>
                <w:noProof/>
                <w:webHidden/>
              </w:rPr>
              <w:fldChar w:fldCharType="separate"/>
            </w:r>
            <w:r w:rsidR="00134105">
              <w:rPr>
                <w:noProof/>
                <w:webHidden/>
              </w:rPr>
              <w:t>18</w:t>
            </w:r>
            <w:r w:rsidR="00134105">
              <w:rPr>
                <w:noProof/>
                <w:webHidden/>
              </w:rPr>
              <w:fldChar w:fldCharType="end"/>
            </w:r>
          </w:hyperlink>
        </w:p>
        <w:p w14:paraId="3E580CF5"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6" w:history="1">
            <w:r w:rsidR="00134105" w:rsidRPr="004F13FD">
              <w:rPr>
                <w:rStyle w:val="Hyperlink"/>
                <w:noProof/>
              </w:rPr>
              <w:t>4.2 Data Management</w:t>
            </w:r>
            <w:r w:rsidR="00134105">
              <w:rPr>
                <w:noProof/>
                <w:webHidden/>
              </w:rPr>
              <w:tab/>
            </w:r>
            <w:r w:rsidR="00134105">
              <w:rPr>
                <w:noProof/>
                <w:webHidden/>
              </w:rPr>
              <w:fldChar w:fldCharType="begin"/>
            </w:r>
            <w:r w:rsidR="00134105">
              <w:rPr>
                <w:noProof/>
                <w:webHidden/>
              </w:rPr>
              <w:instrText xml:space="preserve"> PAGEREF _Toc169542026 \h </w:instrText>
            </w:r>
            <w:r w:rsidR="00134105">
              <w:rPr>
                <w:noProof/>
                <w:webHidden/>
              </w:rPr>
            </w:r>
            <w:r w:rsidR="00134105">
              <w:rPr>
                <w:noProof/>
                <w:webHidden/>
              </w:rPr>
              <w:fldChar w:fldCharType="separate"/>
            </w:r>
            <w:r w:rsidR="00134105">
              <w:rPr>
                <w:noProof/>
                <w:webHidden/>
              </w:rPr>
              <w:t>18</w:t>
            </w:r>
            <w:r w:rsidR="00134105">
              <w:rPr>
                <w:noProof/>
                <w:webHidden/>
              </w:rPr>
              <w:fldChar w:fldCharType="end"/>
            </w:r>
          </w:hyperlink>
        </w:p>
        <w:p w14:paraId="52F5F3CF"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7" w:history="1">
            <w:r w:rsidR="00134105" w:rsidRPr="004F13FD">
              <w:rPr>
                <w:rStyle w:val="Hyperlink"/>
                <w:noProof/>
              </w:rPr>
              <w:t>4.3 Data Quality</w:t>
            </w:r>
            <w:r w:rsidR="00134105">
              <w:rPr>
                <w:noProof/>
                <w:webHidden/>
              </w:rPr>
              <w:tab/>
            </w:r>
            <w:r w:rsidR="00134105">
              <w:rPr>
                <w:noProof/>
                <w:webHidden/>
              </w:rPr>
              <w:fldChar w:fldCharType="begin"/>
            </w:r>
            <w:r w:rsidR="00134105">
              <w:rPr>
                <w:noProof/>
                <w:webHidden/>
              </w:rPr>
              <w:instrText xml:space="preserve"> PAGEREF _Toc169542027 \h </w:instrText>
            </w:r>
            <w:r w:rsidR="00134105">
              <w:rPr>
                <w:noProof/>
                <w:webHidden/>
              </w:rPr>
            </w:r>
            <w:r w:rsidR="00134105">
              <w:rPr>
                <w:noProof/>
                <w:webHidden/>
              </w:rPr>
              <w:fldChar w:fldCharType="separate"/>
            </w:r>
            <w:r w:rsidR="00134105">
              <w:rPr>
                <w:noProof/>
                <w:webHidden/>
              </w:rPr>
              <w:t>18</w:t>
            </w:r>
            <w:r w:rsidR="00134105">
              <w:rPr>
                <w:noProof/>
                <w:webHidden/>
              </w:rPr>
              <w:fldChar w:fldCharType="end"/>
            </w:r>
          </w:hyperlink>
        </w:p>
        <w:p w14:paraId="4097401D"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8" w:history="1">
            <w:r w:rsidR="00134105" w:rsidRPr="004F13FD">
              <w:rPr>
                <w:rStyle w:val="Hyperlink"/>
                <w:noProof/>
              </w:rPr>
              <w:t>4.4 Data Access and Data Sharing</w:t>
            </w:r>
            <w:r w:rsidR="00134105">
              <w:rPr>
                <w:noProof/>
                <w:webHidden/>
              </w:rPr>
              <w:tab/>
            </w:r>
            <w:r w:rsidR="00134105">
              <w:rPr>
                <w:noProof/>
                <w:webHidden/>
              </w:rPr>
              <w:fldChar w:fldCharType="begin"/>
            </w:r>
            <w:r w:rsidR="00134105">
              <w:rPr>
                <w:noProof/>
                <w:webHidden/>
              </w:rPr>
              <w:instrText xml:space="preserve"> PAGEREF _Toc169542028 \h </w:instrText>
            </w:r>
            <w:r w:rsidR="00134105">
              <w:rPr>
                <w:noProof/>
                <w:webHidden/>
              </w:rPr>
            </w:r>
            <w:r w:rsidR="00134105">
              <w:rPr>
                <w:noProof/>
                <w:webHidden/>
              </w:rPr>
              <w:fldChar w:fldCharType="separate"/>
            </w:r>
            <w:r w:rsidR="00134105">
              <w:rPr>
                <w:noProof/>
                <w:webHidden/>
              </w:rPr>
              <w:t>19</w:t>
            </w:r>
            <w:r w:rsidR="00134105">
              <w:rPr>
                <w:noProof/>
                <w:webHidden/>
              </w:rPr>
              <w:fldChar w:fldCharType="end"/>
            </w:r>
          </w:hyperlink>
        </w:p>
        <w:p w14:paraId="0583724E"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29" w:history="1">
            <w:r w:rsidR="00134105" w:rsidRPr="004F13FD">
              <w:rPr>
                <w:rStyle w:val="Hyperlink"/>
                <w:noProof/>
              </w:rPr>
              <w:t>4.5 Monitoring</w:t>
            </w:r>
            <w:r w:rsidR="00134105">
              <w:rPr>
                <w:noProof/>
                <w:webHidden/>
              </w:rPr>
              <w:tab/>
            </w:r>
            <w:r w:rsidR="00134105">
              <w:rPr>
                <w:noProof/>
                <w:webHidden/>
              </w:rPr>
              <w:fldChar w:fldCharType="begin"/>
            </w:r>
            <w:r w:rsidR="00134105">
              <w:rPr>
                <w:noProof/>
                <w:webHidden/>
              </w:rPr>
              <w:instrText xml:space="preserve"> PAGEREF _Toc169542029 \h </w:instrText>
            </w:r>
            <w:r w:rsidR="00134105">
              <w:rPr>
                <w:noProof/>
                <w:webHidden/>
              </w:rPr>
            </w:r>
            <w:r w:rsidR="00134105">
              <w:rPr>
                <w:noProof/>
                <w:webHidden/>
              </w:rPr>
              <w:fldChar w:fldCharType="separate"/>
            </w:r>
            <w:r w:rsidR="00134105">
              <w:rPr>
                <w:noProof/>
                <w:webHidden/>
              </w:rPr>
              <w:t>19</w:t>
            </w:r>
            <w:r w:rsidR="00134105">
              <w:rPr>
                <w:noProof/>
                <w:webHidden/>
              </w:rPr>
              <w:fldChar w:fldCharType="end"/>
            </w:r>
          </w:hyperlink>
        </w:p>
        <w:p w14:paraId="1EC4BEAE"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2030" w:history="1">
            <w:r w:rsidR="00134105" w:rsidRPr="004F13FD">
              <w:rPr>
                <w:rStyle w:val="Hyperlink"/>
                <w:noProof/>
              </w:rPr>
              <w:t>5. Ethical Considerations</w:t>
            </w:r>
            <w:r w:rsidR="00134105">
              <w:rPr>
                <w:noProof/>
                <w:webHidden/>
              </w:rPr>
              <w:tab/>
            </w:r>
            <w:r w:rsidR="00134105">
              <w:rPr>
                <w:noProof/>
                <w:webHidden/>
              </w:rPr>
              <w:fldChar w:fldCharType="begin"/>
            </w:r>
            <w:r w:rsidR="00134105">
              <w:rPr>
                <w:noProof/>
                <w:webHidden/>
              </w:rPr>
              <w:instrText xml:space="preserve"> PAGEREF _Toc169542030 \h </w:instrText>
            </w:r>
            <w:r w:rsidR="00134105">
              <w:rPr>
                <w:noProof/>
                <w:webHidden/>
              </w:rPr>
            </w:r>
            <w:r w:rsidR="00134105">
              <w:rPr>
                <w:noProof/>
                <w:webHidden/>
              </w:rPr>
              <w:fldChar w:fldCharType="separate"/>
            </w:r>
            <w:r w:rsidR="00134105">
              <w:rPr>
                <w:noProof/>
                <w:webHidden/>
              </w:rPr>
              <w:t>19</w:t>
            </w:r>
            <w:r w:rsidR="00134105">
              <w:rPr>
                <w:noProof/>
                <w:webHidden/>
              </w:rPr>
              <w:fldChar w:fldCharType="end"/>
            </w:r>
          </w:hyperlink>
        </w:p>
        <w:p w14:paraId="7CD3D05B"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31" w:history="1">
            <w:r w:rsidR="00134105" w:rsidRPr="004F13FD">
              <w:rPr>
                <w:rStyle w:val="Hyperlink"/>
                <w:noProof/>
              </w:rPr>
              <w:t>5.1 Regulations, Guidelines and Ethical Review</w:t>
            </w:r>
            <w:r w:rsidR="00134105">
              <w:rPr>
                <w:noProof/>
                <w:webHidden/>
              </w:rPr>
              <w:tab/>
            </w:r>
            <w:r w:rsidR="00134105">
              <w:rPr>
                <w:noProof/>
                <w:webHidden/>
              </w:rPr>
              <w:fldChar w:fldCharType="begin"/>
            </w:r>
            <w:r w:rsidR="00134105">
              <w:rPr>
                <w:noProof/>
                <w:webHidden/>
              </w:rPr>
              <w:instrText xml:space="preserve"> PAGEREF _Toc169542031 \h </w:instrText>
            </w:r>
            <w:r w:rsidR="00134105">
              <w:rPr>
                <w:noProof/>
                <w:webHidden/>
              </w:rPr>
            </w:r>
            <w:r w:rsidR="00134105">
              <w:rPr>
                <w:noProof/>
                <w:webHidden/>
              </w:rPr>
              <w:fldChar w:fldCharType="separate"/>
            </w:r>
            <w:r w:rsidR="00134105">
              <w:rPr>
                <w:noProof/>
                <w:webHidden/>
              </w:rPr>
              <w:t>20</w:t>
            </w:r>
            <w:r w:rsidR="00134105">
              <w:rPr>
                <w:noProof/>
                <w:webHidden/>
              </w:rPr>
              <w:fldChar w:fldCharType="end"/>
            </w:r>
          </w:hyperlink>
        </w:p>
        <w:p w14:paraId="64ED2745"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32" w:history="1">
            <w:r w:rsidR="00134105" w:rsidRPr="004F13FD">
              <w:rPr>
                <w:rStyle w:val="Hyperlink"/>
                <w:noProof/>
              </w:rPr>
              <w:t>5.2 Informed Consent</w:t>
            </w:r>
            <w:r w:rsidR="00134105">
              <w:rPr>
                <w:noProof/>
                <w:webHidden/>
              </w:rPr>
              <w:tab/>
            </w:r>
            <w:r w:rsidR="00134105">
              <w:rPr>
                <w:noProof/>
                <w:webHidden/>
              </w:rPr>
              <w:fldChar w:fldCharType="begin"/>
            </w:r>
            <w:r w:rsidR="00134105">
              <w:rPr>
                <w:noProof/>
                <w:webHidden/>
              </w:rPr>
              <w:instrText xml:space="preserve"> PAGEREF _Toc169542032 \h </w:instrText>
            </w:r>
            <w:r w:rsidR="00134105">
              <w:rPr>
                <w:noProof/>
                <w:webHidden/>
              </w:rPr>
            </w:r>
            <w:r w:rsidR="00134105">
              <w:rPr>
                <w:noProof/>
                <w:webHidden/>
              </w:rPr>
              <w:fldChar w:fldCharType="separate"/>
            </w:r>
            <w:r w:rsidR="00134105">
              <w:rPr>
                <w:noProof/>
                <w:webHidden/>
              </w:rPr>
              <w:t>20</w:t>
            </w:r>
            <w:r w:rsidR="00134105">
              <w:rPr>
                <w:noProof/>
                <w:webHidden/>
              </w:rPr>
              <w:fldChar w:fldCharType="end"/>
            </w:r>
          </w:hyperlink>
        </w:p>
        <w:p w14:paraId="790877C7"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33" w:history="1">
            <w:r w:rsidR="00134105" w:rsidRPr="004F13FD">
              <w:rPr>
                <w:rStyle w:val="Hyperlink"/>
                <w:noProof/>
              </w:rPr>
              <w:t>5.3 Alternatives to Participation and Withdrawal</w:t>
            </w:r>
            <w:r w:rsidR="00134105">
              <w:rPr>
                <w:noProof/>
                <w:webHidden/>
              </w:rPr>
              <w:tab/>
            </w:r>
            <w:r w:rsidR="00134105">
              <w:rPr>
                <w:noProof/>
                <w:webHidden/>
              </w:rPr>
              <w:fldChar w:fldCharType="begin"/>
            </w:r>
            <w:r w:rsidR="00134105">
              <w:rPr>
                <w:noProof/>
                <w:webHidden/>
              </w:rPr>
              <w:instrText xml:space="preserve"> PAGEREF _Toc169542033 \h </w:instrText>
            </w:r>
            <w:r w:rsidR="00134105">
              <w:rPr>
                <w:noProof/>
                <w:webHidden/>
              </w:rPr>
            </w:r>
            <w:r w:rsidR="00134105">
              <w:rPr>
                <w:noProof/>
                <w:webHidden/>
              </w:rPr>
              <w:fldChar w:fldCharType="separate"/>
            </w:r>
            <w:r w:rsidR="00134105">
              <w:rPr>
                <w:noProof/>
                <w:webHidden/>
              </w:rPr>
              <w:t>20</w:t>
            </w:r>
            <w:r w:rsidR="00134105">
              <w:rPr>
                <w:noProof/>
                <w:webHidden/>
              </w:rPr>
              <w:fldChar w:fldCharType="end"/>
            </w:r>
          </w:hyperlink>
        </w:p>
        <w:p w14:paraId="54E7F4D8"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34" w:history="1">
            <w:r w:rsidR="00134105" w:rsidRPr="004F13FD">
              <w:rPr>
                <w:rStyle w:val="Hyperlink"/>
                <w:noProof/>
              </w:rPr>
              <w:t>5.4 Risks to Participants</w:t>
            </w:r>
            <w:r w:rsidR="00134105">
              <w:rPr>
                <w:noProof/>
                <w:webHidden/>
              </w:rPr>
              <w:tab/>
            </w:r>
            <w:r w:rsidR="00134105">
              <w:rPr>
                <w:noProof/>
                <w:webHidden/>
              </w:rPr>
              <w:fldChar w:fldCharType="begin"/>
            </w:r>
            <w:r w:rsidR="00134105">
              <w:rPr>
                <w:noProof/>
                <w:webHidden/>
              </w:rPr>
              <w:instrText xml:space="preserve"> PAGEREF _Toc169542034 \h </w:instrText>
            </w:r>
            <w:r w:rsidR="00134105">
              <w:rPr>
                <w:noProof/>
                <w:webHidden/>
              </w:rPr>
            </w:r>
            <w:r w:rsidR="00134105">
              <w:rPr>
                <w:noProof/>
                <w:webHidden/>
              </w:rPr>
              <w:fldChar w:fldCharType="separate"/>
            </w:r>
            <w:r w:rsidR="00134105">
              <w:rPr>
                <w:noProof/>
                <w:webHidden/>
              </w:rPr>
              <w:t>21</w:t>
            </w:r>
            <w:r w:rsidR="00134105">
              <w:rPr>
                <w:noProof/>
                <w:webHidden/>
              </w:rPr>
              <w:fldChar w:fldCharType="end"/>
            </w:r>
          </w:hyperlink>
        </w:p>
        <w:p w14:paraId="61A8DD5B"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35" w:history="1">
            <w:r w:rsidR="00134105" w:rsidRPr="004F13FD">
              <w:rPr>
                <w:rStyle w:val="Hyperlink"/>
                <w:noProof/>
              </w:rPr>
              <w:t>5.4.1 Inconvenience</w:t>
            </w:r>
            <w:r w:rsidR="00134105">
              <w:rPr>
                <w:noProof/>
                <w:webHidden/>
              </w:rPr>
              <w:tab/>
            </w:r>
            <w:r w:rsidR="00134105">
              <w:rPr>
                <w:noProof/>
                <w:webHidden/>
              </w:rPr>
              <w:fldChar w:fldCharType="begin"/>
            </w:r>
            <w:r w:rsidR="00134105">
              <w:rPr>
                <w:noProof/>
                <w:webHidden/>
              </w:rPr>
              <w:instrText xml:space="preserve"> PAGEREF _Toc169542035 \h </w:instrText>
            </w:r>
            <w:r w:rsidR="00134105">
              <w:rPr>
                <w:noProof/>
                <w:webHidden/>
              </w:rPr>
            </w:r>
            <w:r w:rsidR="00134105">
              <w:rPr>
                <w:noProof/>
                <w:webHidden/>
              </w:rPr>
              <w:fldChar w:fldCharType="separate"/>
            </w:r>
            <w:r w:rsidR="00134105">
              <w:rPr>
                <w:noProof/>
                <w:webHidden/>
              </w:rPr>
              <w:t>21</w:t>
            </w:r>
            <w:r w:rsidR="00134105">
              <w:rPr>
                <w:noProof/>
                <w:webHidden/>
              </w:rPr>
              <w:fldChar w:fldCharType="end"/>
            </w:r>
          </w:hyperlink>
        </w:p>
        <w:p w14:paraId="2640D290"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36" w:history="1">
            <w:r w:rsidR="00134105" w:rsidRPr="004F13FD">
              <w:rPr>
                <w:rStyle w:val="Hyperlink"/>
                <w:noProof/>
              </w:rPr>
              <w:t>5.4.2 Phlebotomy</w:t>
            </w:r>
            <w:r w:rsidR="00134105">
              <w:rPr>
                <w:noProof/>
                <w:webHidden/>
              </w:rPr>
              <w:tab/>
            </w:r>
            <w:r w:rsidR="00134105">
              <w:rPr>
                <w:noProof/>
                <w:webHidden/>
              </w:rPr>
              <w:fldChar w:fldCharType="begin"/>
            </w:r>
            <w:r w:rsidR="00134105">
              <w:rPr>
                <w:noProof/>
                <w:webHidden/>
              </w:rPr>
              <w:instrText xml:space="preserve"> PAGEREF _Toc169542036 \h </w:instrText>
            </w:r>
            <w:r w:rsidR="00134105">
              <w:rPr>
                <w:noProof/>
                <w:webHidden/>
              </w:rPr>
            </w:r>
            <w:r w:rsidR="00134105">
              <w:rPr>
                <w:noProof/>
                <w:webHidden/>
              </w:rPr>
              <w:fldChar w:fldCharType="separate"/>
            </w:r>
            <w:r w:rsidR="00134105">
              <w:rPr>
                <w:noProof/>
                <w:webHidden/>
              </w:rPr>
              <w:t>21</w:t>
            </w:r>
            <w:r w:rsidR="00134105">
              <w:rPr>
                <w:noProof/>
                <w:webHidden/>
              </w:rPr>
              <w:fldChar w:fldCharType="end"/>
            </w:r>
          </w:hyperlink>
        </w:p>
        <w:p w14:paraId="1FDAA45F"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37" w:history="1">
            <w:r w:rsidR="00134105" w:rsidRPr="004F13FD">
              <w:rPr>
                <w:rStyle w:val="Hyperlink"/>
                <w:noProof/>
              </w:rPr>
              <w:t>5.4.3 Discomfort of respiratory swabs</w:t>
            </w:r>
            <w:r w:rsidR="00134105">
              <w:rPr>
                <w:noProof/>
                <w:webHidden/>
              </w:rPr>
              <w:tab/>
            </w:r>
            <w:r w:rsidR="00134105">
              <w:rPr>
                <w:noProof/>
                <w:webHidden/>
              </w:rPr>
              <w:fldChar w:fldCharType="begin"/>
            </w:r>
            <w:r w:rsidR="00134105">
              <w:rPr>
                <w:noProof/>
                <w:webHidden/>
              </w:rPr>
              <w:instrText xml:space="preserve"> PAGEREF _Toc169542037 \h </w:instrText>
            </w:r>
            <w:r w:rsidR="00134105">
              <w:rPr>
                <w:noProof/>
                <w:webHidden/>
              </w:rPr>
            </w:r>
            <w:r w:rsidR="00134105">
              <w:rPr>
                <w:noProof/>
                <w:webHidden/>
              </w:rPr>
              <w:fldChar w:fldCharType="separate"/>
            </w:r>
            <w:r w:rsidR="00134105">
              <w:rPr>
                <w:noProof/>
                <w:webHidden/>
              </w:rPr>
              <w:t>21</w:t>
            </w:r>
            <w:r w:rsidR="00134105">
              <w:rPr>
                <w:noProof/>
                <w:webHidden/>
              </w:rPr>
              <w:fldChar w:fldCharType="end"/>
            </w:r>
          </w:hyperlink>
        </w:p>
        <w:p w14:paraId="21E0A3FC"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38" w:history="1">
            <w:r w:rsidR="00134105" w:rsidRPr="004F13FD">
              <w:rPr>
                <w:rStyle w:val="Hyperlink"/>
                <w:noProof/>
              </w:rPr>
              <w:t>5.4.4 Discomfort of lumbar puncture</w:t>
            </w:r>
            <w:r w:rsidR="00134105">
              <w:rPr>
                <w:noProof/>
                <w:webHidden/>
              </w:rPr>
              <w:tab/>
            </w:r>
            <w:r w:rsidR="00134105">
              <w:rPr>
                <w:noProof/>
                <w:webHidden/>
              </w:rPr>
              <w:fldChar w:fldCharType="begin"/>
            </w:r>
            <w:r w:rsidR="00134105">
              <w:rPr>
                <w:noProof/>
                <w:webHidden/>
              </w:rPr>
              <w:instrText xml:space="preserve"> PAGEREF _Toc169542038 \h </w:instrText>
            </w:r>
            <w:r w:rsidR="00134105">
              <w:rPr>
                <w:noProof/>
                <w:webHidden/>
              </w:rPr>
            </w:r>
            <w:r w:rsidR="00134105">
              <w:rPr>
                <w:noProof/>
                <w:webHidden/>
              </w:rPr>
              <w:fldChar w:fldCharType="separate"/>
            </w:r>
            <w:r w:rsidR="00134105">
              <w:rPr>
                <w:noProof/>
                <w:webHidden/>
              </w:rPr>
              <w:t>21</w:t>
            </w:r>
            <w:r w:rsidR="00134105">
              <w:rPr>
                <w:noProof/>
                <w:webHidden/>
              </w:rPr>
              <w:fldChar w:fldCharType="end"/>
            </w:r>
          </w:hyperlink>
        </w:p>
        <w:p w14:paraId="41FFBB5C"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39" w:history="1">
            <w:r w:rsidR="00134105" w:rsidRPr="004F13FD">
              <w:rPr>
                <w:rStyle w:val="Hyperlink"/>
                <w:noProof/>
              </w:rPr>
              <w:t>5.4.5 Incidental findings in genetic testing</w:t>
            </w:r>
            <w:r w:rsidR="00134105">
              <w:rPr>
                <w:noProof/>
                <w:webHidden/>
              </w:rPr>
              <w:tab/>
            </w:r>
            <w:r w:rsidR="00134105">
              <w:rPr>
                <w:noProof/>
                <w:webHidden/>
              </w:rPr>
              <w:fldChar w:fldCharType="begin"/>
            </w:r>
            <w:r w:rsidR="00134105">
              <w:rPr>
                <w:noProof/>
                <w:webHidden/>
              </w:rPr>
              <w:instrText xml:space="preserve"> PAGEREF _Toc169542039 \h </w:instrText>
            </w:r>
            <w:r w:rsidR="00134105">
              <w:rPr>
                <w:noProof/>
                <w:webHidden/>
              </w:rPr>
            </w:r>
            <w:r w:rsidR="00134105">
              <w:rPr>
                <w:noProof/>
                <w:webHidden/>
              </w:rPr>
              <w:fldChar w:fldCharType="separate"/>
            </w:r>
            <w:r w:rsidR="00134105">
              <w:rPr>
                <w:noProof/>
                <w:webHidden/>
              </w:rPr>
              <w:t>21</w:t>
            </w:r>
            <w:r w:rsidR="00134105">
              <w:rPr>
                <w:noProof/>
                <w:webHidden/>
              </w:rPr>
              <w:fldChar w:fldCharType="end"/>
            </w:r>
          </w:hyperlink>
        </w:p>
        <w:p w14:paraId="0AC396D6" w14:textId="77777777" w:rsidR="00134105" w:rsidRDefault="00000000">
          <w:pPr>
            <w:pStyle w:val="TOC3"/>
            <w:tabs>
              <w:tab w:val="right" w:leader="dot" w:pos="9350"/>
            </w:tabs>
            <w:rPr>
              <w:rFonts w:eastAsiaTheme="minorEastAsia"/>
              <w:noProof/>
              <w:kern w:val="2"/>
              <w:lang w:val="en-GB" w:eastAsia="en-GB"/>
              <w14:ligatures w14:val="standardContextual"/>
            </w:rPr>
          </w:pPr>
          <w:hyperlink w:anchor="_Toc169542040" w:history="1">
            <w:r w:rsidR="00134105" w:rsidRPr="004F13FD">
              <w:rPr>
                <w:rStyle w:val="Hyperlink"/>
                <w:noProof/>
              </w:rPr>
              <w:t>5.4.6 Specific risks for VHF patients.</w:t>
            </w:r>
            <w:r w:rsidR="00134105">
              <w:rPr>
                <w:noProof/>
                <w:webHidden/>
              </w:rPr>
              <w:tab/>
            </w:r>
            <w:r w:rsidR="00134105">
              <w:rPr>
                <w:noProof/>
                <w:webHidden/>
              </w:rPr>
              <w:fldChar w:fldCharType="begin"/>
            </w:r>
            <w:r w:rsidR="00134105">
              <w:rPr>
                <w:noProof/>
                <w:webHidden/>
              </w:rPr>
              <w:instrText xml:space="preserve"> PAGEREF _Toc169542040 \h </w:instrText>
            </w:r>
            <w:r w:rsidR="00134105">
              <w:rPr>
                <w:noProof/>
                <w:webHidden/>
              </w:rPr>
            </w:r>
            <w:r w:rsidR="00134105">
              <w:rPr>
                <w:noProof/>
                <w:webHidden/>
              </w:rPr>
              <w:fldChar w:fldCharType="separate"/>
            </w:r>
            <w:r w:rsidR="00134105">
              <w:rPr>
                <w:noProof/>
                <w:webHidden/>
              </w:rPr>
              <w:t>21</w:t>
            </w:r>
            <w:r w:rsidR="00134105">
              <w:rPr>
                <w:noProof/>
                <w:webHidden/>
              </w:rPr>
              <w:fldChar w:fldCharType="end"/>
            </w:r>
          </w:hyperlink>
        </w:p>
        <w:p w14:paraId="0C7E3E20"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41" w:history="1">
            <w:r w:rsidR="00134105" w:rsidRPr="004F13FD">
              <w:rPr>
                <w:rStyle w:val="Hyperlink"/>
                <w:noProof/>
              </w:rPr>
              <w:t>5.5 Benefits to Participants</w:t>
            </w:r>
            <w:r w:rsidR="00134105">
              <w:rPr>
                <w:noProof/>
                <w:webHidden/>
              </w:rPr>
              <w:tab/>
            </w:r>
            <w:r w:rsidR="00134105">
              <w:rPr>
                <w:noProof/>
                <w:webHidden/>
              </w:rPr>
              <w:fldChar w:fldCharType="begin"/>
            </w:r>
            <w:r w:rsidR="00134105">
              <w:rPr>
                <w:noProof/>
                <w:webHidden/>
              </w:rPr>
              <w:instrText xml:space="preserve"> PAGEREF _Toc169542041 \h </w:instrText>
            </w:r>
            <w:r w:rsidR="00134105">
              <w:rPr>
                <w:noProof/>
                <w:webHidden/>
              </w:rPr>
            </w:r>
            <w:r w:rsidR="00134105">
              <w:rPr>
                <w:noProof/>
                <w:webHidden/>
              </w:rPr>
              <w:fldChar w:fldCharType="separate"/>
            </w:r>
            <w:r w:rsidR="00134105">
              <w:rPr>
                <w:noProof/>
                <w:webHidden/>
              </w:rPr>
              <w:t>22</w:t>
            </w:r>
            <w:r w:rsidR="00134105">
              <w:rPr>
                <w:noProof/>
                <w:webHidden/>
              </w:rPr>
              <w:fldChar w:fldCharType="end"/>
            </w:r>
          </w:hyperlink>
        </w:p>
        <w:p w14:paraId="622215CF"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42" w:history="1">
            <w:r w:rsidR="00134105" w:rsidRPr="004F13FD">
              <w:rPr>
                <w:rStyle w:val="Hyperlink"/>
                <w:noProof/>
              </w:rPr>
              <w:t>5.6 Participation in Other Research Studies / Co-enrolment</w:t>
            </w:r>
            <w:r w:rsidR="00134105">
              <w:rPr>
                <w:noProof/>
                <w:webHidden/>
              </w:rPr>
              <w:tab/>
            </w:r>
            <w:r w:rsidR="00134105">
              <w:rPr>
                <w:noProof/>
                <w:webHidden/>
              </w:rPr>
              <w:fldChar w:fldCharType="begin"/>
            </w:r>
            <w:r w:rsidR="00134105">
              <w:rPr>
                <w:noProof/>
                <w:webHidden/>
              </w:rPr>
              <w:instrText xml:space="preserve"> PAGEREF _Toc169542042 \h </w:instrText>
            </w:r>
            <w:r w:rsidR="00134105">
              <w:rPr>
                <w:noProof/>
                <w:webHidden/>
              </w:rPr>
            </w:r>
            <w:r w:rsidR="00134105">
              <w:rPr>
                <w:noProof/>
                <w:webHidden/>
              </w:rPr>
              <w:fldChar w:fldCharType="separate"/>
            </w:r>
            <w:r w:rsidR="00134105">
              <w:rPr>
                <w:noProof/>
                <w:webHidden/>
              </w:rPr>
              <w:t>22</w:t>
            </w:r>
            <w:r w:rsidR="00134105">
              <w:rPr>
                <w:noProof/>
                <w:webHidden/>
              </w:rPr>
              <w:fldChar w:fldCharType="end"/>
            </w:r>
          </w:hyperlink>
        </w:p>
        <w:p w14:paraId="50AB8B47"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43" w:history="1">
            <w:r w:rsidR="00134105" w:rsidRPr="004F13FD">
              <w:rPr>
                <w:rStyle w:val="Hyperlink"/>
                <w:noProof/>
              </w:rPr>
              <w:t>5.7 Confidentiality</w:t>
            </w:r>
            <w:r w:rsidR="00134105">
              <w:rPr>
                <w:noProof/>
                <w:webHidden/>
              </w:rPr>
              <w:tab/>
            </w:r>
            <w:r w:rsidR="00134105">
              <w:rPr>
                <w:noProof/>
                <w:webHidden/>
              </w:rPr>
              <w:fldChar w:fldCharType="begin"/>
            </w:r>
            <w:r w:rsidR="00134105">
              <w:rPr>
                <w:noProof/>
                <w:webHidden/>
              </w:rPr>
              <w:instrText xml:space="preserve"> PAGEREF _Toc169542043 \h </w:instrText>
            </w:r>
            <w:r w:rsidR="00134105">
              <w:rPr>
                <w:noProof/>
                <w:webHidden/>
              </w:rPr>
            </w:r>
            <w:r w:rsidR="00134105">
              <w:rPr>
                <w:noProof/>
                <w:webHidden/>
              </w:rPr>
              <w:fldChar w:fldCharType="separate"/>
            </w:r>
            <w:r w:rsidR="00134105">
              <w:rPr>
                <w:noProof/>
                <w:webHidden/>
              </w:rPr>
              <w:t>22</w:t>
            </w:r>
            <w:r w:rsidR="00134105">
              <w:rPr>
                <w:noProof/>
                <w:webHidden/>
              </w:rPr>
              <w:fldChar w:fldCharType="end"/>
            </w:r>
          </w:hyperlink>
        </w:p>
        <w:p w14:paraId="600AFDE7"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44" w:history="1">
            <w:r w:rsidR="00134105" w:rsidRPr="004F13FD">
              <w:rPr>
                <w:rStyle w:val="Hyperlink"/>
                <w:noProof/>
              </w:rPr>
              <w:t>5.8 Custody of Data and Samples</w:t>
            </w:r>
            <w:r w:rsidR="00134105">
              <w:rPr>
                <w:noProof/>
                <w:webHidden/>
              </w:rPr>
              <w:tab/>
            </w:r>
            <w:r w:rsidR="00134105">
              <w:rPr>
                <w:noProof/>
                <w:webHidden/>
              </w:rPr>
              <w:fldChar w:fldCharType="begin"/>
            </w:r>
            <w:r w:rsidR="00134105">
              <w:rPr>
                <w:noProof/>
                <w:webHidden/>
              </w:rPr>
              <w:instrText xml:space="preserve"> PAGEREF _Toc169542044 \h </w:instrText>
            </w:r>
            <w:r w:rsidR="00134105">
              <w:rPr>
                <w:noProof/>
                <w:webHidden/>
              </w:rPr>
            </w:r>
            <w:r w:rsidR="00134105">
              <w:rPr>
                <w:noProof/>
                <w:webHidden/>
              </w:rPr>
              <w:fldChar w:fldCharType="separate"/>
            </w:r>
            <w:r w:rsidR="00134105">
              <w:rPr>
                <w:noProof/>
                <w:webHidden/>
              </w:rPr>
              <w:t>22</w:t>
            </w:r>
            <w:r w:rsidR="00134105">
              <w:rPr>
                <w:noProof/>
                <w:webHidden/>
              </w:rPr>
              <w:fldChar w:fldCharType="end"/>
            </w:r>
          </w:hyperlink>
        </w:p>
        <w:p w14:paraId="20BB8254"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45" w:history="1">
            <w:r w:rsidR="00134105" w:rsidRPr="004F13FD">
              <w:rPr>
                <w:rStyle w:val="Hyperlink"/>
                <w:noProof/>
              </w:rPr>
              <w:t>5.9 Additional Ethical Considerations</w:t>
            </w:r>
            <w:r w:rsidR="00134105">
              <w:rPr>
                <w:noProof/>
                <w:webHidden/>
              </w:rPr>
              <w:tab/>
            </w:r>
            <w:r w:rsidR="00134105">
              <w:rPr>
                <w:noProof/>
                <w:webHidden/>
              </w:rPr>
              <w:fldChar w:fldCharType="begin"/>
            </w:r>
            <w:r w:rsidR="00134105">
              <w:rPr>
                <w:noProof/>
                <w:webHidden/>
              </w:rPr>
              <w:instrText xml:space="preserve"> PAGEREF _Toc169542045 \h </w:instrText>
            </w:r>
            <w:r w:rsidR="00134105">
              <w:rPr>
                <w:noProof/>
                <w:webHidden/>
              </w:rPr>
            </w:r>
            <w:r w:rsidR="00134105">
              <w:rPr>
                <w:noProof/>
                <w:webHidden/>
              </w:rPr>
              <w:fldChar w:fldCharType="separate"/>
            </w:r>
            <w:r w:rsidR="00134105">
              <w:rPr>
                <w:noProof/>
                <w:webHidden/>
              </w:rPr>
              <w:t>23</w:t>
            </w:r>
            <w:r w:rsidR="00134105">
              <w:rPr>
                <w:noProof/>
                <w:webHidden/>
              </w:rPr>
              <w:fldChar w:fldCharType="end"/>
            </w:r>
          </w:hyperlink>
        </w:p>
        <w:p w14:paraId="54838A36" w14:textId="77777777" w:rsidR="00134105" w:rsidRDefault="00000000">
          <w:pPr>
            <w:pStyle w:val="TOC2"/>
            <w:tabs>
              <w:tab w:val="right" w:leader="dot" w:pos="9350"/>
            </w:tabs>
            <w:rPr>
              <w:rFonts w:eastAsiaTheme="minorEastAsia"/>
              <w:noProof/>
              <w:kern w:val="2"/>
              <w:lang w:val="en-GB" w:eastAsia="en-GB"/>
              <w14:ligatures w14:val="standardContextual"/>
            </w:rPr>
          </w:pPr>
          <w:hyperlink w:anchor="_Toc169542046" w:history="1">
            <w:r w:rsidR="00134105" w:rsidRPr="004F13FD">
              <w:rPr>
                <w:rStyle w:val="Hyperlink"/>
                <w:noProof/>
              </w:rPr>
              <w:t>5.10 Scientific and Peer Review</w:t>
            </w:r>
            <w:r w:rsidR="00134105">
              <w:rPr>
                <w:noProof/>
                <w:webHidden/>
              </w:rPr>
              <w:tab/>
            </w:r>
            <w:r w:rsidR="00134105">
              <w:rPr>
                <w:noProof/>
                <w:webHidden/>
              </w:rPr>
              <w:fldChar w:fldCharType="begin"/>
            </w:r>
            <w:r w:rsidR="00134105">
              <w:rPr>
                <w:noProof/>
                <w:webHidden/>
              </w:rPr>
              <w:instrText xml:space="preserve"> PAGEREF _Toc169542046 \h </w:instrText>
            </w:r>
            <w:r w:rsidR="00134105">
              <w:rPr>
                <w:noProof/>
                <w:webHidden/>
              </w:rPr>
            </w:r>
            <w:r w:rsidR="00134105">
              <w:rPr>
                <w:noProof/>
                <w:webHidden/>
              </w:rPr>
              <w:fldChar w:fldCharType="separate"/>
            </w:r>
            <w:r w:rsidR="00134105">
              <w:rPr>
                <w:noProof/>
                <w:webHidden/>
              </w:rPr>
              <w:t>23</w:t>
            </w:r>
            <w:r w:rsidR="00134105">
              <w:rPr>
                <w:noProof/>
                <w:webHidden/>
              </w:rPr>
              <w:fldChar w:fldCharType="end"/>
            </w:r>
          </w:hyperlink>
        </w:p>
        <w:p w14:paraId="555A0E36"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2047" w:history="1">
            <w:r w:rsidR="00134105" w:rsidRPr="004F13FD">
              <w:rPr>
                <w:rStyle w:val="Hyperlink"/>
                <w:noProof/>
              </w:rPr>
              <w:t>Appendix 1: Version history and contributors</w:t>
            </w:r>
            <w:r w:rsidR="00134105">
              <w:rPr>
                <w:noProof/>
                <w:webHidden/>
              </w:rPr>
              <w:tab/>
            </w:r>
            <w:r w:rsidR="00134105">
              <w:rPr>
                <w:noProof/>
                <w:webHidden/>
              </w:rPr>
              <w:fldChar w:fldCharType="begin"/>
            </w:r>
            <w:r w:rsidR="00134105">
              <w:rPr>
                <w:noProof/>
                <w:webHidden/>
              </w:rPr>
              <w:instrText xml:space="preserve"> PAGEREF _Toc169542047 \h </w:instrText>
            </w:r>
            <w:r w:rsidR="00134105">
              <w:rPr>
                <w:noProof/>
                <w:webHidden/>
              </w:rPr>
            </w:r>
            <w:r w:rsidR="00134105">
              <w:rPr>
                <w:noProof/>
                <w:webHidden/>
              </w:rPr>
              <w:fldChar w:fldCharType="separate"/>
            </w:r>
            <w:r w:rsidR="00134105">
              <w:rPr>
                <w:noProof/>
                <w:webHidden/>
              </w:rPr>
              <w:t>24</w:t>
            </w:r>
            <w:r w:rsidR="00134105">
              <w:rPr>
                <w:noProof/>
                <w:webHidden/>
              </w:rPr>
              <w:fldChar w:fldCharType="end"/>
            </w:r>
          </w:hyperlink>
        </w:p>
        <w:p w14:paraId="7AE00A3A"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2048" w:history="1">
            <w:r w:rsidR="00134105" w:rsidRPr="004F13FD">
              <w:rPr>
                <w:rStyle w:val="Hyperlink"/>
                <w:noProof/>
              </w:rPr>
              <w:t>Appendix 2: Full biological sampling processing table</w:t>
            </w:r>
            <w:r w:rsidR="00134105">
              <w:rPr>
                <w:noProof/>
                <w:webHidden/>
              </w:rPr>
              <w:tab/>
            </w:r>
            <w:r w:rsidR="00134105">
              <w:rPr>
                <w:noProof/>
                <w:webHidden/>
              </w:rPr>
              <w:fldChar w:fldCharType="begin"/>
            </w:r>
            <w:r w:rsidR="00134105">
              <w:rPr>
                <w:noProof/>
                <w:webHidden/>
              </w:rPr>
              <w:instrText xml:space="preserve"> PAGEREF _Toc169542048 \h </w:instrText>
            </w:r>
            <w:r w:rsidR="00134105">
              <w:rPr>
                <w:noProof/>
                <w:webHidden/>
              </w:rPr>
            </w:r>
            <w:r w:rsidR="00134105">
              <w:rPr>
                <w:noProof/>
                <w:webHidden/>
              </w:rPr>
              <w:fldChar w:fldCharType="separate"/>
            </w:r>
            <w:r w:rsidR="00134105">
              <w:rPr>
                <w:noProof/>
                <w:webHidden/>
              </w:rPr>
              <w:t>24</w:t>
            </w:r>
            <w:r w:rsidR="00134105">
              <w:rPr>
                <w:noProof/>
                <w:webHidden/>
              </w:rPr>
              <w:fldChar w:fldCharType="end"/>
            </w:r>
          </w:hyperlink>
        </w:p>
        <w:p w14:paraId="7FF54063"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2049" w:history="1">
            <w:r w:rsidR="00134105" w:rsidRPr="004F13FD">
              <w:rPr>
                <w:rStyle w:val="Hyperlink"/>
                <w:noProof/>
              </w:rPr>
              <w:t>Appendix 5: Procedure for additional sampling for pharmacokinetic/ pharmacodynamics studies.</w:t>
            </w:r>
            <w:r w:rsidR="00134105">
              <w:rPr>
                <w:noProof/>
                <w:webHidden/>
              </w:rPr>
              <w:tab/>
            </w:r>
            <w:r w:rsidR="00134105">
              <w:rPr>
                <w:noProof/>
                <w:webHidden/>
              </w:rPr>
              <w:fldChar w:fldCharType="begin"/>
            </w:r>
            <w:r w:rsidR="00134105">
              <w:rPr>
                <w:noProof/>
                <w:webHidden/>
              </w:rPr>
              <w:instrText xml:space="preserve"> PAGEREF _Toc169542049 \h </w:instrText>
            </w:r>
            <w:r w:rsidR="00134105">
              <w:rPr>
                <w:noProof/>
                <w:webHidden/>
              </w:rPr>
            </w:r>
            <w:r w:rsidR="00134105">
              <w:rPr>
                <w:noProof/>
                <w:webHidden/>
              </w:rPr>
              <w:fldChar w:fldCharType="separate"/>
            </w:r>
            <w:r w:rsidR="00134105">
              <w:rPr>
                <w:noProof/>
                <w:webHidden/>
              </w:rPr>
              <w:t>26</w:t>
            </w:r>
            <w:r w:rsidR="00134105">
              <w:rPr>
                <w:noProof/>
                <w:webHidden/>
              </w:rPr>
              <w:fldChar w:fldCharType="end"/>
            </w:r>
          </w:hyperlink>
        </w:p>
        <w:p w14:paraId="7EB416C3" w14:textId="77777777" w:rsidR="00134105" w:rsidRDefault="00000000">
          <w:pPr>
            <w:pStyle w:val="TOC1"/>
            <w:tabs>
              <w:tab w:val="right" w:leader="dot" w:pos="9350"/>
            </w:tabs>
            <w:rPr>
              <w:rFonts w:eastAsiaTheme="minorEastAsia"/>
              <w:noProof/>
              <w:kern w:val="2"/>
              <w:lang w:val="en-GB" w:eastAsia="en-GB"/>
              <w14:ligatures w14:val="standardContextual"/>
            </w:rPr>
          </w:pPr>
          <w:hyperlink w:anchor="_Toc169542050" w:history="1">
            <w:r w:rsidR="00134105" w:rsidRPr="004F13FD">
              <w:rPr>
                <w:rStyle w:val="Hyperlink"/>
                <w:noProof/>
              </w:rPr>
              <w:t>References</w:t>
            </w:r>
            <w:r w:rsidR="00134105">
              <w:rPr>
                <w:noProof/>
                <w:webHidden/>
              </w:rPr>
              <w:tab/>
            </w:r>
            <w:r w:rsidR="00134105">
              <w:rPr>
                <w:noProof/>
                <w:webHidden/>
              </w:rPr>
              <w:fldChar w:fldCharType="begin"/>
            </w:r>
            <w:r w:rsidR="00134105">
              <w:rPr>
                <w:noProof/>
                <w:webHidden/>
              </w:rPr>
              <w:instrText xml:space="preserve"> PAGEREF _Toc169542050 \h </w:instrText>
            </w:r>
            <w:r w:rsidR="00134105">
              <w:rPr>
                <w:noProof/>
                <w:webHidden/>
              </w:rPr>
            </w:r>
            <w:r w:rsidR="00134105">
              <w:rPr>
                <w:noProof/>
                <w:webHidden/>
              </w:rPr>
              <w:fldChar w:fldCharType="separate"/>
            </w:r>
            <w:r w:rsidR="00134105">
              <w:rPr>
                <w:noProof/>
                <w:webHidden/>
              </w:rPr>
              <w:t>26</w:t>
            </w:r>
            <w:r w:rsidR="00134105">
              <w:rPr>
                <w:noProof/>
                <w:webHidden/>
              </w:rPr>
              <w:fldChar w:fldCharType="end"/>
            </w:r>
          </w:hyperlink>
        </w:p>
        <w:p w14:paraId="5DDA4055" w14:textId="77777777" w:rsidR="001537F8" w:rsidRDefault="00000000">
          <w:r>
            <w:fldChar w:fldCharType="end"/>
          </w:r>
        </w:p>
      </w:sdtContent>
    </w:sdt>
    <w:p w14:paraId="18E2E2B6" w14:textId="77777777" w:rsidR="001537F8" w:rsidRDefault="00000000">
      <w:pPr>
        <w:pStyle w:val="Heading1"/>
      </w:pPr>
      <w:bookmarkStart w:id="0" w:name="_Toc169541983"/>
      <w:bookmarkStart w:id="1" w:name="background"/>
      <w:r>
        <w:t>1. Background</w:t>
      </w:r>
      <w:bookmarkEnd w:id="0"/>
    </w:p>
    <w:p w14:paraId="53200DD3" w14:textId="77777777" w:rsidR="001537F8" w:rsidRDefault="00000000">
      <w:pPr>
        <w:pStyle w:val="Heading2"/>
      </w:pPr>
      <w:bookmarkStart w:id="2" w:name="_Toc169541984"/>
      <w:bookmarkStart w:id="3" w:name="purpose-of-the-study"/>
      <w:r>
        <w:t>1.1 Purpose of the Study</w:t>
      </w:r>
      <w:bookmarkEnd w:id="2"/>
    </w:p>
    <w:p w14:paraId="0FBF29DA" w14:textId="77777777" w:rsidR="001537F8" w:rsidRDefault="00000000">
      <w:pPr>
        <w:pStyle w:val="FirstParagraph"/>
      </w:pPr>
      <w:r>
        <w:t>This protocol exists to make it as easy as possible for researchers and clinicians to prepare for future outbreaks and novel threats. By establishing necessary approvals, data and sampling infrastructure in advance of an outbreak, we can be ready to understand any new disease as quickly as possible. The CCP is the product of a global consensus and is intended to support public health responses by enabling rapid, coordinated data collection, and to obtain consent from patients for research investigations that would not otherwise be possible.</w:t>
      </w:r>
    </w:p>
    <w:p w14:paraId="33B54DA3" w14:textId="77777777" w:rsidR="001537F8" w:rsidRDefault="00000000">
      <w:pPr>
        <w:pStyle w:val="BodyText"/>
      </w:pPr>
      <w:r>
        <w:t xml:space="preserve">The CCP is a </w:t>
      </w:r>
      <w:proofErr w:type="spellStart"/>
      <w:r>
        <w:t>standardised</w:t>
      </w:r>
      <w:proofErr w:type="spellEnd"/>
      <w:r>
        <w:t xml:space="preserve"> protocol for the rapid, coordinated clinical investigation of severe or potentially severe illness caused by acute infections by emerging or high-consequence pathogens or other noxious exposures (e.g. chemicals, toxins or potentially harmful energy sources) of public health interest.</w:t>
      </w:r>
    </w:p>
    <w:p w14:paraId="4D703DF5" w14:textId="77777777" w:rsidR="001537F8" w:rsidRDefault="00000000">
      <w:pPr>
        <w:pStyle w:val="BodyText"/>
      </w:pPr>
      <w:r>
        <w:t>Patients with acute illness suspected to be caused by emerging and unknown pathogens or exposures are eligible for inclusion. The extent of research activity can be adapted to local capacity and the scientific and clinical need. This is reflected in the use of modular case report forms and sampling schedules. Data can be provided in real-time or entered retrospectively.</w:t>
      </w:r>
    </w:p>
    <w:p w14:paraId="6605AE60" w14:textId="77777777" w:rsidR="001537F8" w:rsidRDefault="00000000">
      <w:pPr>
        <w:pStyle w:val="Heading2"/>
      </w:pPr>
      <w:bookmarkStart w:id="4" w:name="_Toc169541985"/>
      <w:bookmarkStart w:id="5" w:name="principles"/>
      <w:bookmarkEnd w:id="3"/>
      <w:r>
        <w:t>1.2 Principles</w:t>
      </w:r>
      <w:bookmarkEnd w:id="4"/>
    </w:p>
    <w:p w14:paraId="02FF98EE" w14:textId="77777777" w:rsidR="001537F8" w:rsidRDefault="00000000">
      <w:pPr>
        <w:pStyle w:val="Compact"/>
        <w:numPr>
          <w:ilvl w:val="0"/>
          <w:numId w:val="2"/>
        </w:numPr>
      </w:pPr>
      <w:r>
        <w:rPr>
          <w:b/>
          <w:bCs/>
        </w:rPr>
        <w:t>Governance</w:t>
      </w:r>
      <w:r>
        <w:t>. Investigators retain control and decision-making over the data and samples they collect and share.</w:t>
      </w:r>
    </w:p>
    <w:p w14:paraId="229AA633" w14:textId="77777777" w:rsidR="001537F8" w:rsidRDefault="00000000">
      <w:pPr>
        <w:pStyle w:val="Compact"/>
        <w:numPr>
          <w:ilvl w:val="0"/>
          <w:numId w:val="2"/>
        </w:numPr>
      </w:pPr>
      <w:r>
        <w:rPr>
          <w:b/>
          <w:bCs/>
        </w:rPr>
        <w:t>Consensus</w:t>
      </w:r>
      <w:r>
        <w:t>. The CCP is the product of a broad consensus. The core philosophy has changed very little from the original version in 2012, which was approved by the WHO global ethics committee.</w:t>
      </w:r>
    </w:p>
    <w:p w14:paraId="21E6ADCD" w14:textId="77777777" w:rsidR="001537F8" w:rsidRDefault="00000000">
      <w:pPr>
        <w:pStyle w:val="Compact"/>
        <w:numPr>
          <w:ilvl w:val="0"/>
          <w:numId w:val="2"/>
        </w:numPr>
      </w:pPr>
      <w:r>
        <w:rPr>
          <w:b/>
          <w:bCs/>
        </w:rPr>
        <w:t>Preparedness</w:t>
      </w:r>
      <w:r>
        <w:t>. is deterministic for success. Establishing approved procedures in advance should always take priority.</w:t>
      </w:r>
    </w:p>
    <w:p w14:paraId="29A64F97" w14:textId="77777777" w:rsidR="001537F8" w:rsidRDefault="00000000">
      <w:pPr>
        <w:pStyle w:val="Compact"/>
        <w:numPr>
          <w:ilvl w:val="0"/>
          <w:numId w:val="2"/>
        </w:numPr>
      </w:pPr>
      <w:r>
        <w:rPr>
          <w:b/>
          <w:bCs/>
        </w:rPr>
        <w:t>Adaptability</w:t>
      </w:r>
      <w:r>
        <w:t>. The protocol can be adapted to requirements and resources as needed; retaining the ability to adapt ensures readiness for future outbreaks.</w:t>
      </w:r>
    </w:p>
    <w:p w14:paraId="6C481D95" w14:textId="77777777" w:rsidR="001537F8" w:rsidRDefault="00000000">
      <w:pPr>
        <w:pStyle w:val="Compact"/>
        <w:numPr>
          <w:ilvl w:val="0"/>
          <w:numId w:val="2"/>
        </w:numPr>
      </w:pPr>
      <w:proofErr w:type="spellStart"/>
      <w:r>
        <w:rPr>
          <w:b/>
          <w:bCs/>
        </w:rPr>
        <w:t>Harmonisation</w:t>
      </w:r>
      <w:proofErr w:type="spellEnd"/>
      <w:r>
        <w:t xml:space="preserve">. International </w:t>
      </w:r>
      <w:proofErr w:type="spellStart"/>
      <w:r>
        <w:t>harmonisation</w:t>
      </w:r>
      <w:proofErr w:type="spellEnd"/>
      <w:r>
        <w:t xml:space="preserve"> is an additional </w:t>
      </w:r>
      <w:proofErr w:type="gramStart"/>
      <w:r>
        <w:t>benefit, and</w:t>
      </w:r>
      <w:proofErr w:type="gramEnd"/>
      <w:r>
        <w:t xml:space="preserve"> can facilitate important collaborative analyses across borders.</w:t>
      </w:r>
    </w:p>
    <w:p w14:paraId="25A3D325" w14:textId="77777777" w:rsidR="001537F8" w:rsidRDefault="00000000">
      <w:pPr>
        <w:pStyle w:val="Heading2"/>
      </w:pPr>
      <w:bookmarkStart w:id="6" w:name="_Toc169541986"/>
      <w:bookmarkStart w:id="7" w:name="prior-uses"/>
      <w:bookmarkEnd w:id="5"/>
      <w:r>
        <w:lastRenderedPageBreak/>
        <w:t>1.3 Prior Uses</w:t>
      </w:r>
      <w:bookmarkEnd w:id="6"/>
    </w:p>
    <w:p w14:paraId="18E7E937" w14:textId="77777777" w:rsidR="001537F8" w:rsidRDefault="00000000">
      <w:pPr>
        <w:pStyle w:val="FirstParagraph"/>
      </w:pPr>
      <w:r>
        <w:t>The CCP has been in use around the world since the first version was released in 2014.</w:t>
      </w:r>
      <w:hyperlink w:anchor="ref-dunningopensourceclinical2014a">
        <w:r>
          <w:rPr>
            <w:rStyle w:val="Hyperlink"/>
            <w:vertAlign w:val="superscript"/>
          </w:rPr>
          <w:t>1</w:t>
        </w:r>
      </w:hyperlink>
      <w:r>
        <w:t xml:space="preserve"> It was used for the first clinical </w:t>
      </w:r>
      <w:proofErr w:type="spellStart"/>
      <w:r>
        <w:t>characterisation</w:t>
      </w:r>
      <w:proofErr w:type="spellEnd"/>
      <w:r>
        <w:t xml:space="preserve"> of novel coronavirus in Wuhan in 2020.</w:t>
      </w:r>
      <w:hyperlink w:anchor="ref-huangclinicalfeaturespatients2020">
        <w:r>
          <w:rPr>
            <w:rStyle w:val="Hyperlink"/>
            <w:vertAlign w:val="superscript"/>
          </w:rPr>
          <w:t>2</w:t>
        </w:r>
      </w:hyperlink>
      <w:r>
        <w:t xml:space="preserve"> In collaboration with its sister study, </w:t>
      </w:r>
      <w:hyperlink r:id="rId10">
        <w:r>
          <w:rPr>
            <w:rStyle w:val="Hyperlink"/>
          </w:rPr>
          <w:t>GenOMICC</w:t>
        </w:r>
      </w:hyperlink>
      <w:r>
        <w:t xml:space="preserve">, the CCP was used in 2020 to discover a genetic variant (in </w:t>
      </w:r>
      <w:r>
        <w:rPr>
          <w:i/>
          <w:iCs/>
        </w:rPr>
        <w:t>TYK2</w:t>
      </w:r>
      <w:r>
        <w:t>)</w:t>
      </w:r>
      <w:hyperlink w:anchor="X57c660a9117d66b44939636f9e2d629f2ddb828">
        <w:r>
          <w:rPr>
            <w:rStyle w:val="Hyperlink"/>
            <w:vertAlign w:val="superscript"/>
          </w:rPr>
          <w:t>3</w:t>
        </w:r>
      </w:hyperlink>
      <w:r>
        <w:t xml:space="preserve"> that led directly to a new, effective treatment for Covid-19, baricitinib.</w:t>
      </w:r>
      <w:hyperlink w:anchor="ref-abanibaricitinibpatientsadmitted2022">
        <w:r>
          <w:rPr>
            <w:rStyle w:val="Hyperlink"/>
            <w:vertAlign w:val="superscript"/>
          </w:rPr>
          <w:t>4</w:t>
        </w:r>
      </w:hyperlink>
      <w:r>
        <w:t xml:space="preserve"> It has been used in to support studies of H5N1 influenza, MERS, Ebola, Zika, tick-borne encephalitis virus (TBEV), Mpox, and many other outbreaks around the world.</w:t>
      </w:r>
      <w:hyperlink w:anchor="Xc5d6887bc62662a14e9da31e74bde89f7c66306">
        <w:r>
          <w:rPr>
            <w:rStyle w:val="Hyperlink"/>
            <w:vertAlign w:val="superscript"/>
          </w:rPr>
          <w:t>5</w:t>
        </w:r>
      </w:hyperlink>
    </w:p>
    <w:p w14:paraId="13EAB45B" w14:textId="77777777" w:rsidR="001537F8" w:rsidRDefault="00000000">
      <w:pPr>
        <w:pStyle w:val="BodyText"/>
      </w:pPr>
      <w:r>
        <w:t xml:space="preserve">Patients with acute illness suspected to be caused by emerging and unknown pathogens, or other exposures, will be enrolled. Multiple independent studies can be easily aggregated and </w:t>
      </w:r>
      <w:proofErr w:type="spellStart"/>
      <w:r>
        <w:t>analysed</w:t>
      </w:r>
      <w:proofErr w:type="spellEnd"/>
      <w:r>
        <w:t xml:space="preserve"> across many different settings globally. The protocol is the product of a long consensus process, followed by many years of discussion among international investigators from a wide range of scientific and medical disciplines.</w:t>
      </w:r>
      <w:hyperlink w:anchor="ref-dunningopensourceclinical2014a">
        <w:r>
          <w:rPr>
            <w:rStyle w:val="Hyperlink"/>
            <w:vertAlign w:val="superscript"/>
          </w:rPr>
          <w:t>1</w:t>
        </w:r>
      </w:hyperlink>
      <w:r>
        <w:rPr>
          <w:vertAlign w:val="superscript"/>
        </w:rPr>
        <w:t>,</w:t>
      </w:r>
      <w:hyperlink w:anchor="Xc5d6887bc62662a14e9da31e74bde89f7c66306">
        <w:r>
          <w:rPr>
            <w:rStyle w:val="Hyperlink"/>
            <w:vertAlign w:val="superscript"/>
          </w:rPr>
          <w:t>5</w:t>
        </w:r>
      </w:hyperlink>
    </w:p>
    <w:p w14:paraId="2E15C493" w14:textId="77777777" w:rsidR="001537F8" w:rsidRDefault="00000000">
      <w:pPr>
        <w:pStyle w:val="Heading2"/>
      </w:pPr>
      <w:bookmarkStart w:id="8" w:name="_Toc169541987"/>
      <w:bookmarkStart w:id="9" w:name="background-information"/>
      <w:bookmarkEnd w:id="7"/>
      <w:r>
        <w:t>1.4 Background Information</w:t>
      </w:r>
      <w:bookmarkEnd w:id="8"/>
    </w:p>
    <w:p w14:paraId="14231A1D" w14:textId="77777777" w:rsidR="001537F8" w:rsidRDefault="00000000">
      <w:pPr>
        <w:pStyle w:val="FirstParagraph"/>
      </w:pPr>
      <w:r>
        <w:t>Infectious disease is the single biggest cause of death worldwide. When new infectious agents and exposures arise, there is both an urgent need, and a time-limited opportunity, to conduct clinical research. Depending on the outbreak there may be a need to understand risk factors, clinical presentations and trajectories, pathogen dynamics, pathogenesis in the host, to identify potential treatments or preventative measures, and to understand the pharmacokinetics and side effects of therapy.</w:t>
      </w:r>
    </w:p>
    <w:p w14:paraId="21AD94CB" w14:textId="77777777" w:rsidR="001537F8" w:rsidRDefault="00000000">
      <w:pPr>
        <w:pStyle w:val="BodyText"/>
      </w:pPr>
      <w:r>
        <w:t>The work proposed here may require sampling that will not immediately benefit the participants. It may also require analysis of the host genome, which may reveal other information about disease susceptibility or other aspects of health status.</w:t>
      </w:r>
    </w:p>
    <w:p w14:paraId="1B31E373" w14:textId="77777777" w:rsidR="001537F8" w:rsidRDefault="00000000">
      <w:pPr>
        <w:pStyle w:val="Heading2"/>
      </w:pPr>
      <w:bookmarkStart w:id="10" w:name="_Toc169541988"/>
      <w:bookmarkStart w:id="11" w:name="target-audience-of-this-document"/>
      <w:bookmarkEnd w:id="9"/>
      <w:r>
        <w:t>1.5 Target Audience of this Document</w:t>
      </w:r>
      <w:bookmarkEnd w:id="10"/>
    </w:p>
    <w:p w14:paraId="63EF72FD" w14:textId="77777777" w:rsidR="001537F8" w:rsidRDefault="00000000">
      <w:pPr>
        <w:pStyle w:val="FirstParagraph"/>
      </w:pPr>
      <w:r>
        <w:t xml:space="preserve">This document is written for clinicians, researchers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 We encourage </w:t>
      </w:r>
      <w:proofErr w:type="gramStart"/>
      <w:r>
        <w:t>any and all</w:t>
      </w:r>
      <w:proofErr w:type="gramEnd"/>
      <w:r>
        <w:t xml:space="preserve"> </w:t>
      </w:r>
      <w:proofErr w:type="spellStart"/>
      <w:r>
        <w:t>centres</w:t>
      </w:r>
      <w:proofErr w:type="spellEnd"/>
      <w:r>
        <w:t xml:space="preserve"> to contribute to this effort. The primary data remain with the individual </w:t>
      </w:r>
      <w:proofErr w:type="gramStart"/>
      <w:r>
        <w:t>sites</w:t>
      </w:r>
      <w:proofErr w:type="gramEnd"/>
      <w:r>
        <w:t xml:space="preserve"> but we hope by collecting similar data investigators will be willing to share their results and allow a much more complete analysis of the data.</w:t>
      </w:r>
    </w:p>
    <w:p w14:paraId="741B474C" w14:textId="77777777" w:rsidR="001537F8" w:rsidRDefault="00000000">
      <w:pPr>
        <w:pStyle w:val="Heading2"/>
      </w:pPr>
      <w:bookmarkStart w:id="12" w:name="_Toc169541989"/>
      <w:bookmarkStart w:id="13" w:name="source-of-this-protocol"/>
      <w:bookmarkEnd w:id="11"/>
      <w:r>
        <w:t>1.6 Source of this Protocol</w:t>
      </w:r>
      <w:bookmarkEnd w:id="12"/>
    </w:p>
    <w:p w14:paraId="558B2452" w14:textId="77777777" w:rsidR="001537F8" w:rsidRDefault="00000000">
      <w:pPr>
        <w:pStyle w:val="FirstParagraph"/>
      </w:pPr>
      <w:r>
        <w:t>This document is a product of collaboration between the World Health Organization (WHO) and the International Severe Acute Respiratory and Emerging Infections Consortium (ISARIC</w:t>
      </w:r>
      <w:proofErr w:type="gramStart"/>
      <w:r>
        <w:t>), and</w:t>
      </w:r>
      <w:proofErr w:type="gramEnd"/>
      <w:r>
        <w:t xml:space="preserve"> builds on a global consensus on observational research in emerging infections of public health interest.</w:t>
      </w:r>
    </w:p>
    <w:p w14:paraId="55FD456A" w14:textId="77777777" w:rsidR="001537F8" w:rsidRDefault="00000000">
      <w:pPr>
        <w:pStyle w:val="Heading1"/>
      </w:pPr>
      <w:bookmarkStart w:id="14" w:name="_Toc169541990"/>
      <w:bookmarkStart w:id="15" w:name="sec-objectives"/>
      <w:bookmarkEnd w:id="1"/>
      <w:bookmarkEnd w:id="13"/>
      <w:r>
        <w:lastRenderedPageBreak/>
        <w:t>2. Objectives</w:t>
      </w:r>
      <w:bookmarkEnd w:id="14"/>
    </w:p>
    <w:p w14:paraId="705CD55D" w14:textId="77777777" w:rsidR="001537F8" w:rsidRDefault="00000000">
      <w:pPr>
        <w:pStyle w:val="Heading2"/>
      </w:pPr>
      <w:bookmarkStart w:id="16" w:name="_Toc169541991"/>
      <w:bookmarkStart w:id="17" w:name="primary-objectives"/>
      <w:r>
        <w:t>2.1 Primary objectives</w:t>
      </w:r>
      <w:bookmarkEnd w:id="16"/>
    </w:p>
    <w:p w14:paraId="3472332B" w14:textId="77777777" w:rsidR="001537F8" w:rsidRDefault="00000000">
      <w:pPr>
        <w:pStyle w:val="FirstParagraph"/>
      </w:pPr>
      <w:r>
        <w:t>In potential participants meeting the entry criteria, where appropriate and feasible, our primary objectives for each individual pathogen/exposure are to:</w:t>
      </w:r>
    </w:p>
    <w:p w14:paraId="1C21BF22" w14:textId="77777777" w:rsidR="001537F8" w:rsidRDefault="00000000">
      <w:pPr>
        <w:pStyle w:val="BodyText"/>
      </w:pPr>
      <w:proofErr w:type="spellStart"/>
      <w:r>
        <w:rPr>
          <w:b/>
          <w:bCs/>
        </w:rPr>
        <w:t>Characterise</w:t>
      </w:r>
      <w:proofErr w:type="spellEnd"/>
      <w:r>
        <w:rPr>
          <w:b/>
          <w:bCs/>
        </w:rPr>
        <w:t xml:space="preserve"> clinical features and pathophysiology</w:t>
      </w:r>
    </w:p>
    <w:p w14:paraId="55AE2BE7" w14:textId="77777777" w:rsidR="001537F8" w:rsidRDefault="00000000">
      <w:pPr>
        <w:pStyle w:val="Compact"/>
        <w:numPr>
          <w:ilvl w:val="0"/>
          <w:numId w:val="3"/>
        </w:numPr>
      </w:pPr>
      <w:r>
        <w:t>Describe the clinical features of the illness or syndrome featured by the outbreak of public health interest, be that infection, toxin, chemical or potentially harmful energy.</w:t>
      </w:r>
    </w:p>
    <w:p w14:paraId="15D731BC" w14:textId="77777777" w:rsidR="001537F8" w:rsidRDefault="00000000">
      <w:pPr>
        <w:pStyle w:val="Compact"/>
        <w:numPr>
          <w:ilvl w:val="0"/>
          <w:numId w:val="3"/>
        </w:numPr>
      </w:pPr>
      <w:r>
        <w:t>Explain disease pathogenesis and identify potential new therapeutic approaches.</w:t>
      </w:r>
    </w:p>
    <w:p w14:paraId="7B9BB396" w14:textId="77777777" w:rsidR="001537F8" w:rsidRDefault="00000000">
      <w:pPr>
        <w:pStyle w:val="Compact"/>
        <w:numPr>
          <w:ilvl w:val="0"/>
          <w:numId w:val="3"/>
        </w:numPr>
      </w:pPr>
      <w:r>
        <w:t>Understand risk factors for exposure, severe illness, death and deterioration.</w:t>
      </w:r>
    </w:p>
    <w:p w14:paraId="1F458DD6" w14:textId="77777777" w:rsidR="001537F8" w:rsidRDefault="00000000">
      <w:pPr>
        <w:pStyle w:val="Compact"/>
        <w:numPr>
          <w:ilvl w:val="0"/>
          <w:numId w:val="3"/>
        </w:numPr>
      </w:pPr>
      <w:r>
        <w:t>Describe patient trajectories (such as length of stay, requirement for invasive mechanical ventilation) to inform resource and logistical planning for healthcare systems.</w:t>
      </w:r>
    </w:p>
    <w:p w14:paraId="4A5F0676" w14:textId="77777777" w:rsidR="001537F8" w:rsidRDefault="00000000">
      <w:pPr>
        <w:pStyle w:val="Compact"/>
        <w:numPr>
          <w:ilvl w:val="0"/>
          <w:numId w:val="3"/>
        </w:numPr>
      </w:pPr>
      <w:r>
        <w:t>Describe the response to treatment, including supportive care and novel therapeutics.</w:t>
      </w:r>
    </w:p>
    <w:p w14:paraId="3A87ADCA" w14:textId="77777777" w:rsidR="001537F8" w:rsidRDefault="00000000">
      <w:pPr>
        <w:pStyle w:val="FirstParagraph"/>
      </w:pPr>
      <w:proofErr w:type="spellStart"/>
      <w:r>
        <w:rPr>
          <w:b/>
          <w:bCs/>
        </w:rPr>
        <w:t>Characterise</w:t>
      </w:r>
      <w:proofErr w:type="spellEnd"/>
      <w:r>
        <w:rPr>
          <w:b/>
          <w:bCs/>
        </w:rPr>
        <w:t xml:space="preserve"> the causative agent</w:t>
      </w:r>
    </w:p>
    <w:p w14:paraId="0222FED2" w14:textId="77777777" w:rsidR="001537F8" w:rsidRDefault="00000000">
      <w:pPr>
        <w:pStyle w:val="Compact"/>
        <w:numPr>
          <w:ilvl w:val="0"/>
          <w:numId w:val="4"/>
        </w:numPr>
      </w:pPr>
      <w:r>
        <w:t>Describe characteristics of causative agents including identity of new pathogens, variants or exposures, evolution of immune escape or resistance to therapeutic agents, and pathogen features associated with disease severity or transmission.</w:t>
      </w:r>
    </w:p>
    <w:p w14:paraId="13966900" w14:textId="77777777" w:rsidR="001537F8" w:rsidRDefault="00000000">
      <w:pPr>
        <w:pStyle w:val="Compact"/>
        <w:numPr>
          <w:ilvl w:val="0"/>
          <w:numId w:val="4"/>
        </w:numPr>
      </w:pPr>
      <w:r>
        <w:t>Observe pathogen replication, excretion, and evolution within the host and identify determinants of severity and transmission using high-throughput sequencing of pathogen genomes obtained from respiratory tract, blood, urine, stool, CSF and other samples.</w:t>
      </w:r>
    </w:p>
    <w:p w14:paraId="0C46ED03" w14:textId="77777777" w:rsidR="001537F8" w:rsidRDefault="00000000">
      <w:pPr>
        <w:pStyle w:val="Compact"/>
        <w:numPr>
          <w:ilvl w:val="0"/>
          <w:numId w:val="4"/>
        </w:numPr>
      </w:pPr>
      <w:proofErr w:type="spellStart"/>
      <w:r>
        <w:t>Characterise</w:t>
      </w:r>
      <w:proofErr w:type="spellEnd"/>
      <w:r>
        <w:t xml:space="preserve"> the host responses to infection and therapy over time, including innate and acquired immune responses, circulating levels of immune </w:t>
      </w:r>
      <w:proofErr w:type="spellStart"/>
      <w:r>
        <w:t>signalling</w:t>
      </w:r>
      <w:proofErr w:type="spellEnd"/>
      <w:r>
        <w:t xml:space="preserve"> molecules and gene expression profiling in peripheral blood.</w:t>
      </w:r>
    </w:p>
    <w:p w14:paraId="17FF4590" w14:textId="77777777" w:rsidR="001537F8" w:rsidRDefault="00000000">
      <w:pPr>
        <w:pStyle w:val="Compact"/>
        <w:numPr>
          <w:ilvl w:val="0"/>
          <w:numId w:val="4"/>
        </w:numPr>
      </w:pPr>
      <w:r>
        <w:t>Identify host genetic variants associated with disease progression or severity.</w:t>
      </w:r>
    </w:p>
    <w:p w14:paraId="371C6501" w14:textId="77777777" w:rsidR="001537F8" w:rsidRDefault="00000000">
      <w:pPr>
        <w:pStyle w:val="Compact"/>
        <w:numPr>
          <w:ilvl w:val="0"/>
          <w:numId w:val="4"/>
        </w:numPr>
      </w:pPr>
      <w:r>
        <w:t>Understand the impact of dose, route, and timing of noxious exposures on severity of illness.</w:t>
      </w:r>
    </w:p>
    <w:p w14:paraId="575B99F9" w14:textId="77777777" w:rsidR="001537F8" w:rsidRDefault="00000000">
      <w:pPr>
        <w:pStyle w:val="Heading2"/>
      </w:pPr>
      <w:bookmarkStart w:id="18" w:name="_Toc169541992"/>
      <w:bookmarkStart w:id="19" w:name="secondary-objectives"/>
      <w:bookmarkEnd w:id="17"/>
      <w:r>
        <w:t>2.2 Secondary Objectives</w:t>
      </w:r>
      <w:bookmarkEnd w:id="18"/>
    </w:p>
    <w:p w14:paraId="702ED1A7" w14:textId="77777777" w:rsidR="001537F8" w:rsidRDefault="00000000">
      <w:pPr>
        <w:pStyle w:val="FirstParagraph"/>
      </w:pPr>
      <w:r>
        <w:t>Secondary objectives are to collect evidence to:</w:t>
      </w:r>
    </w:p>
    <w:p w14:paraId="4F2DD899" w14:textId="77777777" w:rsidR="001537F8" w:rsidRDefault="00000000">
      <w:pPr>
        <w:pStyle w:val="Compact"/>
        <w:numPr>
          <w:ilvl w:val="0"/>
          <w:numId w:val="5"/>
        </w:numPr>
      </w:pPr>
      <w:r>
        <w:t>Facilitate effective triage and clinical management of people with exposures to pathogens or noxious agents as relevant to this protocol.</w:t>
      </w:r>
    </w:p>
    <w:p w14:paraId="2CDB32D6" w14:textId="77777777" w:rsidR="001537F8" w:rsidRDefault="00000000">
      <w:pPr>
        <w:pStyle w:val="Compact"/>
        <w:numPr>
          <w:ilvl w:val="0"/>
          <w:numId w:val="5"/>
        </w:numPr>
      </w:pPr>
      <w:r>
        <w:t>Inform clinical guidance documents and offer clinical recommendations to policy makers based on evidence obtained.</w:t>
      </w:r>
    </w:p>
    <w:p w14:paraId="7039F9A1" w14:textId="77777777" w:rsidR="001537F8" w:rsidRDefault="00000000">
      <w:pPr>
        <w:pStyle w:val="Heading1"/>
      </w:pPr>
      <w:bookmarkStart w:id="20" w:name="_Toc169541993"/>
      <w:bookmarkStart w:id="21" w:name="methods"/>
      <w:bookmarkEnd w:id="15"/>
      <w:bookmarkEnd w:id="19"/>
      <w:r>
        <w:lastRenderedPageBreak/>
        <w:t>3. Methods</w:t>
      </w:r>
      <w:bookmarkEnd w:id="20"/>
    </w:p>
    <w:p w14:paraId="7B2A9709" w14:textId="77777777" w:rsidR="001537F8" w:rsidRDefault="00000000">
      <w:pPr>
        <w:pStyle w:val="Heading2"/>
      </w:pPr>
      <w:bookmarkStart w:id="22" w:name="_Toc169541994"/>
      <w:bookmarkStart w:id="23" w:name="activation"/>
      <w:r>
        <w:t>3.1 Activation</w:t>
      </w:r>
      <w:bookmarkEnd w:id="22"/>
    </w:p>
    <w:p w14:paraId="2BF136B9" w14:textId="77777777" w:rsidR="001537F8" w:rsidRDefault="00000000">
      <w:pPr>
        <w:pStyle w:val="FirstParagraph"/>
      </w:pPr>
      <w:r>
        <w:t>Study recruitment will be activated upon presentation of an eligible participant or the occurrence of an event of public health interest. Within the scope of activities described in this protocol, the number of participants enrolled, volume of data collection and sampling schedule will be defined by the Principal Investigator and updated as appropriate based on the number of patients presenting to the site or other sites, resource availability, and evolving scientific knowledge.</w:t>
      </w:r>
    </w:p>
    <w:p w14:paraId="5FCD13D3" w14:textId="77777777" w:rsidR="001537F8" w:rsidRDefault="00000000">
      <w:pPr>
        <w:pStyle w:val="BodyText"/>
      </w:pPr>
      <w:r>
        <w:t>Approval of the responsible ethics committee and institutional authority will be obtained before participants are recruited at any site.</w:t>
      </w:r>
    </w:p>
    <w:p w14:paraId="597E5D78" w14:textId="77777777" w:rsidR="001537F8" w:rsidRDefault="00000000">
      <w:pPr>
        <w:pStyle w:val="Heading2"/>
      </w:pPr>
      <w:bookmarkStart w:id="24" w:name="_Toc169541995"/>
      <w:bookmarkStart w:id="25" w:name="Xe137e24e14aafe2cfdbaf82cdd79531392ffab4"/>
      <w:bookmarkEnd w:id="23"/>
      <w:r>
        <w:t>3.2 Stratified recruitment according to local resource</w:t>
      </w:r>
      <w:bookmarkEnd w:id="24"/>
    </w:p>
    <w:p w14:paraId="5FD499EF" w14:textId="77777777" w:rsidR="001537F8" w:rsidRDefault="00000000">
      <w:pPr>
        <w:pStyle w:val="FirstParagraph"/>
      </w:pPr>
      <w:r>
        <w:t>The study will be conducted at multiple sites (to be determined by the spread of disease and availability of resources). It is appreciated that settings will vary in terms of clinical infrastructure, resources and capacity. Distinction is made to allow for resource-appropriate implementation of the protocol, and it is understood that data and/or specimen collection may be limited in certain settings. Observational analyses will be stratified as follows:</w:t>
      </w:r>
    </w:p>
    <w:p w14:paraId="7A2261C1" w14:textId="77777777" w:rsidR="001537F8" w:rsidRDefault="00000000">
      <w:pPr>
        <w:numPr>
          <w:ilvl w:val="0"/>
          <w:numId w:val="6"/>
        </w:numPr>
      </w:pPr>
      <w:r>
        <w:rPr>
          <w:b/>
          <w:bCs/>
        </w:rPr>
        <w:t>Module 0 (no consent; data and clinical samples only)</w:t>
      </w:r>
      <w:r>
        <w:t xml:space="preserve">: Routine clinical and laboratory data and samples may be collected but no biological samples will be obtained for research purposes. The minimum, essential clinical data set will </w:t>
      </w:r>
      <w:proofErr w:type="spellStart"/>
      <w:r>
        <w:t>summarise</w:t>
      </w:r>
      <w:proofErr w:type="spellEnd"/>
      <w:r>
        <w:t xml:space="preserve"> the illness episode and outcome, with the option to collect additional detailed clinical data during or after the acute illness episode, according to local resources and evidence needs.</w:t>
      </w:r>
    </w:p>
    <w:p w14:paraId="140D1397" w14:textId="77777777" w:rsidR="001537F8" w:rsidRDefault="00000000">
      <w:pPr>
        <w:numPr>
          <w:ilvl w:val="0"/>
          <w:numId w:val="6"/>
        </w:numPr>
      </w:pPr>
      <w:r>
        <w:rPr>
          <w:b/>
          <w:bCs/>
        </w:rPr>
        <w:t>Module 1 (consent required; simple and stable samples)</w:t>
      </w:r>
      <w:r>
        <w:t>: Individual informed consent is required. Simple, stable samples that do not require laboratory processing at the recruiting site will be obtained. These include host DNA and RNA, dried blood spots, and cell samples in preservative.</w:t>
      </w:r>
    </w:p>
    <w:p w14:paraId="54B53FAD" w14:textId="77777777" w:rsidR="001537F8" w:rsidRDefault="00000000">
      <w:pPr>
        <w:numPr>
          <w:ilvl w:val="0"/>
          <w:numId w:val="6"/>
        </w:numPr>
      </w:pPr>
      <w:r>
        <w:rPr>
          <w:b/>
          <w:bCs/>
        </w:rPr>
        <w:t>Module 2 (consent required; local laboratory required)</w:t>
      </w:r>
      <w:r>
        <w:t>: Individual informed consent is required. Samples requiring laboratory processing at the recruiting site will be obtained. These include blood plasma and serum, and pathogen samples obtained specifically for research.</w:t>
      </w:r>
    </w:p>
    <w:p w14:paraId="4858B60D" w14:textId="77777777" w:rsidR="001537F8" w:rsidRDefault="00000000">
      <w:pPr>
        <w:numPr>
          <w:ilvl w:val="0"/>
          <w:numId w:val="6"/>
        </w:numPr>
      </w:pPr>
      <w:r>
        <w:rPr>
          <w:b/>
          <w:bCs/>
        </w:rPr>
        <w:t>Module 3 (consent required; local specialist laboratory required)</w:t>
      </w:r>
      <w:r>
        <w:t>: Individual informed consent is required. Samples requiring specialist laboratory facilities at the recruiting site will be obtained. These include specialist research immunology assays and pharmacokinetics studies.</w:t>
      </w:r>
    </w:p>
    <w:p w14:paraId="0E4CE146" w14:textId="77777777" w:rsidR="001537F8" w:rsidRDefault="00000000">
      <w:pPr>
        <w:pStyle w:val="FirstParagraph"/>
      </w:pPr>
      <w:r>
        <w:t xml:space="preserve">At a given time, each site will recruit within a given module. The </w:t>
      </w:r>
      <w:proofErr w:type="gramStart"/>
      <w:r>
        <w:t>currently-active</w:t>
      </w:r>
      <w:proofErr w:type="gramEnd"/>
      <w:r>
        <w:t xml:space="preserve"> module will be recorded in the site file </w:t>
      </w:r>
      <w:r>
        <w:rPr>
          <w:b/>
          <w:bCs/>
        </w:rPr>
        <w:t>Module Record Form</w:t>
      </w:r>
      <w:r>
        <w:t xml:space="preserve">. Changes to the module a given site is recruiting to will be documented by the Principal Investigator (PI). As an outbreak </w:t>
      </w:r>
      <w:r>
        <w:lastRenderedPageBreak/>
        <w:t>progresses, and more cases occur, it is anticipated that both the research priorities and the local resource availability will change. Within a given institution, cases recruited at different stages of an outbreak can be sampled at different intensities and may be recruited to different modules of the study.</w:t>
      </w:r>
    </w:p>
    <w:tbl>
      <w:tblPr>
        <w:tblStyle w:val="Table"/>
        <w:tblW w:w="5000" w:type="pct"/>
        <w:tblLook w:val="0000" w:firstRow="0" w:lastRow="0" w:firstColumn="0" w:lastColumn="0" w:noHBand="0" w:noVBand="0"/>
      </w:tblPr>
      <w:tblGrid>
        <w:gridCol w:w="9576"/>
      </w:tblGrid>
      <w:tr w:rsidR="001537F8" w14:paraId="30A77745" w14:textId="77777777">
        <w:tc>
          <w:tcPr>
            <w:tcW w:w="0" w:type="auto"/>
          </w:tcPr>
          <w:p w14:paraId="366AF806" w14:textId="77777777" w:rsidR="001537F8" w:rsidRDefault="00000000">
            <w:pPr>
              <w:jc w:val="center"/>
            </w:pPr>
            <w:r>
              <w:rPr>
                <w:noProof/>
              </w:rPr>
              <w:drawing>
                <wp:inline distT="0" distB="0" distL="0" distR="0" wp14:anchorId="544BAE2D" wp14:editId="7665CA70">
                  <wp:extent cx="5334000" cy="229362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img/ccp_t3.pdf"/>
                          <pic:cNvPicPr>
                            <a:picLocks noChangeAspect="1" noChangeArrowheads="1"/>
                          </pic:cNvPicPr>
                        </pic:nvPicPr>
                        <pic:blipFill>
                          <a:blip r:embed="rId11"/>
                          <a:stretch>
                            <a:fillRect/>
                          </a:stretch>
                        </pic:blipFill>
                        <pic:spPr bwMode="auto">
                          <a:xfrm>
                            <a:off x="0" y="0"/>
                            <a:ext cx="5334000" cy="2293620"/>
                          </a:xfrm>
                          <a:prstGeom prst="rect">
                            <a:avLst/>
                          </a:prstGeom>
                          <a:noFill/>
                          <a:ln w="9525">
                            <a:noFill/>
                            <a:headEnd/>
                            <a:tailEnd/>
                          </a:ln>
                        </pic:spPr>
                      </pic:pic>
                    </a:graphicData>
                  </a:graphic>
                </wp:inline>
              </w:drawing>
            </w:r>
          </w:p>
          <w:p w14:paraId="40B9BD7F" w14:textId="77777777" w:rsidR="001537F8" w:rsidRDefault="00000000">
            <w:pPr>
              <w:pStyle w:val="ImageCaption"/>
              <w:spacing w:before="200"/>
            </w:pPr>
            <w:r>
              <w:t>Modular approach to recruitment in settings with different resources. This information is included to demonstrate the integration of this study with other studies following the same approach in other parts of the world.</w:t>
            </w:r>
          </w:p>
        </w:tc>
      </w:tr>
    </w:tbl>
    <w:p w14:paraId="23976C82" w14:textId="77777777" w:rsidR="001537F8" w:rsidRDefault="00000000">
      <w:pPr>
        <w:pStyle w:val="Heading3"/>
      </w:pPr>
      <w:bookmarkStart w:id="26" w:name="_Toc169541996"/>
      <w:bookmarkStart w:id="27" w:name="sec-data-collection"/>
      <w:r>
        <w:t>3.2.1 Data collection</w:t>
      </w:r>
      <w:bookmarkEnd w:id="26"/>
    </w:p>
    <w:p w14:paraId="032A73EC" w14:textId="77777777" w:rsidR="001537F8" w:rsidRDefault="00000000">
      <w:pPr>
        <w:pStyle w:val="FirstParagraph"/>
      </w:pPr>
      <w:r>
        <w:t xml:space="preserve">Data will be collected for each participant based on a </w:t>
      </w:r>
      <w:proofErr w:type="spellStart"/>
      <w:r>
        <w:t>standardised</w:t>
      </w:r>
      <w:proofErr w:type="spellEnd"/>
      <w:r>
        <w:t xml:space="preserve"> disease </w:t>
      </w:r>
      <w:proofErr w:type="spellStart"/>
      <w:r>
        <w:t>characterisation</w:t>
      </w:r>
      <w:proofErr w:type="spellEnd"/>
      <w:r>
        <w:t xml:space="preserve"> model. available as a paper case report form (CRF), web-based electronic “eCRF”, or database to which health records or other data sources are mapped. The contents of the study CRFs are dynamic and refined as an event progresses.</w:t>
      </w:r>
    </w:p>
    <w:p w14:paraId="0EADDD29" w14:textId="77777777" w:rsidR="001537F8" w:rsidRDefault="00000000">
      <w:pPr>
        <w:pStyle w:val="BodyText"/>
      </w:pPr>
      <w:r>
        <w:t>The following classes of data may be obtained:</w:t>
      </w:r>
    </w:p>
    <w:p w14:paraId="3F0A18C2" w14:textId="77777777" w:rsidR="001537F8" w:rsidRDefault="00000000">
      <w:pPr>
        <w:pStyle w:val="Compact"/>
        <w:numPr>
          <w:ilvl w:val="0"/>
          <w:numId w:val="7"/>
        </w:numPr>
      </w:pPr>
      <w:r>
        <w:rPr>
          <w:i/>
          <w:iCs/>
        </w:rPr>
        <w:t>Essential CRF content</w:t>
      </w:r>
      <w:r>
        <w:t>. the minimum data required to understand the key risk groups and disease severity irrespective of the cause of illness: demographic data, signs and symptoms at presentation, comorbidities, diagnosis, and outcome. Data derived from clinical samples of the pathogen or other putative causal agent, possibly including pathogen genomic sequences, may be collected. Data are collected from routine health records.</w:t>
      </w:r>
    </w:p>
    <w:p w14:paraId="01649110" w14:textId="77777777" w:rsidR="001537F8" w:rsidRDefault="00000000">
      <w:pPr>
        <w:pStyle w:val="Compact"/>
        <w:numPr>
          <w:ilvl w:val="0"/>
          <w:numId w:val="7"/>
        </w:numPr>
      </w:pPr>
      <w:r>
        <w:rPr>
          <w:i/>
          <w:iCs/>
        </w:rPr>
        <w:t>Core CRF content</w:t>
      </w:r>
      <w:r>
        <w:t xml:space="preserve">. Clinical findings and interventions to understand the spectrum of disease, disease progression and duration, resource </w:t>
      </w:r>
      <w:proofErr w:type="spellStart"/>
      <w:r>
        <w:t>utilisation</w:t>
      </w:r>
      <w:proofErr w:type="spellEnd"/>
      <w:r>
        <w:t>. Data are collected from routine health records.</w:t>
      </w:r>
    </w:p>
    <w:p w14:paraId="0A1DCA57" w14:textId="77777777" w:rsidR="001537F8" w:rsidRDefault="00000000">
      <w:pPr>
        <w:pStyle w:val="Compact"/>
        <w:numPr>
          <w:ilvl w:val="0"/>
          <w:numId w:val="7"/>
        </w:numPr>
      </w:pPr>
      <w:r>
        <w:rPr>
          <w:i/>
          <w:iCs/>
        </w:rPr>
        <w:t>Site CRF</w:t>
      </w:r>
      <w:r>
        <w:t>. To capture site-level administrative information such as location, sampling strategy used, dates of data collection initiation and completion.</w:t>
      </w:r>
    </w:p>
    <w:p w14:paraId="33E80F93" w14:textId="77777777" w:rsidR="001537F8" w:rsidRDefault="00000000">
      <w:pPr>
        <w:pStyle w:val="Compact"/>
        <w:numPr>
          <w:ilvl w:val="0"/>
          <w:numId w:val="7"/>
        </w:numPr>
      </w:pPr>
      <w:r>
        <w:rPr>
          <w:i/>
          <w:iCs/>
        </w:rPr>
        <w:t>Additional CRF sections</w:t>
      </w:r>
      <w:r>
        <w:t>. These groups of additional variables address research questions in specific populations or conditions. Data are collected from routine health records, and additional data will be collected via participant interview with consent.</w:t>
      </w:r>
    </w:p>
    <w:p w14:paraId="68AA4092" w14:textId="77777777" w:rsidR="001537F8" w:rsidRDefault="00000000">
      <w:pPr>
        <w:pStyle w:val="Heading2"/>
      </w:pPr>
      <w:bookmarkStart w:id="28" w:name="_Toc169541997"/>
      <w:bookmarkStart w:id="29" w:name="entry-criteria"/>
      <w:bookmarkEnd w:id="25"/>
      <w:bookmarkEnd w:id="27"/>
      <w:r>
        <w:lastRenderedPageBreak/>
        <w:t>3.3 Entry Criteria</w:t>
      </w:r>
      <w:bookmarkEnd w:id="28"/>
    </w:p>
    <w:p w14:paraId="667C1224" w14:textId="77777777" w:rsidR="001537F8" w:rsidRDefault="00000000">
      <w:pPr>
        <w:pStyle w:val="FirstParagraph"/>
      </w:pPr>
      <w:r>
        <w:t xml:space="preserve">This study will </w:t>
      </w:r>
      <w:proofErr w:type="spellStart"/>
      <w:r>
        <w:t>enrol</w:t>
      </w:r>
      <w:proofErr w:type="spellEnd"/>
      <w:r>
        <w:t xml:space="preserve"> eligible patients (children and adults, including patients who are pregnant and breast-feeding), who meet the criteria below. These criteria are purposefully broad and may be explicitly restricted if required by local resource limitations, for example to </w:t>
      </w:r>
      <w:r>
        <w:rPr>
          <w:i/>
          <w:iCs/>
        </w:rPr>
        <w:t>CONFIRMED INFECTION</w:t>
      </w:r>
      <w:r>
        <w:t xml:space="preserve"> only.</w:t>
      </w:r>
    </w:p>
    <w:p w14:paraId="40D0E34B" w14:textId="77777777" w:rsidR="001537F8" w:rsidRDefault="00000000">
      <w:pPr>
        <w:pStyle w:val="Heading3"/>
      </w:pPr>
      <w:bookmarkStart w:id="30" w:name="_Toc169541998"/>
      <w:bookmarkStart w:id="31" w:name="inclusion-criteria"/>
      <w:r>
        <w:t>3.3.1 Inclusion criteria</w:t>
      </w:r>
      <w:bookmarkEnd w:id="30"/>
    </w:p>
    <w:p w14:paraId="28AC8386" w14:textId="77777777" w:rsidR="001537F8" w:rsidRDefault="00000000">
      <w:pPr>
        <w:pStyle w:val="Compact"/>
        <w:numPr>
          <w:ilvl w:val="0"/>
          <w:numId w:val="8"/>
        </w:numPr>
      </w:pPr>
      <w:r>
        <w:rPr>
          <w:i/>
          <w:iCs/>
        </w:rPr>
        <w:t>CONFIRMED INFECTION.</w:t>
      </w:r>
      <w:r>
        <w:t xml:space="preserve"> Confirmed infection with an emerging or high-consequence pathogen, or</w:t>
      </w:r>
    </w:p>
    <w:p w14:paraId="7D3E65E5" w14:textId="77777777" w:rsidR="001537F8" w:rsidRDefault="00000000">
      <w:pPr>
        <w:pStyle w:val="Compact"/>
        <w:numPr>
          <w:ilvl w:val="0"/>
          <w:numId w:val="8"/>
        </w:numPr>
      </w:pPr>
      <w:r>
        <w:rPr>
          <w:i/>
          <w:iCs/>
        </w:rPr>
        <w:t>SUSPECTED INFECTION.</w:t>
      </w:r>
      <w:r>
        <w:t xml:space="preserve"> Suspected infection with an emerging or high-consequence pathogen, or</w:t>
      </w:r>
    </w:p>
    <w:p w14:paraId="5DD80790" w14:textId="77777777" w:rsidR="001537F8" w:rsidRDefault="00000000">
      <w:pPr>
        <w:pStyle w:val="Compact"/>
        <w:numPr>
          <w:ilvl w:val="0"/>
          <w:numId w:val="8"/>
        </w:numPr>
      </w:pPr>
      <w:r>
        <w:rPr>
          <w:i/>
          <w:iCs/>
        </w:rPr>
        <w:t>CONFIRMED EXPOSURE.</w:t>
      </w:r>
      <w:r>
        <w:t xml:space="preserve"> Confirmed exposure to a pathogen, toxin, chemical or other exposure of public health interest, or</w:t>
      </w:r>
    </w:p>
    <w:p w14:paraId="43A70571" w14:textId="77777777" w:rsidR="001537F8" w:rsidRDefault="00000000">
      <w:pPr>
        <w:pStyle w:val="Compact"/>
        <w:numPr>
          <w:ilvl w:val="0"/>
          <w:numId w:val="8"/>
        </w:numPr>
      </w:pPr>
      <w:r>
        <w:rPr>
          <w:i/>
          <w:iCs/>
        </w:rPr>
        <w:t>SUSPECTED EXPOSURE.</w:t>
      </w:r>
      <w:r>
        <w:t xml:space="preserve"> Suspected exposure to a pathogen, toxin, chemical or other exposure of public health interest, or</w:t>
      </w:r>
    </w:p>
    <w:p w14:paraId="798889A1" w14:textId="77777777" w:rsidR="001537F8" w:rsidRDefault="00000000">
      <w:pPr>
        <w:pStyle w:val="Compact"/>
        <w:numPr>
          <w:ilvl w:val="0"/>
          <w:numId w:val="8"/>
        </w:numPr>
      </w:pPr>
      <w:r>
        <w:rPr>
          <w:i/>
          <w:iCs/>
        </w:rPr>
        <w:t>PILOT.</w:t>
      </w:r>
      <w:r>
        <w:t xml:space="preserve"> Suspected or confirmed exposure to a pathogen, toxin, chemical or other exposure agreed with the investigators and local research teams for the purpose of testing CCP preparedness infrastructure in a pilot study for a maximum period of one week.</w:t>
      </w:r>
    </w:p>
    <w:p w14:paraId="0614CD91" w14:textId="77777777" w:rsidR="001537F8" w:rsidRDefault="00000000">
      <w:pPr>
        <w:pStyle w:val="Heading3"/>
      </w:pPr>
      <w:bookmarkStart w:id="32" w:name="_Toc169541999"/>
      <w:bookmarkStart w:id="33" w:name="exclusion-criteria"/>
      <w:bookmarkEnd w:id="31"/>
      <w:r>
        <w:t>3.3.2 Exclusion criteria:</w:t>
      </w:r>
      <w:bookmarkEnd w:id="32"/>
    </w:p>
    <w:p w14:paraId="671EF2B0" w14:textId="77777777" w:rsidR="001537F8" w:rsidRDefault="00000000">
      <w:pPr>
        <w:pStyle w:val="Compact"/>
        <w:numPr>
          <w:ilvl w:val="0"/>
          <w:numId w:val="9"/>
        </w:numPr>
      </w:pPr>
      <w:r>
        <w:t>For modules 1 and above (where consent is required), refusal to participate by patient, parent or appropriate representative.</w:t>
      </w:r>
    </w:p>
    <w:p w14:paraId="295140ED" w14:textId="77777777" w:rsidR="001537F8" w:rsidRDefault="00000000">
      <w:pPr>
        <w:pStyle w:val="Heading2"/>
      </w:pPr>
      <w:bookmarkStart w:id="34" w:name="_Toc169542000"/>
      <w:bookmarkStart w:id="35" w:name="study-design"/>
      <w:bookmarkEnd w:id="29"/>
      <w:bookmarkEnd w:id="33"/>
      <w:r>
        <w:t>3.4 Study Design</w:t>
      </w:r>
      <w:bookmarkEnd w:id="34"/>
    </w:p>
    <w:p w14:paraId="2D3488A9" w14:textId="77777777" w:rsidR="001537F8" w:rsidRDefault="00000000">
      <w:pPr>
        <w:pStyle w:val="FirstParagraph"/>
      </w:pPr>
      <w:r>
        <w:t>This is a prospective observational cohort study.</w:t>
      </w:r>
    </w:p>
    <w:p w14:paraId="536B7696" w14:textId="77777777" w:rsidR="001537F8" w:rsidRDefault="00000000">
      <w:pPr>
        <w:pStyle w:val="Heading2"/>
      </w:pPr>
      <w:bookmarkStart w:id="36" w:name="_Toc169542001"/>
      <w:bookmarkStart w:id="37" w:name="sample-size"/>
      <w:bookmarkEnd w:id="35"/>
      <w:r>
        <w:t>3.5 Sample Size</w:t>
      </w:r>
      <w:bookmarkEnd w:id="36"/>
    </w:p>
    <w:p w14:paraId="5CB1455D" w14:textId="77777777" w:rsidR="001537F8" w:rsidRDefault="00000000">
      <w:pPr>
        <w:pStyle w:val="FirstParagraph"/>
      </w:pPr>
      <w:r>
        <w:t xml:space="preserve">This is a descriptive study of syndromes which may be caused by </w:t>
      </w:r>
      <w:proofErr w:type="gramStart"/>
      <w:r>
        <w:t>a number of</w:t>
      </w:r>
      <w:proofErr w:type="gramEnd"/>
      <w:r>
        <w:t xml:space="preserve"> different known or poorly understood pathogens or exposures. Therefore, the sample size is not prospectively determined. Recruitment of participants will depend on the emergence and spread of the various pathogens or exposures, and the resources available to the recruitment </w:t>
      </w:r>
      <w:proofErr w:type="spellStart"/>
      <w:r>
        <w:t>centres</w:t>
      </w:r>
      <w:proofErr w:type="spellEnd"/>
      <w:r>
        <w:t xml:space="preserve">. The sample size will vary for each location but should be as large as feasible while urgent and important clinical questions remain unanswered (see </w:t>
      </w:r>
      <w:hyperlink w:anchor="sec-objectives">
        <w:r>
          <w:rPr>
            <w:rStyle w:val="Hyperlink"/>
          </w:rPr>
          <w:t>Section 2</w:t>
        </w:r>
      </w:hyperlink>
      <w:r>
        <w:t>).</w:t>
      </w:r>
    </w:p>
    <w:p w14:paraId="17BED7B4" w14:textId="77777777" w:rsidR="001537F8" w:rsidRDefault="00000000">
      <w:pPr>
        <w:pStyle w:val="BodyText"/>
      </w:pPr>
      <w:r>
        <w:t>This protocol will be opened at sites with capacity and capability to recruit to any module of study intensity. The study has no end date.</w:t>
      </w:r>
    </w:p>
    <w:p w14:paraId="0F65E2D8" w14:textId="77777777" w:rsidR="001537F8" w:rsidRDefault="00000000">
      <w:pPr>
        <w:pStyle w:val="Heading2"/>
      </w:pPr>
      <w:bookmarkStart w:id="38" w:name="_Toc169542002"/>
      <w:bookmarkStart w:id="39" w:name="identification-of-potential-participants"/>
      <w:bookmarkEnd w:id="37"/>
      <w:r>
        <w:t>3.6 Identification of Potential Participants</w:t>
      </w:r>
      <w:bookmarkEnd w:id="38"/>
    </w:p>
    <w:p w14:paraId="52BC32C3" w14:textId="77777777" w:rsidR="001537F8" w:rsidRDefault="00000000">
      <w:pPr>
        <w:pStyle w:val="FirstParagraph"/>
      </w:pPr>
      <w:r>
        <w:t>In a health care setting, potential participants will be identified by clinical or research staff upon presentation at recruiting sites or through public health agencies. In the community, potential participants may be identified through relevant clinical or public health agencies.</w:t>
      </w:r>
    </w:p>
    <w:p w14:paraId="18F448D2" w14:textId="77777777" w:rsidR="001537F8" w:rsidRDefault="00000000">
      <w:pPr>
        <w:pStyle w:val="BodyText"/>
      </w:pPr>
      <w:r>
        <w:lastRenderedPageBreak/>
        <w:t>Patients will only be considered for enrolment if appropriate local infection control and prevention measures are in place and can be maintained.</w:t>
      </w:r>
    </w:p>
    <w:p w14:paraId="6E9A5BEE" w14:textId="77777777" w:rsidR="001537F8" w:rsidRDefault="00000000">
      <w:pPr>
        <w:pStyle w:val="BodyText"/>
      </w:pPr>
      <w:r>
        <w:t xml:space="preserve">When resources allow, sites may establish and document procedures to </w:t>
      </w:r>
      <w:proofErr w:type="spellStart"/>
      <w:r>
        <w:t>minimise</w:t>
      </w:r>
      <w:proofErr w:type="spellEnd"/>
      <w:r>
        <w:t xml:space="preserve"> bias in the selection of participants (see </w:t>
      </w:r>
      <w:hyperlink w:anchor="sec-selection-of-participants">
        <w:r>
          <w:rPr>
            <w:rStyle w:val="Hyperlink"/>
          </w:rPr>
          <w:t>Section 3.6.1</w:t>
        </w:r>
      </w:hyperlink>
      <w:r>
        <w:t>).</w:t>
      </w:r>
    </w:p>
    <w:p w14:paraId="32C5A9C8" w14:textId="77777777" w:rsidR="001537F8" w:rsidRDefault="00000000">
      <w:pPr>
        <w:pStyle w:val="Heading3"/>
      </w:pPr>
      <w:bookmarkStart w:id="40" w:name="_Toc169542003"/>
      <w:bookmarkStart w:id="41" w:name="sec-selection-of-participants"/>
      <w:r>
        <w:t>3.6.1 Selection of Participants</w:t>
      </w:r>
      <w:bookmarkEnd w:id="40"/>
    </w:p>
    <w:p w14:paraId="640F1BEB" w14:textId="77777777" w:rsidR="001537F8" w:rsidRDefault="00000000">
      <w:pPr>
        <w:pStyle w:val="FirstParagraph"/>
      </w:pPr>
      <w:r>
        <w:t>In some circumstances, robust analysis requires methodical selection of patients for data collection. This is usually the case where the primary aim is large-scale data collection to explore the features of, and risk factors for, illness. Each site has its own requirements, abilities, and limitations to participant recruitment and should select the sampling approach that fits best. Record the sampling approach taken for each unique date range in your site level CRF.</w:t>
      </w:r>
    </w:p>
    <w:tbl>
      <w:tblPr>
        <w:tblStyle w:val="Table"/>
        <w:tblW w:w="5000" w:type="pct"/>
        <w:tblLook w:val="0020" w:firstRow="1" w:lastRow="0" w:firstColumn="0" w:lastColumn="0" w:noHBand="0" w:noVBand="0"/>
      </w:tblPr>
      <w:tblGrid>
        <w:gridCol w:w="2940"/>
        <w:gridCol w:w="6636"/>
      </w:tblGrid>
      <w:tr w:rsidR="001537F8" w14:paraId="21CE3E77" w14:textId="77777777" w:rsidTr="0015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32AF0467" w14:textId="77777777" w:rsidR="001537F8" w:rsidRDefault="00000000">
            <w:pPr>
              <w:pStyle w:val="Compact"/>
            </w:pPr>
            <w:r>
              <w:t>Type of sampling</w:t>
            </w:r>
          </w:p>
        </w:tc>
        <w:tc>
          <w:tcPr>
            <w:tcW w:w="0" w:type="auto"/>
          </w:tcPr>
          <w:p w14:paraId="7F48AAD2" w14:textId="77777777" w:rsidR="001537F8" w:rsidRDefault="00000000">
            <w:pPr>
              <w:pStyle w:val="Compact"/>
            </w:pPr>
            <w:r>
              <w:t>Explanation</w:t>
            </w:r>
          </w:p>
        </w:tc>
      </w:tr>
      <w:tr w:rsidR="001537F8" w14:paraId="698D6ACF" w14:textId="77777777">
        <w:tc>
          <w:tcPr>
            <w:tcW w:w="0" w:type="auto"/>
          </w:tcPr>
          <w:p w14:paraId="003F1E98" w14:textId="77777777" w:rsidR="001537F8" w:rsidRDefault="00000000">
            <w:pPr>
              <w:pStyle w:val="Compact"/>
            </w:pPr>
            <w:r>
              <w:t>Ad hoc</w:t>
            </w:r>
          </w:p>
        </w:tc>
        <w:tc>
          <w:tcPr>
            <w:tcW w:w="0" w:type="auto"/>
          </w:tcPr>
          <w:p w14:paraId="10856C03" w14:textId="77777777" w:rsidR="001537F8" w:rsidRDefault="00000000">
            <w:pPr>
              <w:pStyle w:val="Compact"/>
            </w:pPr>
            <w:proofErr w:type="spellStart"/>
            <w:r>
              <w:t>Enrol</w:t>
            </w:r>
            <w:proofErr w:type="spellEnd"/>
            <w:r>
              <w:t xml:space="preserve"> patients as you are able, without systematic selection.</w:t>
            </w:r>
          </w:p>
        </w:tc>
      </w:tr>
      <w:tr w:rsidR="001537F8" w14:paraId="687D6F3D" w14:textId="77777777">
        <w:tc>
          <w:tcPr>
            <w:tcW w:w="0" w:type="auto"/>
          </w:tcPr>
          <w:p w14:paraId="7147667D" w14:textId="77777777" w:rsidR="001537F8" w:rsidRDefault="00000000">
            <w:pPr>
              <w:pStyle w:val="Compact"/>
            </w:pPr>
            <w:r>
              <w:t>Census</w:t>
            </w:r>
          </w:p>
        </w:tc>
        <w:tc>
          <w:tcPr>
            <w:tcW w:w="0" w:type="auto"/>
          </w:tcPr>
          <w:p w14:paraId="5B33ACEA" w14:textId="77777777" w:rsidR="001537F8" w:rsidRDefault="00000000">
            <w:pPr>
              <w:pStyle w:val="Compact"/>
            </w:pPr>
            <w:proofErr w:type="spellStart"/>
            <w:r>
              <w:t>Enrol</w:t>
            </w:r>
            <w:proofErr w:type="spellEnd"/>
            <w:r>
              <w:t xml:space="preserve"> all potential participants who present to your setting.</w:t>
            </w:r>
          </w:p>
        </w:tc>
      </w:tr>
      <w:tr w:rsidR="001537F8" w14:paraId="3B37DC8D" w14:textId="77777777">
        <w:tc>
          <w:tcPr>
            <w:tcW w:w="0" w:type="auto"/>
          </w:tcPr>
          <w:p w14:paraId="2F215605" w14:textId="77777777" w:rsidR="001537F8" w:rsidRDefault="00000000">
            <w:pPr>
              <w:pStyle w:val="Compact"/>
            </w:pPr>
            <w:r>
              <w:t>Sequential/systematic sampling</w:t>
            </w:r>
          </w:p>
        </w:tc>
        <w:tc>
          <w:tcPr>
            <w:tcW w:w="0" w:type="auto"/>
          </w:tcPr>
          <w:p w14:paraId="2CEDD602" w14:textId="77777777" w:rsidR="001537F8" w:rsidRDefault="00000000">
            <w:pPr>
              <w:pStyle w:val="Compact"/>
            </w:pPr>
            <w:proofErr w:type="spellStart"/>
            <w:r>
              <w:t>Enrol</w:t>
            </w:r>
            <w:proofErr w:type="spellEnd"/>
            <w:r>
              <w:t xml:space="preserve"> patients based on their time of presentation. E.g., every 3rd patient who presents to the hospital, or all patients who present on even calendar days (2nd, 4th, 6th)</w:t>
            </w:r>
          </w:p>
        </w:tc>
      </w:tr>
      <w:tr w:rsidR="001537F8" w14:paraId="777374BC" w14:textId="77777777">
        <w:tc>
          <w:tcPr>
            <w:tcW w:w="0" w:type="auto"/>
          </w:tcPr>
          <w:p w14:paraId="6914CE2F" w14:textId="77777777" w:rsidR="001537F8" w:rsidRDefault="00000000">
            <w:pPr>
              <w:pStyle w:val="Compact"/>
            </w:pPr>
            <w:r>
              <w:t>Simple random sampling</w:t>
            </w:r>
          </w:p>
        </w:tc>
        <w:tc>
          <w:tcPr>
            <w:tcW w:w="0" w:type="auto"/>
          </w:tcPr>
          <w:p w14:paraId="5E36CD6B" w14:textId="77777777" w:rsidR="001537F8" w:rsidRDefault="00000000">
            <w:pPr>
              <w:pStyle w:val="Compact"/>
            </w:pPr>
            <w:r>
              <w:t>Use a tool to randomly determine if each patient is enrolled. E.g., use an online tool to generate a random list of Yes/No variables in the desired proportion and apply them sequentially as patients present (note: this should be done so that no one knows the next variable)</w:t>
            </w:r>
          </w:p>
        </w:tc>
      </w:tr>
      <w:tr w:rsidR="001537F8" w14:paraId="37A6D9E1" w14:textId="77777777">
        <w:tc>
          <w:tcPr>
            <w:tcW w:w="0" w:type="auto"/>
          </w:tcPr>
          <w:p w14:paraId="23523B99" w14:textId="77777777" w:rsidR="001537F8" w:rsidRDefault="00000000">
            <w:pPr>
              <w:pStyle w:val="Compact"/>
            </w:pPr>
            <w:r>
              <w:t>Defined population census, e.g., ICU patients</w:t>
            </w:r>
          </w:p>
        </w:tc>
        <w:tc>
          <w:tcPr>
            <w:tcW w:w="0" w:type="auto"/>
          </w:tcPr>
          <w:p w14:paraId="24C51441" w14:textId="77777777" w:rsidR="001537F8" w:rsidRDefault="00000000">
            <w:pPr>
              <w:pStyle w:val="Compact"/>
            </w:pPr>
            <w:proofErr w:type="spellStart"/>
            <w:r>
              <w:t>Enrol</w:t>
            </w:r>
            <w:proofErr w:type="spellEnd"/>
            <w:r>
              <w:t xml:space="preserve"> all patients admitted to ICU.</w:t>
            </w:r>
          </w:p>
        </w:tc>
      </w:tr>
    </w:tbl>
    <w:p w14:paraId="17016588" w14:textId="77777777" w:rsidR="001537F8" w:rsidRDefault="00000000">
      <w:pPr>
        <w:pStyle w:val="Heading2"/>
      </w:pPr>
      <w:bookmarkStart w:id="42" w:name="_Toc169542004"/>
      <w:bookmarkStart w:id="43" w:name="approach-to-potential-participants"/>
      <w:bookmarkEnd w:id="39"/>
      <w:bookmarkEnd w:id="41"/>
      <w:r>
        <w:t>3.7 Approach to Potential Participants</w:t>
      </w:r>
      <w:bookmarkEnd w:id="42"/>
    </w:p>
    <w:p w14:paraId="2BA0CF40" w14:textId="77777777" w:rsidR="001537F8" w:rsidRDefault="00000000">
      <w:pPr>
        <w:pStyle w:val="Heading3"/>
      </w:pPr>
      <w:bookmarkStart w:id="44" w:name="_Toc169542005"/>
      <w:bookmarkStart w:id="45" w:name="module-0"/>
      <w:r>
        <w:t>3.7.1 Module 0</w:t>
      </w:r>
      <w:bookmarkEnd w:id="44"/>
    </w:p>
    <w:p w14:paraId="533B909B" w14:textId="77777777" w:rsidR="001537F8" w:rsidRDefault="00000000">
      <w:pPr>
        <w:pStyle w:val="FirstParagraph"/>
      </w:pPr>
      <w:r>
        <w:t>This requires collection of limited clinical data from the routine health record in a form that does not identify the patient. Consent will not be obtained.</w:t>
      </w:r>
    </w:p>
    <w:p w14:paraId="2F2779A7" w14:textId="77777777" w:rsidR="001537F8" w:rsidRDefault="00000000">
      <w:pPr>
        <w:pStyle w:val="Heading3"/>
      </w:pPr>
      <w:bookmarkStart w:id="46" w:name="_Toc169542006"/>
      <w:bookmarkStart w:id="47" w:name="modules-1-and-above."/>
      <w:bookmarkEnd w:id="45"/>
      <w:r>
        <w:t>3.7.2 Modules 1 and above.</w:t>
      </w:r>
      <w:bookmarkEnd w:id="46"/>
    </w:p>
    <w:p w14:paraId="1872D25D" w14:textId="77777777" w:rsidR="001537F8" w:rsidRDefault="00000000">
      <w:pPr>
        <w:pStyle w:val="FirstParagraph"/>
      </w:pPr>
      <w:r>
        <w:t xml:space="preserve">When it has been decided that biological sampling can be performed safely and appropriate consent has been obtained, samples taken early may be most useful for identification or evaluation of risk factors for disease progression at a </w:t>
      </w:r>
      <w:proofErr w:type="gramStart"/>
      <w:r>
        <w:t>clinically-relevant</w:t>
      </w:r>
      <w:proofErr w:type="gramEnd"/>
      <w:r>
        <w:t xml:space="preserve"> decision point. </w:t>
      </w:r>
      <w:proofErr w:type="gramStart"/>
      <w:r>
        <w:t>Therefore</w:t>
      </w:r>
      <w:proofErr w:type="gramEnd"/>
      <w:r>
        <w:t xml:space="preserve"> it is desirable to begin sampling as early as possible following presentation.</w:t>
      </w:r>
    </w:p>
    <w:p w14:paraId="07FCF355" w14:textId="77777777" w:rsidR="001537F8" w:rsidRDefault="00000000">
      <w:pPr>
        <w:pStyle w:val="BodyText"/>
      </w:pPr>
      <w:r>
        <w:t xml:space="preserve">Where patients lack capacity to consent to participation, an appropriate representative/consultee/parent/guardian will be approached by staff trained in consent procedures that protect the rights of the </w:t>
      </w:r>
      <w:proofErr w:type="gramStart"/>
      <w:r>
        <w:t>patient, and</w:t>
      </w:r>
      <w:proofErr w:type="gramEnd"/>
      <w:r>
        <w:t xml:space="preserve"> adhere to the ethical principles within the Declaration of Helsinki. Staff will explain the details of the study to the participant or </w:t>
      </w:r>
      <w:r>
        <w:lastRenderedPageBreak/>
        <w:t xml:space="preserve">parent/guardian/consultee and allow them time to discuss and ask questions. The staff will review the informed consent form with the person giving consent and </w:t>
      </w:r>
      <w:proofErr w:type="spellStart"/>
      <w:r>
        <w:t>endeavour</w:t>
      </w:r>
      <w:proofErr w:type="spellEnd"/>
      <w:r>
        <w:t xml:space="preserve"> to ensure understanding of the contents, including study procedures, risks, benefits, the right to withdraw and alternatives to participation. The consenting party will be asked to sign and date an informed consent form. If the patient is a child, the person with parental responsibility and the child, if competent, should both provide consent/ assent.</w:t>
      </w:r>
    </w:p>
    <w:p w14:paraId="0E0FCA8A" w14:textId="77777777" w:rsidR="001537F8" w:rsidRDefault="00000000">
      <w:pPr>
        <w:pStyle w:val="BodyText"/>
      </w:pPr>
      <w:r>
        <w:t>In view of the importance of early samples, participants or their parent/guardian/consultee will be permitted to consent immediately and begin to participate in the study if they wish to do so. Those who prefer more time to consider participation will be approached again after an agreed time, normally one day, to discuss further.</w:t>
      </w:r>
    </w:p>
    <w:p w14:paraId="0ED9CEA0" w14:textId="77777777" w:rsidR="001537F8" w:rsidRDefault="00000000">
      <w:pPr>
        <w:pStyle w:val="BodyText"/>
      </w:pPr>
      <w:r>
        <w:t xml:space="preserve">An outbreak involving a pathogen of public health interest or other exposure is an emergency. Patients who are incapable of giving consent in emergency situations are an exception to the general rule of informed consent in clinical research. This is clearly acknowledged in the Declaration of Helsinki (2008). The process of consent will comply with the principles of Good Clinical Practice and with the laws regulating clinical research in the recruiting </w:t>
      </w:r>
      <w:proofErr w:type="spellStart"/>
      <w:r>
        <w:t>centre</w:t>
      </w:r>
      <w:proofErr w:type="spellEnd"/>
      <w:r>
        <w:t>.</w:t>
      </w:r>
    </w:p>
    <w:p w14:paraId="54D89655" w14:textId="77777777" w:rsidR="001537F8" w:rsidRDefault="00000000">
      <w:pPr>
        <w:pStyle w:val="BodyText"/>
      </w:pPr>
      <w:r>
        <w:t xml:space="preserve">For studies that collect or collate only </w:t>
      </w:r>
      <w:proofErr w:type="spellStart"/>
      <w:r>
        <w:t>anonymised</w:t>
      </w:r>
      <w:proofErr w:type="spellEnd"/>
      <w:r>
        <w:t xml:space="preserve"> data that is normally collected, as part of routine care, consent may not be required.</w:t>
      </w:r>
    </w:p>
    <w:p w14:paraId="140C1C4A" w14:textId="77777777" w:rsidR="001537F8" w:rsidRDefault="00000000">
      <w:pPr>
        <w:pStyle w:val="Heading2"/>
      </w:pPr>
      <w:bookmarkStart w:id="48" w:name="_Toc169542007"/>
      <w:bookmarkStart w:id="49" w:name="standard-of-care"/>
      <w:bookmarkEnd w:id="43"/>
      <w:bookmarkEnd w:id="47"/>
      <w:r>
        <w:t>3.8 Standard of Care</w:t>
      </w:r>
      <w:bookmarkEnd w:id="48"/>
    </w:p>
    <w:p w14:paraId="2FA5FB74" w14:textId="77777777" w:rsidR="001537F8" w:rsidRDefault="00000000">
      <w:pPr>
        <w:pStyle w:val="FirstParagraph"/>
      </w:pPr>
      <w:r>
        <w:t>All patients will be treated according to standard clinical practice regardless of their participation in the study.</w:t>
      </w:r>
    </w:p>
    <w:p w14:paraId="0DAC704E" w14:textId="77777777" w:rsidR="001537F8" w:rsidRDefault="00000000">
      <w:pPr>
        <w:pStyle w:val="BodyText"/>
      </w:pPr>
      <w:r>
        <w:t>Provision of care will vary by site and by treating physician. It is not possible to define a single standard of care and therefore to define what samples will be taken as a part of medical management and when. The results of tests performed on research samples are unlikely to benefit the health of the participants.</w:t>
      </w:r>
    </w:p>
    <w:p w14:paraId="2B5D07AD" w14:textId="77777777" w:rsidR="001537F8" w:rsidRDefault="00000000">
      <w:pPr>
        <w:pStyle w:val="Heading2"/>
      </w:pPr>
      <w:bookmarkStart w:id="50" w:name="_Toc169542008"/>
      <w:bookmarkStart w:id="51" w:name="enrolment-procedures"/>
      <w:bookmarkEnd w:id="49"/>
      <w:r>
        <w:t>3.9 Enrolment Procedures</w:t>
      </w:r>
      <w:bookmarkEnd w:id="50"/>
    </w:p>
    <w:p w14:paraId="2AFC3930" w14:textId="77777777" w:rsidR="001537F8" w:rsidRDefault="00000000">
      <w:pPr>
        <w:pStyle w:val="FirstParagraph"/>
      </w:pPr>
      <w:r>
        <w:t>Potential participants who satisfy the inclusion/exclusion criteria and, where applicable, have given informed consent to participate, will be enrolled to the study. All participants will be assigned a study number. Sites that require an enrolment log will record the study number along with participant details and securely store this information with any signed consent forms.</w:t>
      </w:r>
    </w:p>
    <w:p w14:paraId="292AA8E7" w14:textId="77777777" w:rsidR="001537F8" w:rsidRDefault="00000000">
      <w:pPr>
        <w:pStyle w:val="BodyText"/>
      </w:pPr>
      <w:r>
        <w:t>The day of recruitment will be counted as Day 1. All study days will be counted from this point forward. When applicable, research sampling should occur as early as possible following enrolment.</w:t>
      </w:r>
    </w:p>
    <w:p w14:paraId="649E5DD0" w14:textId="77777777" w:rsidR="001537F8" w:rsidRDefault="00000000">
      <w:pPr>
        <w:pStyle w:val="Heading2"/>
      </w:pPr>
      <w:bookmarkStart w:id="52" w:name="_Toc169542009"/>
      <w:bookmarkStart w:id="53" w:name="X9ca195b18ab0c246c2cf404fa0d79f4b8c6d6ea"/>
      <w:bookmarkEnd w:id="51"/>
      <w:r>
        <w:lastRenderedPageBreak/>
        <w:t>3.10 Data Collection and Sampling for Patients</w:t>
      </w:r>
      <w:bookmarkEnd w:id="52"/>
    </w:p>
    <w:p w14:paraId="2A81E1BC" w14:textId="77777777" w:rsidR="001537F8" w:rsidRDefault="00000000">
      <w:pPr>
        <w:pStyle w:val="Heading3"/>
      </w:pPr>
      <w:bookmarkStart w:id="54" w:name="_Toc169542010"/>
      <w:bookmarkStart w:id="55" w:name="clinical-data-collection"/>
      <w:r>
        <w:t>3.10.1 Clinical Data Collection</w:t>
      </w:r>
      <w:bookmarkEnd w:id="54"/>
    </w:p>
    <w:p w14:paraId="53BDB5B9" w14:textId="77777777" w:rsidR="001537F8" w:rsidRDefault="00000000">
      <w:pPr>
        <w:pStyle w:val="FirstParagraph"/>
      </w:pPr>
      <w:r>
        <w:t xml:space="preserve">The study case report forms are designed to collect data at presentation (Presentation form), during the acute illness or hospital stay if applicable (Daily form), and at discharge, death, or the end of the study (Outcome form). The case report forms include the content outlined in </w:t>
      </w:r>
      <w:hyperlink w:anchor="sec-data-collection">
        <w:r>
          <w:rPr>
            <w:rStyle w:val="Hyperlink"/>
          </w:rPr>
          <w:t>Section 3.2.1</w:t>
        </w:r>
      </w:hyperlink>
      <w:r>
        <w:t>. The Principal Investigator will define which forms will be completed during the study, adjusting as needed to generate actionable data that respond to the priority knowledge gaps.</w:t>
      </w:r>
    </w:p>
    <w:p w14:paraId="2FF15E8A" w14:textId="77777777" w:rsidR="001537F8" w:rsidRDefault="00000000">
      <w:pPr>
        <w:pStyle w:val="Heading3"/>
      </w:pPr>
      <w:bookmarkStart w:id="56" w:name="_Toc169542011"/>
      <w:bookmarkStart w:id="57" w:name="sample-acquisition"/>
      <w:bookmarkEnd w:id="55"/>
      <w:r>
        <w:t>3.10.2 Sample acquisition</w:t>
      </w:r>
      <w:bookmarkEnd w:id="56"/>
    </w:p>
    <w:p w14:paraId="59C48FED" w14:textId="77777777" w:rsidR="001537F8" w:rsidRDefault="00000000">
      <w:pPr>
        <w:pStyle w:val="FirstParagraph"/>
      </w:pPr>
      <w:r>
        <w:t>Samples will be collected according to the protocol modular approach, available resources and the weight of the patient, to prevent excessive volume sampling from children, young people and small adults.</w:t>
      </w:r>
    </w:p>
    <w:p w14:paraId="64D24EFD" w14:textId="77777777" w:rsidR="001537F8" w:rsidRDefault="00000000">
      <w:pPr>
        <w:pStyle w:val="BodyText"/>
      </w:pPr>
      <w:r>
        <w:t xml:space="preserve">Samples required for clinical management will </w:t>
      </w:r>
      <w:proofErr w:type="gramStart"/>
      <w:r>
        <w:t>at all times</w:t>
      </w:r>
      <w:proofErr w:type="gramEnd"/>
      <w:r>
        <w:t xml:space="preserve">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w:t>
      </w:r>
      <w:proofErr w:type="gramStart"/>
      <w:r>
        <w:t>in order to</w:t>
      </w:r>
      <w:proofErr w:type="gramEnd"/>
      <w:r>
        <w:t xml:space="preserve"> </w:t>
      </w:r>
      <w:proofErr w:type="spellStart"/>
      <w:r>
        <w:t>minimise</w:t>
      </w:r>
      <w:proofErr w:type="spellEnd"/>
      <w:r>
        <w:t xml:space="preserve"> disruption to routine care and avoid unnecessary procedures.</w:t>
      </w:r>
    </w:p>
    <w:p w14:paraId="732D1C38" w14:textId="77777777" w:rsidR="001537F8" w:rsidRDefault="00000000">
      <w:pPr>
        <w:pStyle w:val="BodyText"/>
      </w:pPr>
      <w:r>
        <w:t xml:space="preserve">Some samples should be processed and stored at -80°C. We </w:t>
      </w:r>
      <w:proofErr w:type="spellStart"/>
      <w:r>
        <w:t>recognise</w:t>
      </w:r>
      <w:proofErr w:type="spellEnd"/>
      <w:r>
        <w:t xml:space="preserve"> that -80°C storage is not available at all sites. In this </w:t>
      </w:r>
      <w:proofErr w:type="gramStart"/>
      <w:r>
        <w:t>case</w:t>
      </w:r>
      <w:proofErr w:type="gramEnd"/>
      <w:r>
        <w:t xml:space="preserve"> please store at coldest available temperature and at least -20°C.</w:t>
      </w:r>
    </w:p>
    <w:p w14:paraId="24A08828" w14:textId="77777777" w:rsidR="001537F8" w:rsidRDefault="00000000">
      <w:pPr>
        <w:pStyle w:val="BodyText"/>
      </w:pPr>
      <w:r>
        <w:t>For patients with high consequence pathogens, the biological sampling will be limited to extra volumes of blood taken at times to coincide when blood is being taken for clinical purposes and then only at the discretion of the clinical team.</w:t>
      </w:r>
    </w:p>
    <w:p w14:paraId="3D942B17" w14:textId="77777777" w:rsidR="001537F8" w:rsidRDefault="00000000">
      <w:pPr>
        <w:pStyle w:val="Heading3"/>
      </w:pPr>
      <w:bookmarkStart w:id="58" w:name="_Toc169542012"/>
      <w:bookmarkStart w:id="59" w:name="sample-collection-schedules"/>
      <w:bookmarkEnd w:id="57"/>
      <w:r>
        <w:t>3.10.3 Sample Collection Schedules</w:t>
      </w:r>
      <w:bookmarkEnd w:id="58"/>
    </w:p>
    <w:p w14:paraId="7845F2E9" w14:textId="77777777" w:rsidR="001537F8" w:rsidRDefault="00000000">
      <w:pPr>
        <w:pStyle w:val="FirstParagraph"/>
      </w:pPr>
      <w:r>
        <w:t xml:space="preserve">Samples will be obtained up to a maximum frequency of daily, within the maximum sample volumes shown in </w:t>
      </w:r>
      <w:hyperlink w:anchor="tbl-max-blood-vol">
        <w:r>
          <w:rPr>
            <w:rStyle w:val="Hyperlink"/>
          </w:rPr>
          <w:t>Table 1</w:t>
        </w:r>
      </w:hyperlink>
      <w:r>
        <w:t xml:space="preserve">. In almost all cases the sampling frequency will be much less than this maximum. The current active sampling module and frequency are decided by the local principal investigator at each site and recorded at the front of the site file. For an example of this guidance, see </w:t>
      </w:r>
      <w:hyperlink w:anchor="sec-example-guidance">
        <w:r>
          <w:rPr>
            <w:rStyle w:val="Hyperlink"/>
          </w:rPr>
          <w:t>Section 3.10.6</w:t>
        </w:r>
      </w:hyperlink>
      <w:r>
        <w:t>.</w:t>
      </w:r>
    </w:p>
    <w:p w14:paraId="2E84C184" w14:textId="77777777" w:rsidR="001537F8" w:rsidRDefault="00000000">
      <w:pPr>
        <w:pStyle w:val="BodyText"/>
      </w:pPr>
      <w:r>
        <w:t>Since this would in all cases result in a reduced burden to patients and recruiting sites, no additional ethical or management approval will be sought to omit samples specified here.</w:t>
      </w:r>
    </w:p>
    <w:p w14:paraId="3600BBF2" w14:textId="77777777" w:rsidR="001537F8" w:rsidRDefault="00000000">
      <w:pPr>
        <w:pStyle w:val="Heading3"/>
      </w:pPr>
      <w:bookmarkStart w:id="60" w:name="_Toc169542013"/>
      <w:bookmarkStart w:id="61" w:name="X0f325f0011ba86ae3dc3a9aaa5bdbd41a3bc0a5"/>
      <w:bookmarkEnd w:id="59"/>
      <w:r>
        <w:t>3.10.4 Specimen Sampling, Storage Procedures and Transport</w:t>
      </w:r>
      <w:bookmarkEnd w:id="60"/>
    </w:p>
    <w:p w14:paraId="55370855" w14:textId="77777777" w:rsidR="001537F8" w:rsidRDefault="00000000">
      <w:pPr>
        <w:pStyle w:val="FirstParagraph"/>
      </w:pPr>
      <w:r>
        <w:t>Local hospital protocols will be used to collect and handle specimens. Guidance on the collection of specimens from patients with emerging infections can be found on the WHO website.</w:t>
      </w:r>
    </w:p>
    <w:p w14:paraId="3B47816A" w14:textId="77777777" w:rsidR="001537F8" w:rsidRDefault="00000000">
      <w:pPr>
        <w:pStyle w:val="BodyText"/>
      </w:pPr>
      <w:r>
        <w:lastRenderedPageBreak/>
        <w:t>In dealing with novel pathogens where little is known about transmissibility and/or virulence or potentially noxious agents, great care must be exercised to ensure the safety of hospital staff and other patients. Adherence to collection protocols, biosafety and adequate personal protective equipment (PPE) is essential. Biosafety procedures will be as per local policy/guidance, will be in keeping with any national and/or international regulations, and will be applied to the collection, storage, transfer and laboratory handling of research samples.</w:t>
      </w:r>
    </w:p>
    <w:p w14:paraId="413CA5DC" w14:textId="77777777" w:rsidR="001537F8" w:rsidRDefault="00000000">
      <w:pPr>
        <w:pStyle w:val="BodyText"/>
      </w:pPr>
      <w:r>
        <w:t xml:space="preserve">Emerging or remerging pathogens may be classified as requiring BSL2, BSL3 or BSL4 safety management and guidelines should be consulted as per hospital protocol. In addition, an emergent agent may also be risk assessed as posing a threat to animal </w:t>
      </w:r>
      <w:proofErr w:type="gramStart"/>
      <w:r>
        <w:t>health, and</w:t>
      </w:r>
      <w:proofErr w:type="gramEnd"/>
      <w:r>
        <w:t xml:space="preserve"> may be regulated under the specified animal pathogens order as well. Laboratories planning to participate in the study should consider how they would fulfil a requirement to handle research samples in addition to clinical samples.</w:t>
      </w:r>
    </w:p>
    <w:p w14:paraId="4EB3C768" w14:textId="77777777" w:rsidR="001537F8" w:rsidRDefault="00000000">
      <w:pPr>
        <w:pStyle w:val="BodyText"/>
      </w:pPr>
      <w:r>
        <w:t>All samples collected must be labelled according to local policy.</w:t>
      </w:r>
    </w:p>
    <w:p w14:paraId="61F5BC7E" w14:textId="77777777" w:rsidR="001537F8" w:rsidRDefault="00000000">
      <w:pPr>
        <w:pStyle w:val="Heading3"/>
      </w:pPr>
      <w:bookmarkStart w:id="62" w:name="_Toc169542014"/>
      <w:bookmarkStart w:id="63" w:name="samples-to-be-obtained"/>
      <w:bookmarkEnd w:id="61"/>
      <w:r>
        <w:t>3.10.5 Samples to be obtained</w:t>
      </w:r>
      <w:bookmarkEnd w:id="62"/>
    </w:p>
    <w:p w14:paraId="2B4D1434" w14:textId="77777777" w:rsidR="001537F8" w:rsidRDefault="00000000">
      <w:pPr>
        <w:pStyle w:val="FirstParagraph"/>
      </w:pPr>
      <w:r>
        <w:t xml:space="preserve">Tables </w:t>
      </w:r>
      <w:hyperlink w:anchor="tbl-max-blood-vol">
        <w:r>
          <w:rPr>
            <w:rStyle w:val="Hyperlink"/>
          </w:rPr>
          <w:t>Table 1</w:t>
        </w:r>
      </w:hyperlink>
      <w:r>
        <w:t xml:space="preserve"> shows the maximum volumes of each sample to be obtained. In the event of CCP activation, a modified table of sample processing instructions in </w:t>
      </w:r>
      <w:hyperlink w:anchor="tbl-sample-processing-m1">
        <w:r>
          <w:rPr>
            <w:rStyle w:val="Hyperlink"/>
          </w:rPr>
          <w:t>Table 3</w:t>
        </w:r>
      </w:hyperlink>
      <w:r>
        <w:t xml:space="preserve"> and </w:t>
      </w:r>
      <w:hyperlink w:anchor="tbl-sample-processing-m2">
        <w:r>
          <w:rPr>
            <w:rStyle w:val="Hyperlink"/>
          </w:rPr>
          <w:t>Table 4</w:t>
        </w:r>
      </w:hyperlink>
      <w:r>
        <w:t xml:space="preserve"> will be provided to each site, </w:t>
      </w:r>
      <w:proofErr w:type="spellStart"/>
      <w:r>
        <w:t>specifiying</w:t>
      </w:r>
      <w:proofErr w:type="spellEnd"/>
      <w:r>
        <w:t xml:space="preserve"> which samples are to be obtained. As the activation evolves and understanding of the emerging syndrome or outbreak advances, this will be further modified.</w:t>
      </w:r>
    </w:p>
    <w:p w14:paraId="470CCDFB" w14:textId="77777777" w:rsidR="001537F8" w:rsidRDefault="00000000">
      <w:pPr>
        <w:pStyle w:val="TableCaption"/>
      </w:pPr>
      <w:bookmarkStart w:id="64" w:name="tbl-max-blood-vol"/>
      <w:r>
        <w:t>Table 1: Blood sample volumes limited by the estimated weight of the patient. In the absence of a measured weight, people aged 18 years and over may generally be assumed to be over 40kg unless there is other clinical concern.</w:t>
      </w:r>
    </w:p>
    <w:tbl>
      <w:tblPr>
        <w:tblStyle w:val="Table"/>
        <w:tblW w:w="4952" w:type="pct"/>
        <w:tblLook w:val="0020" w:firstRow="1" w:lastRow="0" w:firstColumn="0" w:lastColumn="0" w:noHBand="0" w:noVBand="0"/>
        <w:tblCaption w:val="Table 1: Blood sample volumes limited by the estimated weight of the patient. In the absence of a measured weight, people aged 18 years and over may generally be assumed to be over 40kg unless there is other clinical concern."/>
      </w:tblPr>
      <w:tblGrid>
        <w:gridCol w:w="1687"/>
        <w:gridCol w:w="3530"/>
        <w:gridCol w:w="4267"/>
      </w:tblGrid>
      <w:tr w:rsidR="001537F8" w14:paraId="121535A3" w14:textId="77777777" w:rsidTr="0015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5146EDC6" w14:textId="77777777" w:rsidR="001537F8" w:rsidRDefault="00000000">
            <w:pPr>
              <w:pStyle w:val="Compact"/>
            </w:pPr>
            <w:r>
              <w:t>Weight</w:t>
            </w:r>
          </w:p>
        </w:tc>
        <w:tc>
          <w:tcPr>
            <w:tcW w:w="0" w:type="auto"/>
          </w:tcPr>
          <w:p w14:paraId="291CABBC" w14:textId="77777777" w:rsidR="001537F8" w:rsidRDefault="00000000">
            <w:pPr>
              <w:pStyle w:val="Compact"/>
            </w:pPr>
            <w:r>
              <w:t>Samples at each scheduled time</w:t>
            </w:r>
          </w:p>
        </w:tc>
        <w:tc>
          <w:tcPr>
            <w:tcW w:w="0" w:type="auto"/>
          </w:tcPr>
          <w:p w14:paraId="4BF506DD" w14:textId="77777777" w:rsidR="001537F8" w:rsidRDefault="00000000">
            <w:pPr>
              <w:pStyle w:val="Compact"/>
            </w:pPr>
            <w:r>
              <w:t>Total volume of blood</w:t>
            </w:r>
          </w:p>
        </w:tc>
      </w:tr>
      <w:tr w:rsidR="001537F8" w14:paraId="7E4BB01F" w14:textId="77777777">
        <w:tc>
          <w:tcPr>
            <w:tcW w:w="0" w:type="auto"/>
          </w:tcPr>
          <w:p w14:paraId="52B77087" w14:textId="77777777" w:rsidR="001537F8" w:rsidRDefault="00000000">
            <w:pPr>
              <w:pStyle w:val="BlockText"/>
            </w:pPr>
            <w:r>
              <w:t>40kg</w:t>
            </w:r>
          </w:p>
        </w:tc>
        <w:tc>
          <w:tcPr>
            <w:tcW w:w="0" w:type="auto"/>
          </w:tcPr>
          <w:p w14:paraId="6264BB5D" w14:textId="77777777" w:rsidR="001537F8" w:rsidRDefault="00000000">
            <w:pPr>
              <w:pStyle w:val="Compact"/>
              <w:numPr>
                <w:ilvl w:val="0"/>
                <w:numId w:val="10"/>
              </w:numPr>
            </w:pPr>
            <w:r>
              <w:t>3ml blood in blood RNA tube</w:t>
            </w:r>
          </w:p>
          <w:p w14:paraId="4D74D433" w14:textId="77777777" w:rsidR="001537F8" w:rsidRDefault="00000000">
            <w:pPr>
              <w:pStyle w:val="Compact"/>
              <w:numPr>
                <w:ilvl w:val="0"/>
                <w:numId w:val="10"/>
              </w:numPr>
            </w:pPr>
            <w:r>
              <w:t>3ml (1x3ml) EDTA blood</w:t>
            </w:r>
          </w:p>
          <w:p w14:paraId="15FD7435" w14:textId="77777777" w:rsidR="001537F8" w:rsidRDefault="00000000">
            <w:pPr>
              <w:pStyle w:val="Compact"/>
              <w:numPr>
                <w:ilvl w:val="0"/>
                <w:numId w:val="10"/>
              </w:numPr>
            </w:pPr>
            <w:r>
              <w:t>6ml (2x3ml) EDTA blood</w:t>
            </w:r>
          </w:p>
          <w:p w14:paraId="375FDA44" w14:textId="77777777" w:rsidR="001537F8" w:rsidRDefault="00000000">
            <w:pPr>
              <w:pStyle w:val="Compact"/>
              <w:numPr>
                <w:ilvl w:val="0"/>
                <w:numId w:val="10"/>
              </w:numPr>
            </w:pPr>
            <w:r>
              <w:t>3ml blood in serum (clotted) tube</w:t>
            </w:r>
          </w:p>
          <w:p w14:paraId="73452157" w14:textId="77777777" w:rsidR="001537F8" w:rsidRDefault="00000000">
            <w:pPr>
              <w:pStyle w:val="Compact"/>
              <w:numPr>
                <w:ilvl w:val="0"/>
                <w:numId w:val="10"/>
              </w:numPr>
            </w:pPr>
            <w:r>
              <w:t>3.5ml blood in sodium citrate tube</w:t>
            </w:r>
          </w:p>
          <w:p w14:paraId="3E1D011D" w14:textId="77777777" w:rsidR="001537F8" w:rsidRDefault="00000000">
            <w:pPr>
              <w:pStyle w:val="Compact"/>
              <w:numPr>
                <w:ilvl w:val="0"/>
                <w:numId w:val="10"/>
              </w:numPr>
            </w:pPr>
            <w:r>
              <w:t>Research pathogen samples</w:t>
            </w:r>
          </w:p>
        </w:tc>
        <w:tc>
          <w:tcPr>
            <w:tcW w:w="0" w:type="auto"/>
          </w:tcPr>
          <w:p w14:paraId="79C08EC6" w14:textId="77777777" w:rsidR="001537F8" w:rsidRDefault="00000000">
            <w:pPr>
              <w:pStyle w:val="Compact"/>
              <w:numPr>
                <w:ilvl w:val="0"/>
                <w:numId w:val="11"/>
              </w:numPr>
            </w:pPr>
            <w:r>
              <w:t>Maximum any day: 18.5ml (0.46ml/kg)</w:t>
            </w:r>
          </w:p>
          <w:p w14:paraId="6B322894" w14:textId="77777777" w:rsidR="001537F8" w:rsidRDefault="00000000">
            <w:pPr>
              <w:pStyle w:val="Compact"/>
              <w:numPr>
                <w:ilvl w:val="0"/>
                <w:numId w:val="11"/>
              </w:numPr>
            </w:pPr>
            <w:r>
              <w:t>Maximum any 4 weeks: 96ml (max 2.4ml/kg)</w:t>
            </w:r>
          </w:p>
        </w:tc>
      </w:tr>
      <w:tr w:rsidR="001537F8" w14:paraId="5BEB9625" w14:textId="77777777">
        <w:tc>
          <w:tcPr>
            <w:tcW w:w="0" w:type="auto"/>
          </w:tcPr>
          <w:p w14:paraId="38B086EE" w14:textId="77777777" w:rsidR="001537F8" w:rsidRDefault="00000000">
            <w:pPr>
              <w:pStyle w:val="Compact"/>
            </w:pPr>
            <w:r>
              <w:t>20 to 40kg</w:t>
            </w:r>
          </w:p>
        </w:tc>
        <w:tc>
          <w:tcPr>
            <w:tcW w:w="0" w:type="auto"/>
          </w:tcPr>
          <w:p w14:paraId="67352110" w14:textId="77777777" w:rsidR="001537F8" w:rsidRDefault="00000000">
            <w:pPr>
              <w:pStyle w:val="Compact"/>
              <w:numPr>
                <w:ilvl w:val="0"/>
                <w:numId w:val="12"/>
              </w:numPr>
            </w:pPr>
            <w:r>
              <w:t>3ml blood in blood RNA tube</w:t>
            </w:r>
          </w:p>
          <w:p w14:paraId="7C426363" w14:textId="77777777" w:rsidR="001537F8" w:rsidRDefault="00000000">
            <w:pPr>
              <w:pStyle w:val="Compact"/>
              <w:numPr>
                <w:ilvl w:val="0"/>
                <w:numId w:val="12"/>
              </w:numPr>
            </w:pPr>
            <w:r>
              <w:t>3ml EDTA blood</w:t>
            </w:r>
          </w:p>
          <w:p w14:paraId="19EBC17B" w14:textId="77777777" w:rsidR="001537F8" w:rsidRDefault="00000000">
            <w:pPr>
              <w:pStyle w:val="Compact"/>
              <w:numPr>
                <w:ilvl w:val="0"/>
                <w:numId w:val="12"/>
              </w:numPr>
            </w:pPr>
            <w:r>
              <w:t>3ml EDTA blood</w:t>
            </w:r>
          </w:p>
          <w:p w14:paraId="046A508C" w14:textId="77777777" w:rsidR="001537F8" w:rsidRDefault="00000000">
            <w:pPr>
              <w:pStyle w:val="Compact"/>
              <w:numPr>
                <w:ilvl w:val="0"/>
                <w:numId w:val="12"/>
              </w:numPr>
            </w:pPr>
            <w:r>
              <w:t>3ml blood in serum (clotted) tube</w:t>
            </w:r>
          </w:p>
          <w:p w14:paraId="7DA0BB8F" w14:textId="77777777" w:rsidR="001537F8" w:rsidRDefault="00000000">
            <w:pPr>
              <w:pStyle w:val="Compact"/>
              <w:numPr>
                <w:ilvl w:val="0"/>
                <w:numId w:val="12"/>
              </w:numPr>
            </w:pPr>
            <w:r>
              <w:lastRenderedPageBreak/>
              <w:t>3ml blood in sodium citrate tube</w:t>
            </w:r>
          </w:p>
          <w:p w14:paraId="1A485FB4" w14:textId="77777777" w:rsidR="001537F8" w:rsidRDefault="00000000">
            <w:pPr>
              <w:pStyle w:val="Compact"/>
              <w:numPr>
                <w:ilvl w:val="0"/>
                <w:numId w:val="12"/>
              </w:numPr>
            </w:pPr>
            <w:r>
              <w:t>Research pathogen samples</w:t>
            </w:r>
          </w:p>
        </w:tc>
        <w:tc>
          <w:tcPr>
            <w:tcW w:w="0" w:type="auto"/>
          </w:tcPr>
          <w:p w14:paraId="658C2E84" w14:textId="77777777" w:rsidR="001537F8" w:rsidRDefault="00000000">
            <w:pPr>
              <w:pStyle w:val="Compact"/>
              <w:numPr>
                <w:ilvl w:val="0"/>
                <w:numId w:val="13"/>
              </w:numPr>
            </w:pPr>
            <w:r>
              <w:lastRenderedPageBreak/>
              <w:t>Maximum any day: 15ml (0.6ml/kg)</w:t>
            </w:r>
          </w:p>
          <w:p w14:paraId="4DE16BA6" w14:textId="77777777" w:rsidR="001537F8" w:rsidRDefault="00000000">
            <w:pPr>
              <w:pStyle w:val="Compact"/>
              <w:numPr>
                <w:ilvl w:val="0"/>
                <w:numId w:val="13"/>
              </w:numPr>
            </w:pPr>
            <w:r>
              <w:t>Maximum any 4 weeks: 42ml (max 2.1ml/kg)</w:t>
            </w:r>
          </w:p>
        </w:tc>
      </w:tr>
      <w:tr w:rsidR="001537F8" w14:paraId="3EA4FEB1" w14:textId="77777777">
        <w:tc>
          <w:tcPr>
            <w:tcW w:w="0" w:type="auto"/>
          </w:tcPr>
          <w:p w14:paraId="77EBF748" w14:textId="77777777" w:rsidR="001537F8" w:rsidRDefault="00000000">
            <w:pPr>
              <w:pStyle w:val="Compact"/>
            </w:pPr>
            <w:r>
              <w:t>10 to 20kg</w:t>
            </w:r>
          </w:p>
        </w:tc>
        <w:tc>
          <w:tcPr>
            <w:tcW w:w="0" w:type="auto"/>
          </w:tcPr>
          <w:p w14:paraId="327A904D" w14:textId="77777777" w:rsidR="001537F8" w:rsidRDefault="00000000">
            <w:pPr>
              <w:pStyle w:val="Compact"/>
              <w:numPr>
                <w:ilvl w:val="0"/>
                <w:numId w:val="14"/>
              </w:numPr>
            </w:pPr>
            <w:r>
              <w:t>2ml blood in blood RNA tube</w:t>
            </w:r>
          </w:p>
          <w:p w14:paraId="22FE994A" w14:textId="77777777" w:rsidR="001537F8" w:rsidRDefault="00000000">
            <w:pPr>
              <w:pStyle w:val="Compact"/>
              <w:numPr>
                <w:ilvl w:val="0"/>
                <w:numId w:val="14"/>
              </w:numPr>
            </w:pPr>
            <w:r>
              <w:t>1ml EDTA blood</w:t>
            </w:r>
          </w:p>
          <w:p w14:paraId="1C4B7205" w14:textId="77777777" w:rsidR="001537F8" w:rsidRDefault="00000000">
            <w:pPr>
              <w:pStyle w:val="Compact"/>
              <w:numPr>
                <w:ilvl w:val="0"/>
                <w:numId w:val="14"/>
              </w:numPr>
            </w:pPr>
            <w:r>
              <w:t>1ml EDTA blood</w:t>
            </w:r>
          </w:p>
          <w:p w14:paraId="1561DDE5" w14:textId="77777777" w:rsidR="001537F8" w:rsidRDefault="00000000">
            <w:pPr>
              <w:pStyle w:val="Compact"/>
              <w:numPr>
                <w:ilvl w:val="0"/>
                <w:numId w:val="14"/>
              </w:numPr>
            </w:pPr>
            <w:r>
              <w:t>2ml blood in serum (clotted) tube</w:t>
            </w:r>
          </w:p>
          <w:p w14:paraId="668A56E2" w14:textId="77777777" w:rsidR="001537F8" w:rsidRDefault="00000000">
            <w:pPr>
              <w:pStyle w:val="Compact"/>
              <w:numPr>
                <w:ilvl w:val="0"/>
                <w:numId w:val="14"/>
              </w:numPr>
            </w:pPr>
            <w:r>
              <w:t>2ml blood in sodium citrate tube</w:t>
            </w:r>
          </w:p>
          <w:p w14:paraId="6433FAE2" w14:textId="77777777" w:rsidR="001537F8" w:rsidRDefault="00000000">
            <w:pPr>
              <w:pStyle w:val="Compact"/>
              <w:numPr>
                <w:ilvl w:val="0"/>
                <w:numId w:val="14"/>
              </w:numPr>
            </w:pPr>
            <w:r>
              <w:t>Research pathogen samples</w:t>
            </w:r>
          </w:p>
        </w:tc>
        <w:tc>
          <w:tcPr>
            <w:tcW w:w="0" w:type="auto"/>
          </w:tcPr>
          <w:p w14:paraId="392CA7B0" w14:textId="77777777" w:rsidR="001537F8" w:rsidRDefault="00000000">
            <w:pPr>
              <w:pStyle w:val="Compact"/>
              <w:numPr>
                <w:ilvl w:val="0"/>
                <w:numId w:val="15"/>
              </w:numPr>
            </w:pPr>
            <w:r>
              <w:t>Maximum any day: 8ml (0.6ml/kg)</w:t>
            </w:r>
          </w:p>
          <w:p w14:paraId="0129E0E2" w14:textId="77777777" w:rsidR="001537F8" w:rsidRDefault="00000000">
            <w:pPr>
              <w:pStyle w:val="Compact"/>
              <w:numPr>
                <w:ilvl w:val="0"/>
                <w:numId w:val="15"/>
              </w:numPr>
            </w:pPr>
            <w:r>
              <w:t>Maximum any 4 weeks: 23.6ml (max 2.36ml/kg)</w:t>
            </w:r>
          </w:p>
        </w:tc>
      </w:tr>
      <w:tr w:rsidR="001537F8" w14:paraId="18134A73" w14:textId="77777777">
        <w:tc>
          <w:tcPr>
            <w:tcW w:w="0" w:type="auto"/>
          </w:tcPr>
          <w:p w14:paraId="5ACB95CE" w14:textId="77777777" w:rsidR="001537F8" w:rsidRDefault="00000000">
            <w:pPr>
              <w:pStyle w:val="Compact"/>
            </w:pPr>
            <w:r>
              <w:t>4 to 10kg</w:t>
            </w:r>
          </w:p>
        </w:tc>
        <w:tc>
          <w:tcPr>
            <w:tcW w:w="0" w:type="auto"/>
          </w:tcPr>
          <w:p w14:paraId="4F3EEC68" w14:textId="77777777" w:rsidR="001537F8" w:rsidRDefault="00000000">
            <w:pPr>
              <w:pStyle w:val="Compact"/>
              <w:numPr>
                <w:ilvl w:val="0"/>
                <w:numId w:val="16"/>
              </w:numPr>
            </w:pPr>
            <w:r>
              <w:t>0.5ml blood in blood RNA tube</w:t>
            </w:r>
          </w:p>
          <w:p w14:paraId="3C003330" w14:textId="77777777" w:rsidR="001537F8" w:rsidRDefault="00000000">
            <w:pPr>
              <w:pStyle w:val="Compact"/>
              <w:numPr>
                <w:ilvl w:val="0"/>
                <w:numId w:val="16"/>
              </w:numPr>
            </w:pPr>
            <w:r>
              <w:t>1ml EDTA blood</w:t>
            </w:r>
          </w:p>
          <w:p w14:paraId="6EB8975E" w14:textId="77777777" w:rsidR="001537F8" w:rsidRDefault="00000000">
            <w:pPr>
              <w:pStyle w:val="Compact"/>
              <w:numPr>
                <w:ilvl w:val="0"/>
                <w:numId w:val="16"/>
              </w:numPr>
            </w:pPr>
            <w:r>
              <w:t>0.5ml blood in serum (clotted) tube</w:t>
            </w:r>
          </w:p>
          <w:p w14:paraId="3A93F6AC" w14:textId="77777777" w:rsidR="001537F8" w:rsidRDefault="00000000">
            <w:pPr>
              <w:pStyle w:val="Compact"/>
              <w:numPr>
                <w:ilvl w:val="0"/>
                <w:numId w:val="16"/>
              </w:numPr>
            </w:pPr>
            <w:r>
              <w:t>0.5ml blood in sodium citrate tube</w:t>
            </w:r>
          </w:p>
          <w:p w14:paraId="596AF22F" w14:textId="77777777" w:rsidR="001537F8" w:rsidRDefault="00000000">
            <w:pPr>
              <w:pStyle w:val="Compact"/>
              <w:numPr>
                <w:ilvl w:val="0"/>
                <w:numId w:val="16"/>
              </w:numPr>
            </w:pPr>
            <w:r>
              <w:t>Research pathogen samples</w:t>
            </w:r>
          </w:p>
        </w:tc>
        <w:tc>
          <w:tcPr>
            <w:tcW w:w="0" w:type="auto"/>
          </w:tcPr>
          <w:p w14:paraId="76D9DCC6" w14:textId="77777777" w:rsidR="001537F8" w:rsidRDefault="00000000">
            <w:pPr>
              <w:pStyle w:val="Compact"/>
              <w:numPr>
                <w:ilvl w:val="0"/>
                <w:numId w:val="17"/>
              </w:numPr>
            </w:pPr>
            <w:r>
              <w:t>Maximum any day: 2.5ml (0.5ml/kg)</w:t>
            </w:r>
          </w:p>
          <w:p w14:paraId="1EF780C2" w14:textId="77777777" w:rsidR="001537F8" w:rsidRDefault="00000000">
            <w:pPr>
              <w:pStyle w:val="Compact"/>
              <w:numPr>
                <w:ilvl w:val="0"/>
                <w:numId w:val="17"/>
              </w:numPr>
            </w:pPr>
            <w:r>
              <w:t>Maximum any 4 weeks: 9.4ml (max 2.35ml/kg)</w:t>
            </w:r>
          </w:p>
        </w:tc>
      </w:tr>
      <w:tr w:rsidR="001537F8" w14:paraId="1510496B" w14:textId="77777777">
        <w:tc>
          <w:tcPr>
            <w:tcW w:w="0" w:type="auto"/>
          </w:tcPr>
          <w:p w14:paraId="371BEB8E" w14:textId="77777777" w:rsidR="001537F8" w:rsidRDefault="00000000">
            <w:pPr>
              <w:pStyle w:val="Compact"/>
            </w:pPr>
            <w:r>
              <w:t>&lt;4kg</w:t>
            </w:r>
          </w:p>
        </w:tc>
        <w:tc>
          <w:tcPr>
            <w:tcW w:w="0" w:type="auto"/>
          </w:tcPr>
          <w:p w14:paraId="45286EE4" w14:textId="77777777" w:rsidR="001537F8" w:rsidRDefault="00000000">
            <w:pPr>
              <w:pStyle w:val="Compact"/>
              <w:numPr>
                <w:ilvl w:val="0"/>
                <w:numId w:val="18"/>
              </w:numPr>
            </w:pPr>
            <w:r>
              <w:t>0.2ml blood in blood RNA tube</w:t>
            </w:r>
          </w:p>
          <w:p w14:paraId="3B330588" w14:textId="77777777" w:rsidR="001537F8" w:rsidRDefault="00000000">
            <w:pPr>
              <w:pStyle w:val="Compact"/>
              <w:numPr>
                <w:ilvl w:val="0"/>
                <w:numId w:val="18"/>
              </w:numPr>
            </w:pPr>
            <w:r>
              <w:t>0.5ml EDTA blood</w:t>
            </w:r>
          </w:p>
          <w:p w14:paraId="2F68110B" w14:textId="77777777" w:rsidR="001537F8" w:rsidRDefault="00000000">
            <w:pPr>
              <w:pStyle w:val="Compact"/>
              <w:numPr>
                <w:ilvl w:val="0"/>
                <w:numId w:val="18"/>
              </w:numPr>
            </w:pPr>
            <w:r>
              <w:t>0.2ml blood in serum (clotted) tube</w:t>
            </w:r>
          </w:p>
          <w:p w14:paraId="46629648" w14:textId="77777777" w:rsidR="001537F8" w:rsidRDefault="00000000">
            <w:pPr>
              <w:pStyle w:val="Compact"/>
              <w:numPr>
                <w:ilvl w:val="0"/>
                <w:numId w:val="18"/>
              </w:numPr>
            </w:pPr>
            <w:r>
              <w:t>0.2ml blood in sodium citrate tube</w:t>
            </w:r>
          </w:p>
          <w:p w14:paraId="4F2C2657" w14:textId="77777777" w:rsidR="001537F8" w:rsidRDefault="00000000">
            <w:pPr>
              <w:pStyle w:val="Compact"/>
              <w:numPr>
                <w:ilvl w:val="0"/>
                <w:numId w:val="18"/>
              </w:numPr>
            </w:pPr>
            <w:r>
              <w:t>Research pathogen samples</w:t>
            </w:r>
          </w:p>
        </w:tc>
        <w:tc>
          <w:tcPr>
            <w:tcW w:w="0" w:type="auto"/>
          </w:tcPr>
          <w:p w14:paraId="6BC7BDCE" w14:textId="77777777" w:rsidR="001537F8" w:rsidRDefault="00000000">
            <w:pPr>
              <w:pStyle w:val="Compact"/>
              <w:numPr>
                <w:ilvl w:val="0"/>
                <w:numId w:val="19"/>
              </w:numPr>
            </w:pPr>
            <w:r>
              <w:t>Maximum any day: 1.1ml (~0.27ml/kg)</w:t>
            </w:r>
          </w:p>
          <w:p w14:paraId="68C97EBF" w14:textId="77777777" w:rsidR="001537F8" w:rsidRDefault="00000000">
            <w:pPr>
              <w:pStyle w:val="Compact"/>
              <w:numPr>
                <w:ilvl w:val="0"/>
                <w:numId w:val="19"/>
              </w:numPr>
            </w:pPr>
            <w:r>
              <w:t>Maximum any 4 weeks: 4.4ml (max 2.4ml/kg)</w:t>
            </w:r>
          </w:p>
        </w:tc>
      </w:tr>
    </w:tbl>
    <w:bookmarkEnd w:id="64"/>
    <w:p w14:paraId="2CDD5428" w14:textId="77777777" w:rsidR="001537F8" w:rsidRDefault="00000000">
      <w:pPr>
        <w:pStyle w:val="FirstParagraph"/>
      </w:pPr>
      <w:r>
        <w:t xml:space="preserve">Where samples are obtained opportunistically during </w:t>
      </w:r>
      <w:proofErr w:type="gramStart"/>
      <w:r>
        <w:t>clinically-indicated</w:t>
      </w:r>
      <w:proofErr w:type="gramEnd"/>
      <w:r>
        <w:t xml:space="preserve"> lumbar puncture procedures, the maximum volumes are shown in </w:t>
      </w:r>
      <w:hyperlink w:anchor="tbl-max-csf-vol">
        <w:r>
          <w:rPr>
            <w:rStyle w:val="Hyperlink"/>
          </w:rPr>
          <w:t>Table 2</w:t>
        </w:r>
      </w:hyperlink>
    </w:p>
    <w:p w14:paraId="41F2448B" w14:textId="77777777" w:rsidR="001537F8" w:rsidRDefault="00000000">
      <w:pPr>
        <w:pStyle w:val="TableCaption"/>
      </w:pPr>
      <w:bookmarkStart w:id="65" w:name="tbl-max-csf-vol"/>
      <w:r>
        <w:t>Table 2: Estimates of cerebrospinal fluid (CSF) production rate, total CSF volume and the safe recommended CSF volume taken at lumbar puncture for different age groups. Taken from the British Infection Society Guidelines for the Diagnosis and Treatment of Tuberculosis of the Central Nervous System.</w:t>
      </w:r>
    </w:p>
    <w:tbl>
      <w:tblPr>
        <w:tblStyle w:val="Table"/>
        <w:tblW w:w="5000" w:type="pct"/>
        <w:tblLook w:val="0020" w:firstRow="1" w:lastRow="0" w:firstColumn="0" w:lastColumn="0" w:noHBand="0" w:noVBand="0"/>
        <w:tblCaption w:val="Table 2: Estimates of cerebrospinal fluid (CSF) production rate, total CSF volume and the safe recommended CSF volume taken at lumbar puncture for different age groups. Taken from the British Infection Society Guidelines for the Diagnosis and Treatment of Tuberculosis of the Central Nervous System."/>
      </w:tblPr>
      <w:tblGrid>
        <w:gridCol w:w="1515"/>
        <w:gridCol w:w="2473"/>
        <w:gridCol w:w="1752"/>
        <w:gridCol w:w="3836"/>
      </w:tblGrid>
      <w:tr w:rsidR="001537F8" w14:paraId="5F1C20C7" w14:textId="77777777" w:rsidTr="0015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063C6350" w14:textId="77777777" w:rsidR="001537F8" w:rsidRDefault="00000000">
            <w:pPr>
              <w:pStyle w:val="Compact"/>
            </w:pPr>
            <w:r>
              <w:t>Age</w:t>
            </w:r>
          </w:p>
        </w:tc>
        <w:tc>
          <w:tcPr>
            <w:tcW w:w="0" w:type="auto"/>
          </w:tcPr>
          <w:p w14:paraId="55BAAD3B" w14:textId="77777777" w:rsidR="001537F8" w:rsidRDefault="00000000">
            <w:pPr>
              <w:pStyle w:val="Compact"/>
            </w:pPr>
            <w:r>
              <w:t>Mean CSF production rate (ml/h)</w:t>
            </w:r>
          </w:p>
        </w:tc>
        <w:tc>
          <w:tcPr>
            <w:tcW w:w="0" w:type="auto"/>
          </w:tcPr>
          <w:p w14:paraId="7594A0F9" w14:textId="77777777" w:rsidR="001537F8" w:rsidRDefault="00000000">
            <w:pPr>
              <w:pStyle w:val="Compact"/>
            </w:pPr>
            <w:r>
              <w:t>Total CSF Volume (ml)</w:t>
            </w:r>
          </w:p>
        </w:tc>
        <w:tc>
          <w:tcPr>
            <w:tcW w:w="0" w:type="auto"/>
          </w:tcPr>
          <w:p w14:paraId="61F069EA" w14:textId="77777777" w:rsidR="001537F8" w:rsidRDefault="00000000">
            <w:pPr>
              <w:pStyle w:val="Compact"/>
            </w:pPr>
            <w:r>
              <w:t>Safe CSF volume to take during clinical lumbar puncture (ml)</w:t>
            </w:r>
          </w:p>
        </w:tc>
      </w:tr>
      <w:tr w:rsidR="001537F8" w14:paraId="4EBF0DC1" w14:textId="77777777">
        <w:tc>
          <w:tcPr>
            <w:tcW w:w="0" w:type="auto"/>
          </w:tcPr>
          <w:p w14:paraId="55226C46" w14:textId="77777777" w:rsidR="001537F8" w:rsidRDefault="00000000">
            <w:pPr>
              <w:pStyle w:val="Compact"/>
            </w:pPr>
            <w:r>
              <w:lastRenderedPageBreak/>
              <w:t>Adult</w:t>
            </w:r>
          </w:p>
        </w:tc>
        <w:tc>
          <w:tcPr>
            <w:tcW w:w="0" w:type="auto"/>
          </w:tcPr>
          <w:p w14:paraId="24A0AE8B" w14:textId="77777777" w:rsidR="001537F8" w:rsidRDefault="00000000">
            <w:pPr>
              <w:pStyle w:val="Compact"/>
            </w:pPr>
            <w:r>
              <w:t>22</w:t>
            </w:r>
          </w:p>
        </w:tc>
        <w:tc>
          <w:tcPr>
            <w:tcW w:w="0" w:type="auto"/>
          </w:tcPr>
          <w:p w14:paraId="4354E0AA" w14:textId="77777777" w:rsidR="001537F8" w:rsidRDefault="00000000">
            <w:pPr>
              <w:pStyle w:val="Compact"/>
            </w:pPr>
            <w:r>
              <w:t>150-170</w:t>
            </w:r>
          </w:p>
        </w:tc>
        <w:tc>
          <w:tcPr>
            <w:tcW w:w="0" w:type="auto"/>
          </w:tcPr>
          <w:p w14:paraId="2A3BAF41" w14:textId="77777777" w:rsidR="001537F8" w:rsidRDefault="00000000">
            <w:pPr>
              <w:pStyle w:val="Compact"/>
            </w:pPr>
            <w:r>
              <w:t>Maximum: 15-17</w:t>
            </w:r>
          </w:p>
        </w:tc>
      </w:tr>
      <w:tr w:rsidR="001537F8" w14:paraId="255D593B" w14:textId="77777777">
        <w:tc>
          <w:tcPr>
            <w:tcW w:w="0" w:type="auto"/>
          </w:tcPr>
          <w:p w14:paraId="127F8759" w14:textId="77777777" w:rsidR="001537F8" w:rsidRDefault="00000000">
            <w:pPr>
              <w:pStyle w:val="Compact"/>
            </w:pPr>
            <w:r>
              <w:t>Adolescent</w:t>
            </w:r>
          </w:p>
        </w:tc>
        <w:tc>
          <w:tcPr>
            <w:tcW w:w="0" w:type="auto"/>
          </w:tcPr>
          <w:p w14:paraId="417819D4" w14:textId="77777777" w:rsidR="001537F8" w:rsidRDefault="00000000">
            <w:pPr>
              <w:pStyle w:val="Compact"/>
            </w:pPr>
            <w:r>
              <w:t>18</w:t>
            </w:r>
          </w:p>
        </w:tc>
        <w:tc>
          <w:tcPr>
            <w:tcW w:w="0" w:type="auto"/>
          </w:tcPr>
          <w:p w14:paraId="3783B235" w14:textId="77777777" w:rsidR="001537F8" w:rsidRDefault="00000000">
            <w:pPr>
              <w:pStyle w:val="Compact"/>
            </w:pPr>
            <w:r>
              <w:t>120-170</w:t>
            </w:r>
          </w:p>
        </w:tc>
        <w:tc>
          <w:tcPr>
            <w:tcW w:w="0" w:type="auto"/>
          </w:tcPr>
          <w:p w14:paraId="52586D13" w14:textId="77777777" w:rsidR="001537F8" w:rsidRDefault="00000000">
            <w:pPr>
              <w:pStyle w:val="Compact"/>
            </w:pPr>
            <w:r>
              <w:t>Maximum: 12-17</w:t>
            </w:r>
          </w:p>
        </w:tc>
      </w:tr>
      <w:tr w:rsidR="001537F8" w14:paraId="1965A711" w14:textId="77777777">
        <w:tc>
          <w:tcPr>
            <w:tcW w:w="0" w:type="auto"/>
          </w:tcPr>
          <w:p w14:paraId="0934F26C" w14:textId="77777777" w:rsidR="001537F8" w:rsidRDefault="00000000">
            <w:pPr>
              <w:pStyle w:val="Compact"/>
            </w:pPr>
            <w:r>
              <w:t>Young child</w:t>
            </w:r>
          </w:p>
        </w:tc>
        <w:tc>
          <w:tcPr>
            <w:tcW w:w="0" w:type="auto"/>
          </w:tcPr>
          <w:p w14:paraId="4F44BF5F" w14:textId="77777777" w:rsidR="001537F8" w:rsidRDefault="00000000">
            <w:pPr>
              <w:pStyle w:val="Compact"/>
            </w:pPr>
            <w:r>
              <w:t>12</w:t>
            </w:r>
          </w:p>
        </w:tc>
        <w:tc>
          <w:tcPr>
            <w:tcW w:w="0" w:type="auto"/>
          </w:tcPr>
          <w:p w14:paraId="1B6E8AD0" w14:textId="77777777" w:rsidR="001537F8" w:rsidRDefault="00000000">
            <w:pPr>
              <w:pStyle w:val="Compact"/>
            </w:pPr>
            <w:r>
              <w:t>100-150</w:t>
            </w:r>
          </w:p>
        </w:tc>
        <w:tc>
          <w:tcPr>
            <w:tcW w:w="0" w:type="auto"/>
          </w:tcPr>
          <w:p w14:paraId="7AD0053B" w14:textId="77777777" w:rsidR="001537F8" w:rsidRDefault="00000000">
            <w:pPr>
              <w:pStyle w:val="Compact"/>
            </w:pPr>
            <w:r>
              <w:t>Maximum: 10-15</w:t>
            </w:r>
          </w:p>
        </w:tc>
      </w:tr>
      <w:tr w:rsidR="001537F8" w14:paraId="19B74AE0" w14:textId="77777777">
        <w:tc>
          <w:tcPr>
            <w:tcW w:w="0" w:type="auto"/>
          </w:tcPr>
          <w:p w14:paraId="6BC6E99A" w14:textId="77777777" w:rsidR="001537F8" w:rsidRDefault="00000000">
            <w:pPr>
              <w:pStyle w:val="Compact"/>
            </w:pPr>
            <w:r>
              <w:t>Infant</w:t>
            </w:r>
          </w:p>
        </w:tc>
        <w:tc>
          <w:tcPr>
            <w:tcW w:w="0" w:type="auto"/>
          </w:tcPr>
          <w:p w14:paraId="48FC9C26" w14:textId="77777777" w:rsidR="001537F8" w:rsidRDefault="00000000">
            <w:pPr>
              <w:pStyle w:val="Compact"/>
            </w:pPr>
            <w:r>
              <w:t>10</w:t>
            </w:r>
          </w:p>
        </w:tc>
        <w:tc>
          <w:tcPr>
            <w:tcW w:w="0" w:type="auto"/>
          </w:tcPr>
          <w:p w14:paraId="1DFF4A87" w14:textId="77777777" w:rsidR="001537F8" w:rsidRDefault="00000000">
            <w:pPr>
              <w:pStyle w:val="Compact"/>
            </w:pPr>
            <w:r>
              <w:t>60-90</w:t>
            </w:r>
          </w:p>
        </w:tc>
        <w:tc>
          <w:tcPr>
            <w:tcW w:w="0" w:type="auto"/>
          </w:tcPr>
          <w:p w14:paraId="65DAE605" w14:textId="77777777" w:rsidR="001537F8" w:rsidRDefault="00000000">
            <w:pPr>
              <w:pStyle w:val="Compact"/>
            </w:pPr>
            <w:r>
              <w:t>Maximum: 6-9</w:t>
            </w:r>
          </w:p>
        </w:tc>
      </w:tr>
      <w:tr w:rsidR="001537F8" w14:paraId="34F9E190" w14:textId="77777777">
        <w:tc>
          <w:tcPr>
            <w:tcW w:w="0" w:type="auto"/>
          </w:tcPr>
          <w:p w14:paraId="27C02CEC" w14:textId="77777777" w:rsidR="001537F8" w:rsidRDefault="00000000">
            <w:pPr>
              <w:pStyle w:val="Compact"/>
            </w:pPr>
            <w:r>
              <w:t>Term Neonate</w:t>
            </w:r>
          </w:p>
        </w:tc>
        <w:tc>
          <w:tcPr>
            <w:tcW w:w="0" w:type="auto"/>
          </w:tcPr>
          <w:p w14:paraId="12882065" w14:textId="77777777" w:rsidR="001537F8" w:rsidRDefault="00000000">
            <w:pPr>
              <w:pStyle w:val="Compact"/>
            </w:pPr>
            <w:r>
              <w:t>1</w:t>
            </w:r>
          </w:p>
        </w:tc>
        <w:tc>
          <w:tcPr>
            <w:tcW w:w="0" w:type="auto"/>
          </w:tcPr>
          <w:p w14:paraId="0B4F812F" w14:textId="77777777" w:rsidR="001537F8" w:rsidRDefault="00000000">
            <w:pPr>
              <w:pStyle w:val="Compact"/>
            </w:pPr>
            <w:r>
              <w:t>20-40</w:t>
            </w:r>
          </w:p>
        </w:tc>
        <w:tc>
          <w:tcPr>
            <w:tcW w:w="0" w:type="auto"/>
          </w:tcPr>
          <w:p w14:paraId="041BAE49" w14:textId="77777777" w:rsidR="001537F8" w:rsidRDefault="00000000">
            <w:pPr>
              <w:pStyle w:val="Compact"/>
            </w:pPr>
            <w:r>
              <w:t>Maximum: 2-4</w:t>
            </w:r>
          </w:p>
        </w:tc>
      </w:tr>
    </w:tbl>
    <w:p w14:paraId="714F303E" w14:textId="77777777" w:rsidR="001537F8" w:rsidRDefault="00000000">
      <w:pPr>
        <w:pStyle w:val="Heading4"/>
      </w:pPr>
      <w:bookmarkStart w:id="66" w:name="X4e2c68b1ff011af1018e47c74ae65f21262832b"/>
      <w:bookmarkEnd w:id="65"/>
      <w:r>
        <w:t>3.10.5.1 For CNS infections only – residual cerebrospinal fluid from clinical sampling</w:t>
      </w:r>
    </w:p>
    <w:p w14:paraId="05FAC00D" w14:textId="77777777" w:rsidR="001537F8" w:rsidRDefault="00000000">
      <w:pPr>
        <w:pStyle w:val="FirstParagraph"/>
      </w:pPr>
      <w:r>
        <w:t>If after recruitment a lumbar puncture is clinically indicated, an additional sample of up to 5mls (</w:t>
      </w:r>
      <w:hyperlink w:anchor="tbl-max-csf-vol">
        <w:r>
          <w:rPr>
            <w:rStyle w:val="Hyperlink"/>
          </w:rPr>
          <w:t>Table 2</w:t>
        </w:r>
      </w:hyperlink>
      <w:r>
        <w:t>) will be collected in a universal sterile tube, provided it is deemed appropriate by the supervising clinician. Any residual CSF from samples taken as part of routine clinical care will be collected and stored if available. This will allow:</w:t>
      </w:r>
    </w:p>
    <w:p w14:paraId="7FA65A0E" w14:textId="77777777" w:rsidR="001537F8" w:rsidRDefault="00000000">
      <w:pPr>
        <w:numPr>
          <w:ilvl w:val="0"/>
          <w:numId w:val="20"/>
        </w:numPr>
      </w:pPr>
      <w:r>
        <w:t>Extraction of RNA/DNA from causative pathogens and other circulating pathogens for molecular testing, genomic studies and virus isolation</w:t>
      </w:r>
    </w:p>
    <w:p w14:paraId="2BD9D927" w14:textId="77777777" w:rsidR="001537F8" w:rsidRDefault="00000000">
      <w:pPr>
        <w:numPr>
          <w:ilvl w:val="0"/>
          <w:numId w:val="20"/>
        </w:numPr>
      </w:pPr>
      <w:r>
        <w:t>Serological testing for pathogen-specific antibodies</w:t>
      </w:r>
    </w:p>
    <w:p w14:paraId="5F6C6FA1" w14:textId="77777777" w:rsidR="001537F8" w:rsidRDefault="00000000">
      <w:pPr>
        <w:numPr>
          <w:ilvl w:val="0"/>
          <w:numId w:val="20"/>
        </w:numPr>
      </w:pPr>
      <w:r>
        <w:t>Testing for mediators, metabolites and potential biomarkers</w:t>
      </w:r>
    </w:p>
    <w:p w14:paraId="5E0351BF" w14:textId="77777777" w:rsidR="001537F8" w:rsidRDefault="00000000">
      <w:pPr>
        <w:pStyle w:val="Heading3"/>
      </w:pPr>
      <w:bookmarkStart w:id="67" w:name="_Toc169542015"/>
      <w:bookmarkStart w:id="68" w:name="sec-example-guidance"/>
      <w:bookmarkEnd w:id="63"/>
      <w:bookmarkEnd w:id="66"/>
      <w:r>
        <w:t>3.10.6 Example activation guidance document for recruiting sites</w:t>
      </w:r>
      <w:bookmarkEnd w:id="67"/>
    </w:p>
    <w:p w14:paraId="4063F98F" w14:textId="77777777" w:rsidR="001537F8" w:rsidRDefault="00391087">
      <w:r>
        <w:rPr>
          <w:noProof/>
        </w:rPr>
        <w:pict w14:anchorId="3A141F94">
          <v:rect id="_x0000_i1026" alt="" style="width:451.3pt;height:.05pt;mso-width-percent:0;mso-height-percent:0;mso-width-percent:0;mso-height-percent:0" o:hralign="center" o:hrstd="t" o:hr="t"/>
        </w:pict>
      </w:r>
    </w:p>
    <w:p w14:paraId="5669AF60" w14:textId="77777777" w:rsidR="001537F8" w:rsidRDefault="00000000">
      <w:pPr>
        <w:pStyle w:val="Heading2"/>
      </w:pPr>
      <w:bookmarkStart w:id="69" w:name="_Toc169542016"/>
      <w:bookmarkStart w:id="70" w:name="X658508972e34c20d92dc8363a2ac9e9c9c85b9f"/>
      <w:bookmarkEnd w:id="53"/>
      <w:bookmarkEnd w:id="68"/>
      <w:r>
        <w:t xml:space="preserve">ISARIC/WHO Clinical </w:t>
      </w:r>
      <w:proofErr w:type="spellStart"/>
      <w:r>
        <w:t>Characterisation</w:t>
      </w:r>
      <w:proofErr w:type="spellEnd"/>
      <w:r>
        <w:t xml:space="preserve"> Protocol Recruitment Procedures for COVID-19</w:t>
      </w:r>
      <w:bookmarkEnd w:id="69"/>
    </w:p>
    <w:p w14:paraId="2F79DA35" w14:textId="77777777" w:rsidR="001537F8" w:rsidRDefault="00000000">
      <w:pPr>
        <w:pStyle w:val="Compact"/>
        <w:numPr>
          <w:ilvl w:val="0"/>
          <w:numId w:val="21"/>
        </w:numPr>
      </w:pPr>
      <w:r>
        <w:t>Inclusion criteria: CONFIRMED OR SUSPECTED INFECTION WITH SARS-COV-2</w:t>
      </w:r>
    </w:p>
    <w:p w14:paraId="70B4DF0B" w14:textId="77777777" w:rsidR="001537F8" w:rsidRDefault="00000000">
      <w:pPr>
        <w:pStyle w:val="Compact"/>
        <w:numPr>
          <w:ilvl w:val="0"/>
          <w:numId w:val="21"/>
        </w:numPr>
      </w:pPr>
      <w:r>
        <w:t>Participant identification strategy: Ad Hoc</w:t>
      </w:r>
    </w:p>
    <w:p w14:paraId="65DDA740" w14:textId="77777777" w:rsidR="001537F8" w:rsidRDefault="00000000">
      <w:pPr>
        <w:pStyle w:val="Compact"/>
        <w:numPr>
          <w:ilvl w:val="0"/>
          <w:numId w:val="21"/>
        </w:numPr>
      </w:pPr>
      <w:r>
        <w:t>Module: Module 1</w:t>
      </w:r>
    </w:p>
    <w:p w14:paraId="03661EA4" w14:textId="68E9F1CA" w:rsidR="001537F8" w:rsidRDefault="00000000">
      <w:pPr>
        <w:pStyle w:val="Heading3"/>
      </w:pPr>
      <w:bookmarkStart w:id="71" w:name="_Toc169542017"/>
      <w:bookmarkStart w:id="72" w:name="sampling-instructions"/>
      <w:r>
        <w:t>Sampling instructions:</w:t>
      </w:r>
      <w:bookmarkEnd w:id="71"/>
    </w:p>
    <w:tbl>
      <w:tblPr>
        <w:tblStyle w:val="Table"/>
        <w:tblW w:w="0" w:type="auto"/>
        <w:tblLook w:val="0020" w:firstRow="1" w:lastRow="0" w:firstColumn="0" w:lastColumn="0" w:noHBand="0" w:noVBand="0"/>
      </w:tblPr>
      <w:tblGrid>
        <w:gridCol w:w="2452"/>
        <w:gridCol w:w="3789"/>
      </w:tblGrid>
      <w:tr w:rsidR="001537F8" w14:paraId="58356704" w14:textId="77777777" w:rsidTr="0015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7FB22BA0" w14:textId="77777777" w:rsidR="001537F8" w:rsidRDefault="00000000">
            <w:pPr>
              <w:pStyle w:val="Compact"/>
            </w:pPr>
            <w:r>
              <w:t>Day from recruitment</w:t>
            </w:r>
          </w:p>
        </w:tc>
        <w:tc>
          <w:tcPr>
            <w:tcW w:w="0" w:type="auto"/>
          </w:tcPr>
          <w:p w14:paraId="7140A636" w14:textId="77777777" w:rsidR="001537F8" w:rsidRDefault="00000000">
            <w:pPr>
              <w:pStyle w:val="Compact"/>
            </w:pPr>
            <w:r>
              <w:t>Adult (&gt;40kg)</w:t>
            </w:r>
          </w:p>
        </w:tc>
      </w:tr>
      <w:tr w:rsidR="001537F8" w14:paraId="2DE5B5D7" w14:textId="77777777">
        <w:tc>
          <w:tcPr>
            <w:tcW w:w="0" w:type="auto"/>
          </w:tcPr>
          <w:p w14:paraId="13BDF8F8" w14:textId="77777777" w:rsidR="001537F8" w:rsidRDefault="00000000">
            <w:pPr>
              <w:pStyle w:val="Compact"/>
            </w:pPr>
            <w:r>
              <w:t>Day 1</w:t>
            </w:r>
          </w:p>
        </w:tc>
        <w:tc>
          <w:tcPr>
            <w:tcW w:w="0" w:type="auto"/>
          </w:tcPr>
          <w:p w14:paraId="7A0506E0" w14:textId="77777777" w:rsidR="001537F8" w:rsidRDefault="00000000">
            <w:pPr>
              <w:pStyle w:val="Compact"/>
            </w:pPr>
            <w:r>
              <w:t>6ml EDTA blood, 3ml Tempus tube</w:t>
            </w:r>
          </w:p>
        </w:tc>
      </w:tr>
      <w:tr w:rsidR="001537F8" w14:paraId="51D74905" w14:textId="77777777">
        <w:tc>
          <w:tcPr>
            <w:tcW w:w="0" w:type="auto"/>
          </w:tcPr>
          <w:p w14:paraId="607DB353" w14:textId="77777777" w:rsidR="001537F8" w:rsidRDefault="00000000">
            <w:pPr>
              <w:pStyle w:val="Compact"/>
            </w:pPr>
            <w:r>
              <w:t>Day 4</w:t>
            </w:r>
          </w:p>
        </w:tc>
        <w:tc>
          <w:tcPr>
            <w:tcW w:w="0" w:type="auto"/>
          </w:tcPr>
          <w:p w14:paraId="51555629" w14:textId="77777777" w:rsidR="001537F8" w:rsidRDefault="00000000">
            <w:pPr>
              <w:pStyle w:val="Compact"/>
            </w:pPr>
            <w:r>
              <w:t>3ml Tempus tube</w:t>
            </w:r>
          </w:p>
        </w:tc>
      </w:tr>
      <w:tr w:rsidR="001537F8" w14:paraId="12ABAC87" w14:textId="77777777">
        <w:tc>
          <w:tcPr>
            <w:tcW w:w="0" w:type="auto"/>
          </w:tcPr>
          <w:p w14:paraId="4B1934C2" w14:textId="77777777" w:rsidR="001537F8" w:rsidRDefault="00000000">
            <w:pPr>
              <w:pStyle w:val="Compact"/>
            </w:pPr>
            <w:r>
              <w:t>Day 7</w:t>
            </w:r>
          </w:p>
        </w:tc>
        <w:tc>
          <w:tcPr>
            <w:tcW w:w="0" w:type="auto"/>
          </w:tcPr>
          <w:p w14:paraId="2109DE8E" w14:textId="77777777" w:rsidR="001537F8" w:rsidRDefault="00000000">
            <w:pPr>
              <w:pStyle w:val="Compact"/>
            </w:pPr>
            <w:r>
              <w:t>3ml Tempus tube</w:t>
            </w:r>
          </w:p>
        </w:tc>
      </w:tr>
    </w:tbl>
    <w:p w14:paraId="5F0680B2" w14:textId="77777777" w:rsidR="001537F8" w:rsidRDefault="00391087">
      <w:r>
        <w:rPr>
          <w:noProof/>
        </w:rPr>
        <w:pict w14:anchorId="3BE81866">
          <v:rect id="_x0000_i1025" alt="" style="width:451.3pt;height:.05pt;mso-width-percent:0;mso-height-percent:0;mso-width-percent:0;mso-height-percent:0" o:hralign="center" o:hrstd="t" o:hr="t"/>
        </w:pict>
      </w:r>
    </w:p>
    <w:p w14:paraId="17841BB6" w14:textId="77777777" w:rsidR="001537F8" w:rsidRDefault="00000000">
      <w:pPr>
        <w:pStyle w:val="Heading3"/>
      </w:pPr>
      <w:bookmarkStart w:id="73" w:name="_Toc169542018"/>
      <w:bookmarkStart w:id="74" w:name="optional-sub-studies"/>
      <w:bookmarkEnd w:id="72"/>
      <w:r>
        <w:t>3.10.8 Optional sub-studies</w:t>
      </w:r>
      <w:bookmarkEnd w:id="73"/>
    </w:p>
    <w:p w14:paraId="4227CFF0" w14:textId="77777777" w:rsidR="001537F8" w:rsidRDefault="00000000">
      <w:pPr>
        <w:pStyle w:val="FirstParagraph"/>
      </w:pPr>
      <w:r>
        <w:t>In addition to the module and sampling schedule decided by the PI, optional sub-studies can be included.</w:t>
      </w:r>
    </w:p>
    <w:p w14:paraId="0C60F438" w14:textId="77777777" w:rsidR="001537F8" w:rsidRDefault="00000000">
      <w:pPr>
        <w:pStyle w:val="Heading4"/>
      </w:pPr>
      <w:bookmarkStart w:id="75" w:name="Xb1e1ca8019e9c015948d44611bd812ec6dbb4a2"/>
      <w:r>
        <w:lastRenderedPageBreak/>
        <w:t>3.10.8.1 Serial bronchoalveolar lavage during extra-corporeal membrane oxygenation</w:t>
      </w:r>
    </w:p>
    <w:p w14:paraId="7E85CD80" w14:textId="77777777" w:rsidR="001537F8" w:rsidRDefault="00000000">
      <w:pPr>
        <w:pStyle w:val="FirstParagraph"/>
      </w:pPr>
      <w:r>
        <w:t xml:space="preserve">In small numbers of patients with refractory respiratory failure due to SARI receiving extra-corporeal membrane oxygenation (ECMO) in a specialist </w:t>
      </w:r>
      <w:proofErr w:type="spellStart"/>
      <w:r>
        <w:t>centre</w:t>
      </w:r>
      <w:proofErr w:type="spellEnd"/>
      <w:r>
        <w:t xml:space="preserve">, the opportunity exists to safely perform serial bronchoscopy for research purposes without the risk of impairing oxygenation (in contrast to bronchoscopy performed when oxygenation is dependent on mechanical ventilation). This is also safer for the operator since the patient can be </w:t>
      </w:r>
      <w:proofErr w:type="spellStart"/>
      <w:r>
        <w:t>paralysed</w:t>
      </w:r>
      <w:proofErr w:type="spellEnd"/>
      <w:r>
        <w:t xml:space="preserve"> and ventilation can be temporarily discontinued, reducing aerosol generation. Broncho-alveolar lavage specimens obtained in this context could be processed to allow analysis of viral load, bacterial or fungal co-infection, and host soluble immune mediators in the distal airway.</w:t>
      </w:r>
    </w:p>
    <w:p w14:paraId="6E299A70" w14:textId="77777777" w:rsidR="001537F8" w:rsidRDefault="00000000">
      <w:pPr>
        <w:pStyle w:val="Heading3"/>
      </w:pPr>
      <w:bookmarkStart w:id="76" w:name="_Toc169542019"/>
      <w:bookmarkStart w:id="77" w:name="pharmacokineticpharmacodynamics-studies"/>
      <w:bookmarkEnd w:id="74"/>
      <w:bookmarkEnd w:id="75"/>
      <w:r>
        <w:t>3.10.9 Pharmacokinetic/Pharmacodynamics Studies</w:t>
      </w:r>
      <w:bookmarkEnd w:id="76"/>
    </w:p>
    <w:p w14:paraId="4D16ACF4" w14:textId="77777777" w:rsidR="001537F8" w:rsidRDefault="00000000">
      <w:pPr>
        <w:pStyle w:val="FirstParagraph"/>
      </w:pPr>
      <w:r>
        <w:t xml:space="preserve">Where specialist local laboratory facilities are available to rapidly process samples (Module 3), and other local resources allow, pharmacokinetic studies may be undertaken. Additional information and samples will be sought during treatment with antimicrobial or immunomodulatory therapies </w:t>
      </w:r>
      <w:proofErr w:type="gramStart"/>
      <w:r>
        <w:t>in order to</w:t>
      </w:r>
      <w:proofErr w:type="gramEnd"/>
      <w:r>
        <w:t xml:space="preserve">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w:t>
      </w:r>
      <w:proofErr w:type="gramStart"/>
      <w:r>
        <w:t>form, and</w:t>
      </w:r>
      <w:proofErr w:type="gramEnd"/>
      <w:r>
        <w:t xml:space="preserve"> includes both the precise (to the minute) times of drug administration and the precise time of blood sampling.</w:t>
      </w:r>
    </w:p>
    <w:p w14:paraId="79F5E6A0" w14:textId="77777777" w:rsidR="001537F8" w:rsidRDefault="00000000">
      <w:pPr>
        <w:pStyle w:val="BodyText"/>
      </w:pPr>
      <w:r>
        <w:t>Samples obtained will be split as required for pharmacokinetic/pharmacodynamic analysis of each antimicrobial or immunomodulatory therapy prescribed; the volume of blood to be drawn will not increase.</w:t>
      </w:r>
    </w:p>
    <w:p w14:paraId="699D8E18" w14:textId="77777777" w:rsidR="001537F8" w:rsidRDefault="00000000">
      <w:pPr>
        <w:pStyle w:val="Heading4"/>
      </w:pPr>
      <w:bookmarkStart w:id="78" w:name="large-volume-convalescent-sampling"/>
      <w:r>
        <w:t>3.10.9.1 Large volume convalescent sampling</w:t>
      </w:r>
    </w:p>
    <w:p w14:paraId="5C61263A" w14:textId="77777777" w:rsidR="001537F8" w:rsidRDefault="00000000">
      <w:pPr>
        <w:pStyle w:val="FirstParagraph"/>
      </w:pPr>
      <w:r>
        <w:t>In a small number of patients (likely to be less than 10 patients for each emerging infection) there is a need for additional sampling after recovery from acute illness to enable generation of serological tests, setting of reference standards for serology, extraction and culture of peripheral blood mononuclear cells (PBMCs) for cellular immunology studies, and generation of monoclonal antibodies for research, diagnostic and therapeutic use. These studies are often extremely valuable in the global response to a new pathogen.</w:t>
      </w:r>
    </w:p>
    <w:p w14:paraId="16047469" w14:textId="77777777" w:rsidR="001537F8" w:rsidRDefault="00000000">
      <w:pPr>
        <w:pStyle w:val="BodyText"/>
      </w:pPr>
      <w:r>
        <w:t>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 matched controls. Cells will be stored for future use and may be used in the generation of commercial products.</w:t>
      </w:r>
    </w:p>
    <w:p w14:paraId="43F2A4DB" w14:textId="77777777" w:rsidR="001537F8" w:rsidRDefault="00000000">
      <w:pPr>
        <w:pStyle w:val="BodyText"/>
      </w:pPr>
      <w:r>
        <w:t xml:space="preserve">Patients who participated, with appropriate consent, in this study may be invited to provide additional samples under separate consent for this part of the study. All blood samples will be obtained by an experienced phlebotomist. Participants will be fully </w:t>
      </w:r>
      <w:r>
        <w:lastRenderedPageBreak/>
        <w:t>recovered, otherwise healthy individuals with no contraindications to blood donation, including:</w:t>
      </w:r>
    </w:p>
    <w:p w14:paraId="4EAB2EB0" w14:textId="77777777" w:rsidR="001537F8" w:rsidRDefault="00000000">
      <w:pPr>
        <w:pStyle w:val="BodyText"/>
      </w:pPr>
      <w:r>
        <w:t>• Infection with any blood borne diseases (e.g. HIV, Hepatitis B or Hepatitis C)</w:t>
      </w:r>
    </w:p>
    <w:p w14:paraId="182AFA92" w14:textId="77777777" w:rsidR="001537F8" w:rsidRDefault="00000000">
      <w:pPr>
        <w:pStyle w:val="BodyText"/>
      </w:pPr>
      <w:r>
        <w:t>• Previous or current intravenous drug abuse</w:t>
      </w:r>
    </w:p>
    <w:p w14:paraId="43DB6458" w14:textId="77777777" w:rsidR="001537F8" w:rsidRDefault="00000000">
      <w:pPr>
        <w:pStyle w:val="BodyText"/>
      </w:pPr>
      <w:r>
        <w:t xml:space="preserve">• Current </w:t>
      </w:r>
      <w:proofErr w:type="spellStart"/>
      <w:r>
        <w:t>anaemia</w:t>
      </w:r>
      <w:proofErr w:type="spellEnd"/>
    </w:p>
    <w:p w14:paraId="52A54B60" w14:textId="77777777" w:rsidR="001537F8" w:rsidRDefault="00000000">
      <w:pPr>
        <w:pStyle w:val="BodyText"/>
      </w:pPr>
      <w:r>
        <w:t>• Blood clotting disorders</w:t>
      </w:r>
    </w:p>
    <w:p w14:paraId="2A497FB0" w14:textId="77777777" w:rsidR="001537F8" w:rsidRDefault="00000000">
      <w:pPr>
        <w:pStyle w:val="BodyText"/>
      </w:pPr>
      <w:r>
        <w:t>• Current anticoagulant (blood thinning) drug therapy</w:t>
      </w:r>
    </w:p>
    <w:p w14:paraId="60B4464C" w14:textId="77777777" w:rsidR="001537F8" w:rsidRDefault="00000000">
      <w:pPr>
        <w:pStyle w:val="BodyText"/>
      </w:pPr>
      <w:r>
        <w:t>• History of donations to the blood transfusion service (or any other donation) within the last 12 weeks.</w:t>
      </w:r>
    </w:p>
    <w:p w14:paraId="7EF9B6C2" w14:textId="77777777" w:rsidR="001537F8" w:rsidRDefault="00000000">
      <w:pPr>
        <w:pStyle w:val="BodyText"/>
      </w:pPr>
      <w:r>
        <w:t>Depending on the participant’s weight, the following maximum volumes of blood will be obtained:</w:t>
      </w:r>
    </w:p>
    <w:p w14:paraId="4CE538EC" w14:textId="77777777" w:rsidR="001537F8" w:rsidRDefault="00000000">
      <w:pPr>
        <w:pStyle w:val="BodyText"/>
      </w:pPr>
      <w:r>
        <w:t>• &gt;40kg: 240mls (6.0mls/kg)</w:t>
      </w:r>
    </w:p>
    <w:p w14:paraId="10C586BC" w14:textId="77777777" w:rsidR="001537F8" w:rsidRDefault="00000000">
      <w:pPr>
        <w:pStyle w:val="BodyText"/>
      </w:pPr>
      <w:r>
        <w:t>• 20-40kg: 80mls (4.0mls/kg)</w:t>
      </w:r>
    </w:p>
    <w:p w14:paraId="04CE9B57" w14:textId="77777777" w:rsidR="001537F8" w:rsidRDefault="00000000">
      <w:pPr>
        <w:pStyle w:val="Heading2"/>
      </w:pPr>
      <w:bookmarkStart w:id="79" w:name="_Toc169542020"/>
      <w:bookmarkStart w:id="80" w:name="follow-up-procedures-for-patients"/>
      <w:bookmarkEnd w:id="70"/>
      <w:bookmarkEnd w:id="77"/>
      <w:bookmarkEnd w:id="78"/>
      <w:r>
        <w:t>3.11 Follow-Up Procedures for Patients</w:t>
      </w:r>
      <w:bookmarkEnd w:id="79"/>
    </w:p>
    <w:p w14:paraId="0529FF33" w14:textId="77777777" w:rsidR="001537F8" w:rsidRDefault="00000000">
      <w:pPr>
        <w:pStyle w:val="FirstParagraph"/>
      </w:pPr>
      <w:r>
        <w:t>Follow-up procedures (e.g. convalescent sampling) will be undertaken only when resources allow and if appropriate biological safety measures can be maintained.</w:t>
      </w:r>
    </w:p>
    <w:p w14:paraId="372FE98C" w14:textId="77777777" w:rsidR="001537F8" w:rsidRDefault="00000000">
      <w:pPr>
        <w:pStyle w:val="BodyText"/>
      </w:pPr>
      <w:r>
        <w:t>Once acute illness is resolved, or once patients are discharged from hospital, sampling will discontinue until the 3 month and 6-month visits. All patients will be asked to return for a convalescent visit and blood sample at 3 months and 6 months post recruitment.</w:t>
      </w:r>
    </w:p>
    <w:p w14:paraId="441F652B" w14:textId="77777777" w:rsidR="001537F8" w:rsidRDefault="00000000">
      <w:pPr>
        <w:pStyle w:val="BodyText"/>
      </w:pPr>
      <w:r>
        <w:t xml:space="preserve">Resolution of acute illness is defined as: Clearance of pathogen from appropriate samples, return of systemic inflammatory response to considered ‘normal’ values and one of: 1) recovery from organ failure(s)/need for organ support, 2) resolution of the presenting complaint(s), 3) return to </w:t>
      </w:r>
      <w:proofErr w:type="gramStart"/>
      <w:r>
        <w:t>life-style</w:t>
      </w:r>
      <w:proofErr w:type="gramEnd"/>
      <w:r>
        <w:t xml:space="preserve"> prior to illness.</w:t>
      </w:r>
    </w:p>
    <w:p w14:paraId="0378FD23" w14:textId="77777777" w:rsidR="001537F8" w:rsidRDefault="00000000">
      <w:pPr>
        <w:pStyle w:val="Heading2"/>
      </w:pPr>
      <w:bookmarkStart w:id="81" w:name="_Toc169542021"/>
      <w:bookmarkStart w:id="82" w:name="withdrawal"/>
      <w:bookmarkEnd w:id="80"/>
      <w:r>
        <w:t>3.12 Withdrawal</w:t>
      </w:r>
      <w:bookmarkEnd w:id="81"/>
    </w:p>
    <w:p w14:paraId="5393EB60" w14:textId="77777777" w:rsidR="001537F8" w:rsidRDefault="00000000">
      <w:pPr>
        <w:pStyle w:val="FirstParagraph"/>
      </w:pPr>
      <w:r>
        <w:t>Patients who request to be withdrawn, and patients enrolled to the study whose illness is subsequently confirmed to be the result of infection with a pathogen which is not relevant to the objectives of this study, and who have no indication or likelihood of co-infection with a relevant pathogen, will be withdrawn. After withdrawal, no further follow-up will be conducted.</w:t>
      </w:r>
    </w:p>
    <w:p w14:paraId="6CB99C89" w14:textId="77777777" w:rsidR="001537F8" w:rsidRDefault="00000000">
      <w:pPr>
        <w:pStyle w:val="Heading2"/>
      </w:pPr>
      <w:bookmarkStart w:id="83" w:name="_Toc169542022"/>
      <w:bookmarkStart w:id="84" w:name="use-of-stored-samples"/>
      <w:bookmarkEnd w:id="82"/>
      <w:r>
        <w:t>3.13 Use of Stored Samples</w:t>
      </w:r>
      <w:bookmarkEnd w:id="83"/>
    </w:p>
    <w:p w14:paraId="27B72BBB" w14:textId="77777777" w:rsidR="001537F8" w:rsidRDefault="00000000">
      <w:pPr>
        <w:pStyle w:val="FirstParagraph"/>
      </w:pPr>
      <w:r>
        <w:t xml:space="preserve">Samples will only be stored in containment facilities that have appropriate biological safety measures in place and have received necessary </w:t>
      </w:r>
      <w:proofErr w:type="spellStart"/>
      <w:r>
        <w:t>authorisation</w:t>
      </w:r>
      <w:proofErr w:type="spellEnd"/>
      <w:r>
        <w:t xml:space="preserve"> to store samples (according to national regulations for the pathogen being studied). Testing that cannot be done in </w:t>
      </w:r>
      <w:r>
        <w:lastRenderedPageBreak/>
        <w:t>country may be exported under an appropriate material transfer agreement. All specimen transport will adhere to WHO and national guidance.</w:t>
      </w:r>
    </w:p>
    <w:p w14:paraId="3915776E" w14:textId="77777777" w:rsidR="001537F8" w:rsidRDefault="00000000">
      <w:pPr>
        <w:pStyle w:val="Heading2"/>
      </w:pPr>
      <w:bookmarkStart w:id="85" w:name="_Toc169542023"/>
      <w:bookmarkStart w:id="86" w:name="future-use-of-samples"/>
      <w:bookmarkEnd w:id="84"/>
      <w:r>
        <w:t>3.14 Future Use of Samples</w:t>
      </w:r>
      <w:bookmarkEnd w:id="85"/>
    </w:p>
    <w:p w14:paraId="07939047" w14:textId="77777777" w:rsidR="001537F8" w:rsidRDefault="00000000">
      <w:pPr>
        <w:pStyle w:val="FirstParagraph"/>
      </w:pPr>
      <w:r>
        <w:t>Access to samples for additional analyses will be governed by the site that collected the samples, according to local and national guidance and approvals.</w:t>
      </w:r>
    </w:p>
    <w:p w14:paraId="4312BB0D" w14:textId="77777777" w:rsidR="001537F8" w:rsidRDefault="00000000">
      <w:pPr>
        <w:pStyle w:val="BodyText"/>
      </w:pPr>
      <w:r>
        <w:t>Samples collected will be used for the purpose of this study as stated in the protocol. The standard consent form will request consent from subjects for sample storage, future use and/or export of specific samples to collaborating institutions for investigations that cannot be performed locally. Participant decisions will be recorded in the study database.</w:t>
      </w:r>
    </w:p>
    <w:p w14:paraId="409EB199" w14:textId="77777777" w:rsidR="001537F8" w:rsidRDefault="00000000">
      <w:pPr>
        <w:pStyle w:val="BodyText"/>
      </w:pPr>
      <w:r>
        <w:t xml:space="preserve">Any proposed plans to use samples other than for those detailed in this protocol will be submitted to the relevant ethics committees prior to any testing. Collaborating </w:t>
      </w:r>
      <w:proofErr w:type="spellStart"/>
      <w:r>
        <w:t>centres</w:t>
      </w:r>
      <w:proofErr w:type="spellEnd"/>
      <w:r>
        <w:t xml:space="preserve"> must have appropriate biological safety measures and regulatory approvals in place </w:t>
      </w:r>
      <w:proofErr w:type="gramStart"/>
      <w:r>
        <w:t>in order to</w:t>
      </w:r>
      <w:proofErr w:type="gramEnd"/>
      <w:r>
        <w:t xml:space="preserve"> receive samples.</w:t>
      </w:r>
    </w:p>
    <w:p w14:paraId="23100630" w14:textId="77777777" w:rsidR="001537F8" w:rsidRDefault="00000000">
      <w:pPr>
        <w:pStyle w:val="BodyText"/>
      </w:pPr>
      <w: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Data is hosted on </w:t>
      </w:r>
      <w:proofErr w:type="spellStart"/>
      <w:r>
        <w:t>REDCap</w:t>
      </w:r>
      <w:proofErr w:type="spellEnd"/>
      <w:r>
        <w:t>, a secure web platform for building and managing online databases and surveys.</w:t>
      </w:r>
    </w:p>
    <w:p w14:paraId="38CA1D7B" w14:textId="77777777" w:rsidR="001537F8" w:rsidRDefault="00000000">
      <w:pPr>
        <w:pStyle w:val="Heading1"/>
      </w:pPr>
      <w:bookmarkStart w:id="87" w:name="_Toc169542024"/>
      <w:bookmarkStart w:id="88" w:name="data-management"/>
      <w:bookmarkEnd w:id="21"/>
      <w:bookmarkEnd w:id="86"/>
      <w:r>
        <w:t>4. Data Management</w:t>
      </w:r>
      <w:bookmarkEnd w:id="87"/>
    </w:p>
    <w:p w14:paraId="3CD9BA72" w14:textId="77777777" w:rsidR="001537F8" w:rsidRDefault="00000000">
      <w:pPr>
        <w:pStyle w:val="Heading2"/>
      </w:pPr>
      <w:bookmarkStart w:id="89" w:name="_Toc169542025"/>
      <w:bookmarkStart w:id="90" w:name="data-collection"/>
      <w:r>
        <w:t>4.1 Data Collection</w:t>
      </w:r>
      <w:bookmarkEnd w:id="89"/>
    </w:p>
    <w:p w14:paraId="07D27B30" w14:textId="77777777" w:rsidR="001537F8" w:rsidRDefault="00000000">
      <w:pPr>
        <w:pStyle w:val="FirstParagraph"/>
      </w:pPr>
      <w:r>
        <w:t>Clinical, demographic and laboratory data will be collected during the study period according to local resources and evidence needs. Priority will always be given to the collection of information for routine clinical care. Research data will be integrated as much as possible with information available from health records. Extraction of data from electronic health records will be established where feasible to reduce the burden on front line staff.</w:t>
      </w:r>
    </w:p>
    <w:p w14:paraId="30CC96C3" w14:textId="77777777" w:rsidR="001537F8" w:rsidRDefault="00000000">
      <w:pPr>
        <w:pStyle w:val="BodyText"/>
      </w:pPr>
      <w:r>
        <w:t xml:space="preserve">Identifying information will be recorded on the informed consent form and enrollment log </w:t>
      </w:r>
      <w:proofErr w:type="gramStart"/>
      <w:r>
        <w:t>only, and</w:t>
      </w:r>
      <w:proofErr w:type="gramEnd"/>
      <w:r>
        <w:t xml:space="preserve"> retained securely at the enrolling site. The enrolment log will link the participant to a </w:t>
      </w:r>
      <w:proofErr w:type="spellStart"/>
      <w:r>
        <w:t>pseudonymised</w:t>
      </w:r>
      <w:proofErr w:type="spellEnd"/>
      <w:r>
        <w:t xml:space="preserve"> study number. This number will be the only identifier recorded on the study case report form and database.</w:t>
      </w:r>
    </w:p>
    <w:p w14:paraId="33C084C4" w14:textId="77777777" w:rsidR="001537F8" w:rsidRDefault="00000000">
      <w:pPr>
        <w:pStyle w:val="Heading2"/>
      </w:pPr>
      <w:bookmarkStart w:id="91" w:name="_Toc169542026"/>
      <w:bookmarkStart w:id="92" w:name="data-management-1"/>
      <w:bookmarkEnd w:id="90"/>
      <w:r>
        <w:t>4.2 Data Management</w:t>
      </w:r>
      <w:bookmarkEnd w:id="91"/>
    </w:p>
    <w:p w14:paraId="7BB22971" w14:textId="77777777" w:rsidR="001537F8" w:rsidRDefault="00000000">
      <w:pPr>
        <w:pStyle w:val="FirstParagraph"/>
      </w:pPr>
      <w:proofErr w:type="spellStart"/>
      <w:r>
        <w:t>Pseudonymised</w:t>
      </w:r>
      <w:proofErr w:type="spellEnd"/>
      <w:r>
        <w:t xml:space="preserve"> data will be collected in a study database. Participant identity will be </w:t>
      </w:r>
      <w:proofErr w:type="gramStart"/>
      <w:r>
        <w:t>protected</w:t>
      </w:r>
      <w:proofErr w:type="gramEnd"/>
      <w:r>
        <w:t xml:space="preserve"> and their information held securely. All access to data will be protected by physical and electronic systems to prohibit access by any </w:t>
      </w:r>
      <w:proofErr w:type="spellStart"/>
      <w:r>
        <w:t>unauthorised</w:t>
      </w:r>
      <w:proofErr w:type="spellEnd"/>
      <w:r>
        <w:t xml:space="preserve"> parties. For the Clinical </w:t>
      </w:r>
      <w:proofErr w:type="spellStart"/>
      <w:r>
        <w:t>Characterisation</w:t>
      </w:r>
      <w:proofErr w:type="spellEnd"/>
      <w:r>
        <w:t xml:space="preserve"> Protocol access to the data entry system will be protected by username and password. Username and password will be assigned during the registration </w:t>
      </w:r>
      <w:r>
        <w:lastRenderedPageBreak/>
        <w:t xml:space="preserve">process for individual Site Investigators. All electronic data transfer between study site and database will be username and password protected. Each </w:t>
      </w:r>
      <w:proofErr w:type="spellStart"/>
      <w:r>
        <w:t>centre</w:t>
      </w:r>
      <w:proofErr w:type="spellEnd"/>
      <w:r>
        <w:t xml:space="preserve"> will maintain a trial file including a protocol, ethics approval documentation, and paper CRFs. A participant list will be used in each study site to match identifier codes in the database to individual patients </w:t>
      </w:r>
      <w:proofErr w:type="gramStart"/>
      <w:r>
        <w:t>in order to</w:t>
      </w:r>
      <w:proofErr w:type="gramEnd"/>
      <w:r>
        <w:t xml:space="preserve"> record clinical outcomes and supply any missing data points.</w:t>
      </w:r>
    </w:p>
    <w:p w14:paraId="7CECD6DF" w14:textId="77777777" w:rsidR="001537F8" w:rsidRDefault="00000000">
      <w:pPr>
        <w:pStyle w:val="BodyText"/>
      </w:pPr>
      <w: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24FC2EC3" w14:textId="77777777" w:rsidR="001537F8" w:rsidRDefault="00000000">
      <w:pPr>
        <w:pStyle w:val="Heading2"/>
      </w:pPr>
      <w:bookmarkStart w:id="93" w:name="_Toc169542027"/>
      <w:bookmarkStart w:id="94" w:name="data-quality"/>
      <w:bookmarkEnd w:id="92"/>
      <w:r>
        <w:t>4.3 Data Quality</w:t>
      </w:r>
      <w:bookmarkEnd w:id="93"/>
    </w:p>
    <w:p w14:paraId="799AAB27" w14:textId="77777777" w:rsidR="001537F8" w:rsidRDefault="00000000">
      <w:pPr>
        <w:pStyle w:val="FirstParagraph"/>
      </w:pPr>
      <w:r>
        <w:t xml:space="preserve">Several procedures to ensure data quality and protocol </w:t>
      </w:r>
      <w:proofErr w:type="spellStart"/>
      <w:r>
        <w:t>standardisation</w:t>
      </w:r>
      <w:proofErr w:type="spellEnd"/>
      <w:r>
        <w:t xml:space="preserve"> will help to </w:t>
      </w:r>
      <w:proofErr w:type="spellStart"/>
      <w:r>
        <w:t>minimise</w:t>
      </w:r>
      <w:proofErr w:type="spellEnd"/>
      <w:r>
        <w:t xml:space="preserve"> bias. These include:</w:t>
      </w:r>
    </w:p>
    <w:p w14:paraId="3DA4FFD6" w14:textId="77777777" w:rsidR="001537F8" w:rsidRDefault="00000000">
      <w:pPr>
        <w:pStyle w:val="Compact"/>
        <w:numPr>
          <w:ilvl w:val="0"/>
          <w:numId w:val="22"/>
        </w:numPr>
      </w:pPr>
      <w:r>
        <w:t xml:space="preserve">A detailed data dictionary will define the data to be collected on the case report </w:t>
      </w:r>
      <w:proofErr w:type="gramStart"/>
      <w:r>
        <w:t>form;</w:t>
      </w:r>
      <w:proofErr w:type="gramEnd"/>
    </w:p>
    <w:p w14:paraId="7DF79A91" w14:textId="77777777" w:rsidR="001537F8" w:rsidRDefault="00000000">
      <w:pPr>
        <w:pStyle w:val="Compact"/>
        <w:numPr>
          <w:ilvl w:val="0"/>
          <w:numId w:val="22"/>
        </w:numPr>
      </w:pPr>
      <w:r>
        <w:t xml:space="preserve">A case report form completion guide is available to provide clear definitions and instructions on how to record </w:t>
      </w:r>
      <w:proofErr w:type="gramStart"/>
      <w:r>
        <w:t>data;</w:t>
      </w:r>
      <w:proofErr w:type="gramEnd"/>
    </w:p>
    <w:p w14:paraId="1EF1A71C" w14:textId="77777777" w:rsidR="001537F8" w:rsidRDefault="00000000">
      <w:pPr>
        <w:pStyle w:val="Compact"/>
        <w:numPr>
          <w:ilvl w:val="0"/>
          <w:numId w:val="22"/>
        </w:numPr>
      </w:pPr>
      <w:r>
        <w:t xml:space="preserve">Quality checks will be built into the data management system, alerting staff when required data are missing or lie outside of an expected </w:t>
      </w:r>
      <w:proofErr w:type="gramStart"/>
      <w:r>
        <w:t>range;</w:t>
      </w:r>
      <w:proofErr w:type="gramEnd"/>
    </w:p>
    <w:p w14:paraId="37A4AF5E" w14:textId="77777777" w:rsidR="001537F8" w:rsidRDefault="00000000">
      <w:pPr>
        <w:pStyle w:val="Compact"/>
        <w:numPr>
          <w:ilvl w:val="0"/>
          <w:numId w:val="22"/>
        </w:numPr>
      </w:pPr>
      <w:r>
        <w:t xml:space="preserve">Data may be monitored by site or central study staff with appropriate </w:t>
      </w:r>
      <w:proofErr w:type="gramStart"/>
      <w:r>
        <w:t>permissions;</w:t>
      </w:r>
      <w:proofErr w:type="gramEnd"/>
    </w:p>
    <w:p w14:paraId="43E88CF4" w14:textId="77777777" w:rsidR="001537F8" w:rsidRDefault="00000000">
      <w:pPr>
        <w:pStyle w:val="Compact"/>
        <w:numPr>
          <w:ilvl w:val="0"/>
          <w:numId w:val="22"/>
        </w:numPr>
      </w:pPr>
      <w:r>
        <w:t>Data queries will be run on any data shared to the ISARIC platform.</w:t>
      </w:r>
    </w:p>
    <w:p w14:paraId="4B744462" w14:textId="77777777" w:rsidR="001537F8" w:rsidRDefault="00000000">
      <w:pPr>
        <w:pStyle w:val="Heading2"/>
      </w:pPr>
      <w:bookmarkStart w:id="95" w:name="_Toc169542028"/>
      <w:bookmarkStart w:id="96" w:name="data-access-and-data-sharing"/>
      <w:bookmarkEnd w:id="94"/>
      <w:r>
        <w:t>4.4 Data Access and Data Sharing</w:t>
      </w:r>
      <w:bookmarkEnd w:id="95"/>
    </w:p>
    <w:p w14:paraId="467031FA" w14:textId="77777777" w:rsidR="001537F8" w:rsidRDefault="00000000">
      <w:pPr>
        <w:pStyle w:val="FirstParagraph"/>
      </w:pPr>
      <w:r>
        <w:t>This study is designed to support rapid research response to events of public health concern. The evidence generated to inform patient management and public health policy is strengthened by collective action and collaboration. As such, ISARIC encourages sharing of data via mechanisms that promote collaborative analyses while protecting the interests of participants and the staff who collect the data. ISARIC supports full recognition of the clinical investigators contributing to research, often in extremely difficult circumstances, and enables their ability to access data and samples.</w:t>
      </w:r>
    </w:p>
    <w:p w14:paraId="593A1D82" w14:textId="77777777" w:rsidR="001537F8" w:rsidRDefault="00000000">
      <w:pPr>
        <w:pStyle w:val="BodyText"/>
      </w:pPr>
      <w:r>
        <w:t xml:space="preserve">Each site owns the data they collect and will make their own decision </w:t>
      </w:r>
      <w:proofErr w:type="gramStart"/>
      <w:r>
        <w:t>if and when</w:t>
      </w:r>
      <w:proofErr w:type="gramEnd"/>
      <w:r>
        <w:t xml:space="preserve"> to share data. Sites who decide to contribute data to the central ISARIC platform will have access to all platform data for the same disease/event to execute new collaborative analyses as per the governance of the </w:t>
      </w:r>
      <w:hyperlink r:id="rId12">
        <w:r>
          <w:rPr>
            <w:rStyle w:val="Hyperlink"/>
          </w:rPr>
          <w:t>ISARIC Partner Analysis Scheme</w:t>
        </w:r>
      </w:hyperlink>
      <w:r>
        <w:t>.</w:t>
      </w:r>
    </w:p>
    <w:p w14:paraId="258AEE54" w14:textId="77777777" w:rsidR="001537F8" w:rsidRDefault="00000000">
      <w:pPr>
        <w:pStyle w:val="BodyText"/>
      </w:pPr>
      <w:r>
        <w:t>Where possible and within the constraints of international law and specific requirements of local ethical and institutional management approvals, data will be shared centrally within one master database managed by ISARIC, which will be fully compliant with standard data management processes and local regulations. This database will be held on secure servers. Access to data for outside investigators will be reviewed by the data and materials access committee.</w:t>
      </w:r>
    </w:p>
    <w:p w14:paraId="5DE5C7C8" w14:textId="77777777" w:rsidR="001537F8" w:rsidRDefault="00000000">
      <w:pPr>
        <w:pStyle w:val="Heading2"/>
      </w:pPr>
      <w:bookmarkStart w:id="97" w:name="_Toc169542029"/>
      <w:bookmarkStart w:id="98" w:name="monitoring"/>
      <w:bookmarkEnd w:id="96"/>
      <w:r>
        <w:lastRenderedPageBreak/>
        <w:t>4.5 Monitoring</w:t>
      </w:r>
      <w:bookmarkEnd w:id="97"/>
    </w:p>
    <w:p w14:paraId="532E377F" w14:textId="77777777" w:rsidR="001537F8" w:rsidRDefault="00000000">
      <w:pPr>
        <w:pStyle w:val="FirstParagraph"/>
      </w:pPr>
      <w:r>
        <w:t>Data monitoring will be conducted on a randomly selected subset (up to 5%) of cases, through discussion with the local site investigator to discuss data collection techniques. Direct site visits will not be feasible, given the scope of the study.</w:t>
      </w:r>
    </w:p>
    <w:p w14:paraId="2F13D5EF" w14:textId="77777777" w:rsidR="001537F8" w:rsidRDefault="00000000">
      <w:pPr>
        <w:pStyle w:val="Heading1"/>
      </w:pPr>
      <w:bookmarkStart w:id="99" w:name="_Toc169542030"/>
      <w:bookmarkStart w:id="100" w:name="ethical-considerations"/>
      <w:bookmarkEnd w:id="88"/>
      <w:bookmarkEnd w:id="98"/>
      <w:r>
        <w:t>5. Ethical Considerations</w:t>
      </w:r>
      <w:bookmarkEnd w:id="99"/>
    </w:p>
    <w:p w14:paraId="270300A7" w14:textId="77777777" w:rsidR="001537F8" w:rsidRDefault="00000000">
      <w:pPr>
        <w:pStyle w:val="FirstParagraph"/>
      </w:pPr>
      <w:r>
        <w:t>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14:paraId="393CBD71" w14:textId="77777777" w:rsidR="001537F8" w:rsidRDefault="00000000">
      <w:pPr>
        <w:pStyle w:val="BodyText"/>
      </w:pPr>
      <w:r>
        <w:t>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14:paraId="6A3C696C" w14:textId="77777777" w:rsidR="001537F8" w:rsidRDefault="00000000">
      <w:pPr>
        <w:pStyle w:val="Heading2"/>
      </w:pPr>
      <w:bookmarkStart w:id="101" w:name="_Toc169542031"/>
      <w:bookmarkStart w:id="102" w:name="X9d95b5c2ce798425c58a7cec817a7771ba83082"/>
      <w:r>
        <w:t>5.1 Regulations, Guidelines and Ethical Review</w:t>
      </w:r>
      <w:bookmarkEnd w:id="101"/>
    </w:p>
    <w:p w14:paraId="2AA5381E" w14:textId="77777777" w:rsidR="001537F8" w:rsidRDefault="00000000">
      <w:pPr>
        <w:pStyle w:val="FirstParagraph"/>
      </w:pPr>
      <w:r>
        <w:t>This study will be conducted in compliance with the principles set out in the Declaration of Helsinki. Where applicable, the principles of Good Clinical Practice (ICH 1996) and other applicable regulations and guidelines will be used to guide procedures and considerations.</w:t>
      </w:r>
    </w:p>
    <w:p w14:paraId="1F668F3F" w14:textId="77777777" w:rsidR="001537F8" w:rsidRDefault="00000000">
      <w:pPr>
        <w:pStyle w:val="BodyText"/>
      </w:pPr>
      <w:r>
        <w:t>This protocol will be reviewed and approved by the ethical and regulatory review boards required by the recruiting site and the study sponsor. No patients will be enrolled until all approvals have been obtained for the applicable site.</w:t>
      </w:r>
    </w:p>
    <w:p w14:paraId="3C922E24" w14:textId="77777777" w:rsidR="001537F8" w:rsidRDefault="00000000">
      <w:pPr>
        <w:pStyle w:val="Heading2"/>
      </w:pPr>
      <w:bookmarkStart w:id="103" w:name="_Toc169542032"/>
      <w:bookmarkStart w:id="104" w:name="informed-consent"/>
      <w:bookmarkEnd w:id="102"/>
      <w:r>
        <w:t>5.2 Informed Consent</w:t>
      </w:r>
      <w:bookmarkEnd w:id="103"/>
    </w:p>
    <w:p w14:paraId="4F00F524" w14:textId="77777777" w:rsidR="001537F8" w:rsidRDefault="00000000">
      <w:pPr>
        <w:pStyle w:val="FirstParagraph"/>
      </w:pPr>
      <w:r>
        <w:t>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14:paraId="72C94CA7" w14:textId="77777777" w:rsidR="001537F8" w:rsidRDefault="00000000">
      <w:pPr>
        <w:pStyle w:val="BodyText"/>
      </w:pPr>
      <w:r>
        <w:t xml:space="preserve">In the case of adult participants who are unable to give informed consent due to mental or physical status, the wishes of the participant may be declared by an appropriate consultee according to the site policy on obtaining consent for medical procedures. If, </w:t>
      </w:r>
      <w:proofErr w:type="gramStart"/>
      <w:r>
        <w:t xml:space="preserve">during the </w:t>
      </w:r>
      <w:r>
        <w:lastRenderedPageBreak/>
        <w:t>course of</w:t>
      </w:r>
      <w:proofErr w:type="gramEnd"/>
      <w:r>
        <w:t xml:space="preserve"> the study, the participant’s status changes such that they are able to consider consent independently, informed consent must be discussed and obtained.</w:t>
      </w:r>
    </w:p>
    <w:p w14:paraId="2F8E960F" w14:textId="77777777" w:rsidR="001537F8" w:rsidRDefault="00000000">
      <w:pPr>
        <w:pStyle w:val="BodyText"/>
      </w:pPr>
      <w:r>
        <w:t xml:space="preserve">Parents or guardians of children under the age of 16 years old will give consent for their child. Study staff obtaining consent will consider the ability of the child to understand the principles of the study and will discuss the study with the child in </w:t>
      </w:r>
      <w:proofErr w:type="gramStart"/>
      <w:r>
        <w:t>age appropriate</w:t>
      </w:r>
      <w:proofErr w:type="gramEnd"/>
      <w:r>
        <w:t xml:space="preserv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allow consent by competent minors, then these new rules will be applied to this study without further amendment.</w:t>
      </w:r>
    </w:p>
    <w:p w14:paraId="0C1F8CCD" w14:textId="77777777" w:rsidR="001537F8" w:rsidRDefault="00000000">
      <w:pPr>
        <w:pStyle w:val="BodyText"/>
      </w:pPr>
      <w:r>
        <w:t>A copy of the informed consent form will be given to the person who gives consent.</w:t>
      </w:r>
    </w:p>
    <w:p w14:paraId="316955A9" w14:textId="77777777" w:rsidR="001537F8" w:rsidRDefault="00000000">
      <w:pPr>
        <w:pStyle w:val="Heading2"/>
      </w:pPr>
      <w:bookmarkStart w:id="105" w:name="_Toc169542033"/>
      <w:bookmarkStart w:id="106" w:name="X994f4dbe94b5ef0ce940ba3904883b602ddebfc"/>
      <w:bookmarkEnd w:id="104"/>
      <w:r>
        <w:t>5.3 Alternatives to Participation and Withdrawal</w:t>
      </w:r>
      <w:bookmarkEnd w:id="105"/>
    </w:p>
    <w:p w14:paraId="31080F49" w14:textId="77777777" w:rsidR="001537F8" w:rsidRDefault="00000000">
      <w:pPr>
        <w:pStyle w:val="FirstParagraph"/>
      </w:pPr>
      <w:r>
        <w:t>Prospective participants are freely able to decline participation in this study or to withdraw from participation at any point without suffering any implied or explicit disadvantage. All patients will be treated according to standard practice regardless of if they participate.</w:t>
      </w:r>
    </w:p>
    <w:p w14:paraId="1D3F23A9" w14:textId="77777777" w:rsidR="001537F8" w:rsidRDefault="00000000">
      <w:pPr>
        <w:pStyle w:val="Heading2"/>
      </w:pPr>
      <w:bookmarkStart w:id="107" w:name="_Toc169542034"/>
      <w:bookmarkStart w:id="108" w:name="risks-to-participants"/>
      <w:bookmarkEnd w:id="106"/>
      <w:r>
        <w:t>5.4 Risks to Participants</w:t>
      </w:r>
      <w:bookmarkEnd w:id="107"/>
    </w:p>
    <w:p w14:paraId="1A47D075" w14:textId="77777777" w:rsidR="001537F8" w:rsidRDefault="00000000">
      <w:pPr>
        <w:pStyle w:val="Heading3"/>
      </w:pPr>
      <w:bookmarkStart w:id="109" w:name="_Toc169542035"/>
      <w:bookmarkStart w:id="110" w:name="inconvenience"/>
      <w:r>
        <w:t>5.4.1 Inconvenience</w:t>
      </w:r>
      <w:bookmarkEnd w:id="109"/>
    </w:p>
    <w:p w14:paraId="5014C59C" w14:textId="77777777" w:rsidR="001537F8" w:rsidRDefault="00000000">
      <w:pPr>
        <w:pStyle w:val="FirstParagraph"/>
      </w:pPr>
      <w:r>
        <w:t>Participation in this research study poses a minimal risk of inconvenience through household visits and attendance of follow-up visits. Appropriate compensation for travel costs to attend follow-up visits and for time of attending visits will be given according to the standard policies of the sponsor.</w:t>
      </w:r>
    </w:p>
    <w:p w14:paraId="47EDD8D9" w14:textId="77777777" w:rsidR="001537F8" w:rsidRDefault="00000000">
      <w:pPr>
        <w:pStyle w:val="Heading3"/>
      </w:pPr>
      <w:bookmarkStart w:id="111" w:name="_Toc169542036"/>
      <w:bookmarkStart w:id="112" w:name="phlebotomy"/>
      <w:bookmarkEnd w:id="110"/>
      <w:r>
        <w:t>5.4.2 Phlebotomy</w:t>
      </w:r>
      <w:bookmarkEnd w:id="111"/>
    </w:p>
    <w:p w14:paraId="0AA4DB3F" w14:textId="77777777" w:rsidR="001537F8" w:rsidRDefault="00000000">
      <w:pPr>
        <w:pStyle w:val="FirstParagraph"/>
      </w:pPr>
      <w: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14:paraId="717BAE44" w14:textId="77777777" w:rsidR="001537F8" w:rsidRDefault="00000000">
      <w:pPr>
        <w:pStyle w:val="Heading3"/>
      </w:pPr>
      <w:bookmarkStart w:id="113" w:name="_Toc169542037"/>
      <w:bookmarkStart w:id="114" w:name="discomfort-of-respiratory-swabs"/>
      <w:bookmarkEnd w:id="112"/>
      <w:r>
        <w:t>5.4.3 Discomfort of respiratory swabs</w:t>
      </w:r>
      <w:bookmarkEnd w:id="113"/>
    </w:p>
    <w:p w14:paraId="30D95141" w14:textId="77777777" w:rsidR="001537F8" w:rsidRDefault="00000000">
      <w:pPr>
        <w:pStyle w:val="FirstParagraph"/>
      </w:pPr>
      <w:r>
        <w:t xml:space="preserve">Collecting respiratory swabs may be cause transient discomfort. Discomfort and risk will be minimized by using experienced clinical staff at each site, and samples will be taken at the same time as clinical samples </w:t>
      </w:r>
      <w:proofErr w:type="gramStart"/>
      <w:r>
        <w:t>in order to</w:t>
      </w:r>
      <w:proofErr w:type="gramEnd"/>
      <w:r>
        <w:t xml:space="preserve"> minimize these risks.</w:t>
      </w:r>
    </w:p>
    <w:p w14:paraId="1C0EE955" w14:textId="77777777" w:rsidR="001537F8" w:rsidRDefault="00000000">
      <w:pPr>
        <w:pStyle w:val="Heading3"/>
      </w:pPr>
      <w:bookmarkStart w:id="115" w:name="_Toc169542038"/>
      <w:bookmarkStart w:id="116" w:name="discomfort-of-lumbar-puncture"/>
      <w:bookmarkEnd w:id="114"/>
      <w:r>
        <w:lastRenderedPageBreak/>
        <w:t>5.4.4 Discomfort of lumbar puncture</w:t>
      </w:r>
      <w:bookmarkEnd w:id="115"/>
    </w:p>
    <w:p w14:paraId="031A16A2" w14:textId="77777777" w:rsidR="001537F8" w:rsidRDefault="00000000">
      <w:pPr>
        <w:pStyle w:val="FirstParagraph"/>
      </w:pPr>
      <w: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in </w:t>
      </w:r>
      <w:hyperlink w:anchor="tbl-max-csf-vol">
        <w:r>
          <w:rPr>
            <w:rStyle w:val="Hyperlink"/>
          </w:rPr>
          <w:t>Table 2</w:t>
        </w:r>
      </w:hyperlink>
      <w:r>
        <w:t>. Lumbar puncture can be associated with discomfort at the site of needle insertion, headache, and rarely bleeding or infection.</w:t>
      </w:r>
    </w:p>
    <w:p w14:paraId="1AE2F389" w14:textId="77777777" w:rsidR="001537F8" w:rsidRDefault="00000000">
      <w:pPr>
        <w:pStyle w:val="Heading3"/>
      </w:pPr>
      <w:bookmarkStart w:id="117" w:name="_Toc169542039"/>
      <w:bookmarkStart w:id="118" w:name="incidental-findings-in-genetic-testing"/>
      <w:bookmarkEnd w:id="116"/>
      <w:r>
        <w:t>5.4.5 Incidental findings in genetic testing</w:t>
      </w:r>
      <w:bookmarkEnd w:id="117"/>
    </w:p>
    <w:p w14:paraId="0FA58878" w14:textId="77777777" w:rsidR="001537F8" w:rsidRDefault="00000000">
      <w:pPr>
        <w:pStyle w:val="FirstParagraph"/>
      </w:pPr>
      <w:r>
        <w:t xml:space="preserve">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w:t>
      </w:r>
      <w:proofErr w:type="spellStart"/>
      <w:r>
        <w:t>analysed</w:t>
      </w:r>
      <w:proofErr w:type="spellEnd"/>
      <w:r>
        <w:t xml:space="preserve"> anonymously in batches, and generally in non-clinical laboratories with investigational techniques, we will not attempt to identify and inform participants of any results from genetic tests.</w:t>
      </w:r>
    </w:p>
    <w:p w14:paraId="5C7128D3" w14:textId="77777777" w:rsidR="001537F8" w:rsidRDefault="00000000">
      <w:pPr>
        <w:pStyle w:val="Heading3"/>
      </w:pPr>
      <w:bookmarkStart w:id="119" w:name="_Toc169542040"/>
      <w:bookmarkStart w:id="120" w:name="specific-risks-for-vhf-patients."/>
      <w:bookmarkEnd w:id="118"/>
      <w:r>
        <w:t>5.4.6 Specific risks for VHF patients.</w:t>
      </w:r>
      <w:bookmarkEnd w:id="119"/>
    </w:p>
    <w:p w14:paraId="7C38208F" w14:textId="77777777" w:rsidR="001537F8" w:rsidRDefault="00000000">
      <w:pPr>
        <w:pStyle w:val="FirstParagraph"/>
      </w:pPr>
      <w:r>
        <w:t xml:space="preserve">Participants with VHF may be at increased risk of bleeding from </w:t>
      </w:r>
      <w:proofErr w:type="spellStart"/>
      <w:r>
        <w:t>venepuncture</w:t>
      </w:r>
      <w:proofErr w:type="spellEnd"/>
      <w:r>
        <w:t xml:space="preserve"> sites. The decision to perform </w:t>
      </w:r>
      <w:proofErr w:type="spellStart"/>
      <w:r>
        <w:t>venepuncture</w:t>
      </w:r>
      <w:proofErr w:type="spellEnd"/>
      <w:r>
        <w:t xml:space="preserve"> for research purposes will only be performed following discussion with the attending clinician and only if </w:t>
      </w:r>
      <w:proofErr w:type="spellStart"/>
      <w:r>
        <w:t>venepuncture</w:t>
      </w:r>
      <w:proofErr w:type="spellEnd"/>
      <w:r>
        <w:t xml:space="preserve"> is deemed not to pose unacceptable risk to the patient and/or staff. When at risk </w:t>
      </w:r>
      <w:proofErr w:type="spellStart"/>
      <w:r>
        <w:t>venepuncture</w:t>
      </w:r>
      <w:proofErr w:type="spellEnd"/>
      <w:r>
        <w:t xml:space="preserve"> will be </w:t>
      </w:r>
      <w:proofErr w:type="spellStart"/>
      <w:r>
        <w:t>minimised</w:t>
      </w:r>
      <w:proofErr w:type="spellEnd"/>
      <w:r>
        <w:t xml:space="preserve"> by limiting research </w:t>
      </w:r>
      <w:proofErr w:type="spellStart"/>
      <w:r>
        <w:t>venepuncture</w:t>
      </w:r>
      <w:proofErr w:type="spellEnd"/>
      <w:r>
        <w:t xml:space="preserve"> to coincide with clinical </w:t>
      </w:r>
      <w:proofErr w:type="spellStart"/>
      <w:r>
        <w:t>venepuncture</w:t>
      </w:r>
      <w:proofErr w:type="spellEnd"/>
      <w:r>
        <w:t>.</w:t>
      </w:r>
    </w:p>
    <w:p w14:paraId="1045FC19" w14:textId="77777777" w:rsidR="001537F8" w:rsidRDefault="00000000">
      <w:pPr>
        <w:pStyle w:val="Heading2"/>
      </w:pPr>
      <w:bookmarkStart w:id="121" w:name="_Toc169542041"/>
      <w:bookmarkStart w:id="122" w:name="benefits-to-participants"/>
      <w:bookmarkEnd w:id="108"/>
      <w:bookmarkEnd w:id="120"/>
      <w:r>
        <w:t>5.5 Benefits to Participants</w:t>
      </w:r>
      <w:bookmarkEnd w:id="121"/>
    </w:p>
    <w:p w14:paraId="67E4FF01" w14:textId="77777777" w:rsidR="001537F8" w:rsidRDefault="00000000">
      <w:pPr>
        <w:pStyle w:val="FirstParagraph"/>
      </w:pPr>
      <w:r>
        <w:t>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14:paraId="5717C4D8" w14:textId="77777777" w:rsidR="001537F8" w:rsidRDefault="00000000">
      <w:pPr>
        <w:pStyle w:val="Heading2"/>
      </w:pPr>
      <w:bookmarkStart w:id="123" w:name="_Toc169542042"/>
      <w:bookmarkStart w:id="124" w:name="X064990dac84e4aa06facc638859805172aef88a"/>
      <w:bookmarkEnd w:id="122"/>
      <w:r>
        <w:t>5.6 Participation in Other Research Studies / Co-enrolment</w:t>
      </w:r>
      <w:bookmarkEnd w:id="123"/>
    </w:p>
    <w:p w14:paraId="45E7797F" w14:textId="77777777" w:rsidR="001537F8" w:rsidRDefault="00000000">
      <w:pPr>
        <w:pStyle w:val="FirstParagraph"/>
      </w:pPr>
      <w: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w:t>
      </w:r>
    </w:p>
    <w:p w14:paraId="5C2CCD9C" w14:textId="77777777" w:rsidR="001537F8" w:rsidRDefault="00000000">
      <w:pPr>
        <w:pStyle w:val="Heading2"/>
      </w:pPr>
      <w:bookmarkStart w:id="125" w:name="_Toc169542043"/>
      <w:bookmarkStart w:id="126" w:name="confidentiality"/>
      <w:bookmarkEnd w:id="124"/>
      <w:r>
        <w:t>5.7 Confidentiality</w:t>
      </w:r>
      <w:bookmarkEnd w:id="125"/>
    </w:p>
    <w:p w14:paraId="3DD8B6A9" w14:textId="77777777" w:rsidR="001537F8" w:rsidRDefault="00000000">
      <w:pPr>
        <w:pStyle w:val="FirstParagraph"/>
      </w:pPr>
      <w:r>
        <w:t xml:space="preserve">This study will be conducted by clinical staff and those involved in the study will ensure that each study participant’s privacy and confidentiality is maintained. Participants will not </w:t>
      </w:r>
      <w:r>
        <w:lastRenderedPageBreak/>
        <w:t>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14:paraId="3DE434D5" w14:textId="77777777" w:rsidR="001537F8" w:rsidRDefault="00000000">
      <w:pPr>
        <w:pStyle w:val="BodyText"/>
      </w:pPr>
      <w:r>
        <w:t>Paper and electronic medical records may be accessed during the study to confirm, verify or complete clinical information provided in the case report form.</w:t>
      </w:r>
    </w:p>
    <w:p w14:paraId="76CB9522" w14:textId="77777777" w:rsidR="001537F8" w:rsidRDefault="00000000">
      <w:pPr>
        <w:pStyle w:val="BodyText"/>
      </w:pPr>
      <w:r>
        <w:t xml:space="preserve">Site files </w:t>
      </w:r>
      <w:proofErr w:type="gramStart"/>
      <w:r>
        <w:t>will at all times</w:t>
      </w:r>
      <w:proofErr w:type="gramEnd"/>
      <w:r>
        <w:t xml:space="preserve"> be accessible only to clinical and research staff. Consent will be sought for investigators to access patient data. Local research staff will access personal information, but all data will be pseudo-</w:t>
      </w:r>
      <w:proofErr w:type="spellStart"/>
      <w:r>
        <w:t>anonymised</w:t>
      </w:r>
      <w:proofErr w:type="spellEnd"/>
      <w:r>
        <w:t xml:space="preserve"> before transfer by eCRF.</w:t>
      </w:r>
    </w:p>
    <w:p w14:paraId="7B253DAC" w14:textId="77777777" w:rsidR="001537F8" w:rsidRDefault="00000000">
      <w:pPr>
        <w:pStyle w:val="BodyText"/>
      </w:pPr>
      <w:r>
        <w:t>It is important that data generated now is not destroyed unnecessarily, since they will be of considerable potential value to future generations faced with similar outbreaks of infectious disease. Electronic data and electronic copies of paper documents will be stored for at least 5 years.</w:t>
      </w:r>
    </w:p>
    <w:p w14:paraId="5EBBE725" w14:textId="77777777" w:rsidR="001537F8" w:rsidRDefault="00000000">
      <w:pPr>
        <w:pStyle w:val="Heading2"/>
      </w:pPr>
      <w:bookmarkStart w:id="127" w:name="_Toc169542044"/>
      <w:bookmarkStart w:id="128" w:name="custody-of-data-and-samples"/>
      <w:bookmarkEnd w:id="126"/>
      <w:r>
        <w:t>5.8 Custody of Data and Samples</w:t>
      </w:r>
      <w:bookmarkEnd w:id="127"/>
    </w:p>
    <w:p w14:paraId="699F536D" w14:textId="77777777" w:rsidR="001537F8" w:rsidRDefault="00000000">
      <w:pPr>
        <w:pStyle w:val="FirstParagraph"/>
      </w:pPr>
      <w:r>
        <w:t>Custody of site data will remain with the responsible physician at the site. Samples may be shipped (depending upon pathogen of interest) to a reference laboratory for analysis as approved by the appropriate ethics/institutional review committee. Any residual sample will remain in the custody of the site until use can be decided upon.</w:t>
      </w:r>
    </w:p>
    <w:p w14:paraId="20506666" w14:textId="77777777" w:rsidR="001537F8" w:rsidRDefault="00000000">
      <w:pPr>
        <w:pStyle w:val="Heading2"/>
      </w:pPr>
      <w:bookmarkStart w:id="129" w:name="_Toc169542045"/>
      <w:bookmarkStart w:id="130" w:name="additional-ethical-considerations"/>
      <w:bookmarkEnd w:id="128"/>
      <w:r>
        <w:t>5.9 Additional Ethical Considerations</w:t>
      </w:r>
      <w:bookmarkEnd w:id="129"/>
    </w:p>
    <w:p w14:paraId="47751CD0" w14:textId="77777777" w:rsidR="001537F8" w:rsidRDefault="00000000">
      <w:pPr>
        <w:pStyle w:val="FirstParagraph"/>
      </w:pPr>
      <w:r>
        <w:rPr>
          <w:b/>
          <w:bCs/>
        </w:rPr>
        <w:t>Recruitment of critically ill patients who are not able to consent.</w:t>
      </w:r>
      <w: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14:paraId="72DF3585" w14:textId="77777777" w:rsidR="001537F8" w:rsidRDefault="00000000">
      <w:pPr>
        <w:pStyle w:val="BodyText"/>
      </w:pPr>
      <w:r>
        <w:rPr>
          <w:b/>
          <w:bCs/>
        </w:rPr>
        <w:t>Perceived coercion because of individual responsibilities to society, and the implications of this research for public health.</w:t>
      </w:r>
      <w:r>
        <w:t xml:space="preserve"> 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 we also stress that participation is entirely voluntary and there is no penalty of any kind for declining to join the study.</w:t>
      </w:r>
    </w:p>
    <w:p w14:paraId="781526F9" w14:textId="77777777" w:rsidR="001537F8" w:rsidRDefault="00000000">
      <w:pPr>
        <w:pStyle w:val="BodyText"/>
      </w:pPr>
      <w:r>
        <w:rPr>
          <w:b/>
          <w:bCs/>
        </w:rPr>
        <w:t>Balance between public health and research.</w:t>
      </w:r>
      <w:r>
        <w:t xml:space="preserve"> 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w:t>
      </w:r>
      <w:r>
        <w:lastRenderedPageBreak/>
        <w:t>individual are paramount and the potential benefits to wider society do not take precedence.</w:t>
      </w:r>
    </w:p>
    <w:p w14:paraId="5E8521CE" w14:textId="77777777" w:rsidR="001537F8" w:rsidRDefault="00000000">
      <w:pPr>
        <w:pStyle w:val="BodyText"/>
      </w:pPr>
      <w:r>
        <w:rPr>
          <w:b/>
          <w:bCs/>
        </w:rPr>
        <w:t>Risks to clinical and research staff treating the participants.</w:t>
      </w:r>
      <w:r>
        <w:t xml:space="preserve"> Staff who </w:t>
      </w:r>
      <w:proofErr w:type="spellStart"/>
      <w:r>
        <w:t>enrol</w:t>
      </w:r>
      <w:proofErr w:type="spellEnd"/>
      <w:r>
        <w:t xml:space="preserve">, examine and take samples from study patients are at risk of infection. Care of study participants will require increased sampling and contact frequency added to normally heavy clinical workloads. All staff must be trained in </w:t>
      </w:r>
      <w:proofErr w:type="spellStart"/>
      <w:r>
        <w:t>recognised</w:t>
      </w:r>
      <w:proofErr w:type="spellEnd"/>
      <w:r>
        <w:t xml:space="preserve">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14:paraId="346EC5B6" w14:textId="77777777" w:rsidR="001537F8" w:rsidRDefault="00000000">
      <w:pPr>
        <w:pStyle w:val="Heading2"/>
      </w:pPr>
      <w:bookmarkStart w:id="131" w:name="_Toc169542046"/>
      <w:bookmarkStart w:id="132" w:name="scientific-and-peer-review"/>
      <w:bookmarkEnd w:id="130"/>
      <w:r>
        <w:t>5.10 Scientific and Peer Review</w:t>
      </w:r>
      <w:bookmarkEnd w:id="131"/>
    </w:p>
    <w:p w14:paraId="18A3A3D9" w14:textId="77777777" w:rsidR="001537F8" w:rsidRDefault="00000000">
      <w:pPr>
        <w:pStyle w:val="FirstParagraph"/>
      </w:pPr>
      <w:r>
        <w:t xml:space="preserve">The proposed research is the product of several years of discussion within a group of international experts who were brought together following the 2009 influenza pandemic to plan the global research response to future severe and emerging infections: the International Severe Acute Respiratory and Emerging Infection Consortium (ISARIC). ISARIC working group 3 (genomics, pathogenesis and pharmacology) comprised senior clinical scientists from 5 continents working together to promote and </w:t>
      </w:r>
      <w:proofErr w:type="spellStart"/>
      <w:r>
        <w:t>harmonise</w:t>
      </w:r>
      <w:proofErr w:type="spellEnd"/>
      <w:r>
        <w:t xml:space="preserve"> observational research during outbreaks of severe infectious disease.</w:t>
      </w:r>
    </w:p>
    <w:p w14:paraId="58D16F4E" w14:textId="77777777" w:rsidR="001537F8" w:rsidRDefault="00000000">
      <w:pPr>
        <w:pStyle w:val="Heading1"/>
      </w:pPr>
      <w:bookmarkStart w:id="133" w:name="_Toc169542047"/>
      <w:bookmarkStart w:id="134" w:name="X3f80b15608ec66bd3553abebdb3ad16396a04c7"/>
      <w:bookmarkEnd w:id="100"/>
      <w:bookmarkEnd w:id="132"/>
      <w:r>
        <w:t>Appendix 1: Version history and contributors</w:t>
      </w:r>
      <w:bookmarkEnd w:id="133"/>
    </w:p>
    <w:p w14:paraId="75A7FB5E" w14:textId="77777777" w:rsidR="001537F8" w:rsidRDefault="00000000">
      <w:pPr>
        <w:pStyle w:val="FirstParagraph"/>
      </w:pPr>
      <w:r>
        <w:rPr>
          <w:b/>
          <w:bCs/>
        </w:rPr>
        <w:t>Version number 3.3</w:t>
      </w:r>
      <w:r>
        <w:t xml:space="preserve"> (</w:t>
      </w:r>
      <w:proofErr w:type="gramStart"/>
      <w:r>
        <w:t>2024)(</w:t>
      </w:r>
      <w:proofErr w:type="gramEnd"/>
      <w:r>
        <w:t>amended by Laura Merson, Kenneth Baillie, Malcolm (Calum) G Semple, Antonia Ho and Clark Russell on behalf of international collaborators in the ISARIC CCP group)</w:t>
      </w:r>
    </w:p>
    <w:p w14:paraId="486344E7" w14:textId="77777777" w:rsidR="001537F8" w:rsidRDefault="00000000">
      <w:pPr>
        <w:pStyle w:val="BodyText"/>
      </w:pPr>
      <w:r>
        <w:rPr>
          <w:b/>
          <w:bCs/>
        </w:rPr>
        <w:t>Version number 3.2</w:t>
      </w:r>
      <w:r>
        <w:t xml:space="preserve"> (</w:t>
      </w:r>
      <w:proofErr w:type="gramStart"/>
      <w:r>
        <w:t>2020)(</w:t>
      </w:r>
      <w:proofErr w:type="gramEnd"/>
      <w:r>
        <w:t>amended by Clark Russell on behalf of international collaborators in the ISARIC CCP group)</w:t>
      </w:r>
    </w:p>
    <w:p w14:paraId="23572038" w14:textId="77777777" w:rsidR="001537F8" w:rsidRDefault="00000000">
      <w:pPr>
        <w:pStyle w:val="BodyText"/>
      </w:pPr>
      <w:r>
        <w:rPr>
          <w:b/>
          <w:bCs/>
        </w:rPr>
        <w:t>Version number 3.1</w:t>
      </w:r>
      <w:r>
        <w:t xml:space="preserve"> (</w:t>
      </w:r>
      <w:proofErr w:type="gramStart"/>
      <w:r>
        <w:t>2020)(</w:t>
      </w:r>
      <w:proofErr w:type="gramEnd"/>
      <w:r>
        <w:t>amended by Kenneth Baillie and international collaborators in the ISARIC CCP group)</w:t>
      </w:r>
    </w:p>
    <w:p w14:paraId="607BD710" w14:textId="77777777" w:rsidR="001537F8" w:rsidRDefault="00000000">
      <w:pPr>
        <w:pStyle w:val="BodyText"/>
      </w:pPr>
      <w:r>
        <w:rPr>
          <w:b/>
          <w:bCs/>
        </w:rPr>
        <w:t>Version number 3.01</w:t>
      </w:r>
      <w:r>
        <w:t xml:space="preserve"> (</w:t>
      </w:r>
      <w:proofErr w:type="gramStart"/>
      <w:r>
        <w:t>2016)(</w:t>
      </w:r>
      <w:proofErr w:type="gramEnd"/>
      <w:r>
        <w:t>amended by Malcolm (Calum) G Semple and Gail Carson)</w:t>
      </w:r>
    </w:p>
    <w:p w14:paraId="09F66F09" w14:textId="77777777" w:rsidR="001537F8" w:rsidRDefault="00000000">
      <w:pPr>
        <w:pStyle w:val="BodyText"/>
      </w:pPr>
      <w:r>
        <w:rPr>
          <w:b/>
          <w:bCs/>
        </w:rPr>
        <w:t>Version numbers 2.4.2 to 2.5.4</w:t>
      </w:r>
      <w:r>
        <w:t xml:space="preserve"> (</w:t>
      </w:r>
      <w:proofErr w:type="gramStart"/>
      <w:r>
        <w:t>2013)(</w:t>
      </w:r>
      <w:proofErr w:type="gramEnd"/>
      <w:r>
        <w:t>amended by Kenneth Baillie and ISARIC working group 3)</w:t>
      </w:r>
    </w:p>
    <w:p w14:paraId="4E0E672A" w14:textId="77777777" w:rsidR="001537F8" w:rsidRDefault="00000000">
      <w:pPr>
        <w:pStyle w:val="BodyText"/>
      </w:pPr>
      <w:r>
        <w:rPr>
          <w:b/>
          <w:bCs/>
        </w:rPr>
        <w:t>Version number 1.0</w:t>
      </w:r>
      <w:r>
        <w:t xml:space="preserve"> (2012)(written by Kenneth Baillie on behalf of the ISARIC working group on observational research: Sylvie van der Werf, Peter J M Openshaw, Jake W Dunning, Laura Merson, Jeremy Farrar, Gail Carson, Gernot G U Rohde, </w:t>
      </w:r>
      <w:proofErr w:type="spellStart"/>
      <w:r>
        <w:t>Zhancheng</w:t>
      </w:r>
      <w:proofErr w:type="spellEnd"/>
      <w:r>
        <w:t xml:space="preserve"> Gao, Malcolm (Calum) G Semple, Dat Tran, Anthony Gordon, Piero L </w:t>
      </w:r>
      <w:proofErr w:type="spellStart"/>
      <w:r>
        <w:t>Olliaro</w:t>
      </w:r>
      <w:proofErr w:type="spellEnd"/>
      <w:r>
        <w:t xml:space="preserve">, </w:t>
      </w:r>
      <w:proofErr w:type="spellStart"/>
      <w:r>
        <w:t>Saye</w:t>
      </w:r>
      <w:proofErr w:type="spellEnd"/>
      <w:r>
        <w:t xml:space="preserve"> H Khoo, Roberto Bruzzone, Peter </w:t>
      </w:r>
      <w:proofErr w:type="spellStart"/>
      <w:r>
        <w:t>Horby</w:t>
      </w:r>
      <w:proofErr w:type="spellEnd"/>
      <w:r>
        <w:t xml:space="preserve">, J </w:t>
      </w:r>
      <w:proofErr w:type="spellStart"/>
      <w:r>
        <w:t>Perren</w:t>
      </w:r>
      <w:proofErr w:type="spellEnd"/>
      <w:r>
        <w:t xml:space="preserve"> Cobb, </w:t>
      </w:r>
      <w:proofErr w:type="spellStart"/>
      <w:r>
        <w:t>Kajsa-Stina</w:t>
      </w:r>
      <w:proofErr w:type="spellEnd"/>
      <w:r>
        <w:t xml:space="preserve"> </w:t>
      </w:r>
      <w:proofErr w:type="spellStart"/>
      <w:r>
        <w:t>Longuere</w:t>
      </w:r>
      <w:proofErr w:type="spellEnd"/>
      <w:r>
        <w:t xml:space="preserve">, Paul Kellam, Alistair Nichol, Stephen Brett, Dean Everett, Timothy S Walsh, Tran-Tinh Hien, Hongjie Yu, Maria </w:t>
      </w:r>
      <w:proofErr w:type="spellStart"/>
      <w:r>
        <w:lastRenderedPageBreak/>
        <w:t>Zambon</w:t>
      </w:r>
      <w:proofErr w:type="spellEnd"/>
      <w:r>
        <w:t xml:space="preserve">, Guillermo Ruiz-Palacios, Trudie Lang, </w:t>
      </w:r>
      <w:proofErr w:type="spellStart"/>
      <w:r>
        <w:t>Tamuna</w:t>
      </w:r>
      <w:proofErr w:type="spellEnd"/>
      <w:r>
        <w:t xml:space="preserve"> </w:t>
      </w:r>
      <w:proofErr w:type="spellStart"/>
      <w:r>
        <w:t>Akhvlediani</w:t>
      </w:r>
      <w:proofErr w:type="spellEnd"/>
      <w:r>
        <w:t xml:space="preserve">, Frederick G Hayden, John Marshall, Steve Webb, Derek C Angus, Nahoko </w:t>
      </w:r>
      <w:proofErr w:type="spellStart"/>
      <w:r>
        <w:t>Shindo</w:t>
      </w:r>
      <w:proofErr w:type="spellEnd"/>
      <w:r>
        <w:t>)</w:t>
      </w:r>
    </w:p>
    <w:p w14:paraId="19988742" w14:textId="77777777" w:rsidR="001537F8" w:rsidRDefault="00000000">
      <w:pPr>
        <w:pStyle w:val="Heading1"/>
      </w:pPr>
      <w:bookmarkStart w:id="135" w:name="_Toc169542048"/>
      <w:bookmarkStart w:id="136" w:name="Xf850570409923d0fb0814345aba73ad74a2e250"/>
      <w:bookmarkEnd w:id="134"/>
      <w:r>
        <w:t>Appendix 2: Full biological sampling processing table</w:t>
      </w:r>
      <w:bookmarkEnd w:id="135"/>
    </w:p>
    <w:p w14:paraId="0B89B005" w14:textId="77777777" w:rsidR="001537F8" w:rsidRDefault="00000000">
      <w:pPr>
        <w:pStyle w:val="TableCaption"/>
      </w:pPr>
      <w:bookmarkStart w:id="137" w:name="tbl-sample-processing-m1"/>
      <w:r>
        <w:t>Table 3: Module 1 Sample processing guidance showing maximum samples to be obtained - rows will be deleted as appropriate to form specific guidance for a given CCP activation and phase of investigation.</w:t>
      </w:r>
    </w:p>
    <w:tbl>
      <w:tblPr>
        <w:tblStyle w:val="Table"/>
        <w:tblW w:w="4977" w:type="pct"/>
        <w:tblLook w:val="0020" w:firstRow="1" w:lastRow="0" w:firstColumn="0" w:lastColumn="0" w:noHBand="0" w:noVBand="0"/>
        <w:tblCaption w:val="Table 3: Module 1 Sample processing guidance showing maximum samples to be obtained - rows will be deleted as appropriate to form specific guidance for a given CCP activation and phase of investigation."/>
      </w:tblPr>
      <w:tblGrid>
        <w:gridCol w:w="3159"/>
        <w:gridCol w:w="2914"/>
        <w:gridCol w:w="3459"/>
      </w:tblGrid>
      <w:tr w:rsidR="001537F8" w14:paraId="0446E145" w14:textId="77777777" w:rsidTr="0015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3C325668" w14:textId="77777777" w:rsidR="001537F8" w:rsidRDefault="00000000">
            <w:pPr>
              <w:pStyle w:val="Compact"/>
            </w:pPr>
            <w:r>
              <w:t>Sample</w:t>
            </w:r>
          </w:p>
        </w:tc>
        <w:tc>
          <w:tcPr>
            <w:tcW w:w="0" w:type="auto"/>
          </w:tcPr>
          <w:p w14:paraId="72299C29" w14:textId="77777777" w:rsidR="001537F8" w:rsidRDefault="00000000">
            <w:pPr>
              <w:pStyle w:val="Compact"/>
            </w:pPr>
            <w:r>
              <w:t>Processing / storage</w:t>
            </w:r>
          </w:p>
        </w:tc>
        <w:tc>
          <w:tcPr>
            <w:tcW w:w="0" w:type="auto"/>
          </w:tcPr>
          <w:p w14:paraId="4158BC91" w14:textId="77777777" w:rsidR="001537F8" w:rsidRDefault="00000000">
            <w:pPr>
              <w:pStyle w:val="Compact"/>
            </w:pPr>
            <w:r>
              <w:t>Purpose</w:t>
            </w:r>
          </w:p>
        </w:tc>
      </w:tr>
      <w:tr w:rsidR="001537F8" w14:paraId="174F2028" w14:textId="77777777">
        <w:tc>
          <w:tcPr>
            <w:tcW w:w="0" w:type="auto"/>
          </w:tcPr>
          <w:p w14:paraId="2E3CB855" w14:textId="77777777" w:rsidR="001537F8" w:rsidRDefault="00000000">
            <w:pPr>
              <w:pStyle w:val="Compact"/>
            </w:pPr>
            <w:r>
              <w:t>Blood sample in EDTA tubes</w:t>
            </w:r>
          </w:p>
        </w:tc>
        <w:tc>
          <w:tcPr>
            <w:tcW w:w="0" w:type="auto"/>
          </w:tcPr>
          <w:p w14:paraId="6A786B6B" w14:textId="77777777" w:rsidR="001537F8" w:rsidRDefault="00000000">
            <w:pPr>
              <w:pStyle w:val="Compact"/>
            </w:pPr>
            <w:r>
              <w:t>Store and ship at room temperature within one week</w:t>
            </w:r>
          </w:p>
        </w:tc>
        <w:tc>
          <w:tcPr>
            <w:tcW w:w="0" w:type="auto"/>
          </w:tcPr>
          <w:p w14:paraId="28BDE035" w14:textId="77777777" w:rsidR="001537F8" w:rsidRDefault="00000000">
            <w:pPr>
              <w:pStyle w:val="Compact"/>
            </w:pPr>
            <w:r>
              <w:t>Host DNA genomics, methylation</w:t>
            </w:r>
          </w:p>
        </w:tc>
      </w:tr>
      <w:tr w:rsidR="001537F8" w14:paraId="6992516A" w14:textId="77777777">
        <w:tc>
          <w:tcPr>
            <w:tcW w:w="0" w:type="auto"/>
          </w:tcPr>
          <w:p w14:paraId="51915C45" w14:textId="77777777" w:rsidR="001537F8" w:rsidRDefault="00000000">
            <w:pPr>
              <w:pStyle w:val="Compact"/>
            </w:pPr>
            <w:r>
              <w:t>Blood sample in blood RNA tube (</w:t>
            </w:r>
            <w:proofErr w:type="spellStart"/>
            <w:r>
              <w:t>e.g</w:t>
            </w:r>
            <w:proofErr w:type="spellEnd"/>
            <w:r>
              <w:t xml:space="preserve"> Tempus™ or </w:t>
            </w:r>
            <w:proofErr w:type="spellStart"/>
            <w:r>
              <w:t>PAXgene</w:t>
            </w:r>
            <w:proofErr w:type="spellEnd"/>
            <w:r>
              <w:t>®)</w:t>
            </w:r>
          </w:p>
        </w:tc>
        <w:tc>
          <w:tcPr>
            <w:tcW w:w="0" w:type="auto"/>
          </w:tcPr>
          <w:p w14:paraId="508DB6AE" w14:textId="77777777" w:rsidR="001537F8" w:rsidRDefault="00000000">
            <w:pPr>
              <w:pStyle w:val="Compact"/>
            </w:pPr>
            <w:r>
              <w:t>Store and ship at room temperature within one week</w:t>
            </w:r>
          </w:p>
        </w:tc>
        <w:tc>
          <w:tcPr>
            <w:tcW w:w="0" w:type="auto"/>
          </w:tcPr>
          <w:p w14:paraId="67A61577" w14:textId="77777777" w:rsidR="001537F8" w:rsidRDefault="00000000">
            <w:pPr>
              <w:pStyle w:val="Compact"/>
            </w:pPr>
            <w:r>
              <w:t>Microarray/RNA sequencing pathogen &amp; host transcriptome</w:t>
            </w:r>
          </w:p>
        </w:tc>
      </w:tr>
    </w:tbl>
    <w:bookmarkEnd w:id="137"/>
    <w:p w14:paraId="2D4A51E2" w14:textId="77777777" w:rsidR="001537F8" w:rsidRDefault="00000000">
      <w:pPr>
        <w:pStyle w:val="BodyText"/>
      </w:pPr>
      <w:r>
        <w:t xml:space="preserve"> </w:t>
      </w:r>
    </w:p>
    <w:p w14:paraId="1734270B" w14:textId="77777777" w:rsidR="001537F8" w:rsidRDefault="00000000">
      <w:pPr>
        <w:pStyle w:val="TableCaption"/>
      </w:pPr>
      <w:bookmarkStart w:id="138" w:name="tbl-sample-processing-m2"/>
      <w:r>
        <w:t>Table 4: Module 2 Sample processing guidance showing maximum samples to be obtained - rows will be deleted as appropriate to form specific guidance for a given CCP activation and phase of investigation.</w:t>
      </w:r>
    </w:p>
    <w:tbl>
      <w:tblPr>
        <w:tblStyle w:val="Table"/>
        <w:tblW w:w="4977" w:type="pct"/>
        <w:tblLook w:val="0020" w:firstRow="1" w:lastRow="0" w:firstColumn="0" w:lastColumn="0" w:noHBand="0" w:noVBand="0"/>
        <w:tblCaption w:val="Table 4: Module 2 Sample processing guidance showing maximum samples to be obtained - rows will be deleted as appropriate to form specific guidance for a given CCP activation and phase of investigation."/>
      </w:tblPr>
      <w:tblGrid>
        <w:gridCol w:w="3994"/>
        <w:gridCol w:w="1540"/>
        <w:gridCol w:w="3998"/>
      </w:tblGrid>
      <w:tr w:rsidR="001537F8" w14:paraId="74FAFCC8" w14:textId="77777777" w:rsidTr="0015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46CA7F9A" w14:textId="77777777" w:rsidR="001537F8" w:rsidRDefault="00000000">
            <w:pPr>
              <w:pStyle w:val="Compact"/>
            </w:pPr>
            <w:r>
              <w:t>Sample</w:t>
            </w:r>
          </w:p>
        </w:tc>
        <w:tc>
          <w:tcPr>
            <w:tcW w:w="0" w:type="auto"/>
          </w:tcPr>
          <w:p w14:paraId="618E1009" w14:textId="77777777" w:rsidR="001537F8" w:rsidRDefault="00000000">
            <w:pPr>
              <w:pStyle w:val="Compact"/>
            </w:pPr>
            <w:r>
              <w:t>Processing / storage</w:t>
            </w:r>
          </w:p>
        </w:tc>
        <w:tc>
          <w:tcPr>
            <w:tcW w:w="0" w:type="auto"/>
          </w:tcPr>
          <w:p w14:paraId="220A01FD" w14:textId="77777777" w:rsidR="001537F8" w:rsidRDefault="00000000">
            <w:pPr>
              <w:pStyle w:val="Compact"/>
            </w:pPr>
            <w:r>
              <w:t>Purpose</w:t>
            </w:r>
          </w:p>
        </w:tc>
      </w:tr>
      <w:tr w:rsidR="001537F8" w14:paraId="7D4995B5" w14:textId="77777777">
        <w:tc>
          <w:tcPr>
            <w:tcW w:w="0" w:type="auto"/>
          </w:tcPr>
          <w:p w14:paraId="5BC0757F" w14:textId="77777777" w:rsidR="001537F8" w:rsidRDefault="00000000">
            <w:r>
              <w:t>Pathogen samples</w:t>
            </w:r>
          </w:p>
          <w:p w14:paraId="0168781C" w14:textId="77777777" w:rsidR="001537F8" w:rsidRDefault="00000000">
            <w:pPr>
              <w:pStyle w:val="Compact"/>
              <w:numPr>
                <w:ilvl w:val="0"/>
                <w:numId w:val="23"/>
              </w:numPr>
            </w:pPr>
            <w:r>
              <w:t>Respiratory samples:</w:t>
            </w:r>
          </w:p>
          <w:p w14:paraId="1FD47E06" w14:textId="77777777" w:rsidR="001537F8" w:rsidRDefault="00000000">
            <w:pPr>
              <w:pStyle w:val="Compact"/>
              <w:numPr>
                <w:ilvl w:val="1"/>
                <w:numId w:val="24"/>
              </w:numPr>
            </w:pPr>
            <w:r>
              <w:t>nasal SAM strip or nasopharyngeal aspirate</w:t>
            </w:r>
          </w:p>
          <w:p w14:paraId="35F37A55" w14:textId="77777777" w:rsidR="001537F8" w:rsidRDefault="00000000">
            <w:pPr>
              <w:pStyle w:val="Compact"/>
              <w:numPr>
                <w:ilvl w:val="1"/>
                <w:numId w:val="24"/>
              </w:numPr>
            </w:pPr>
            <w:r>
              <w:t>throat swab in virus transport medium</w:t>
            </w:r>
          </w:p>
          <w:p w14:paraId="58A8DF2A" w14:textId="77777777" w:rsidR="001537F8" w:rsidRDefault="00000000">
            <w:pPr>
              <w:pStyle w:val="Compact"/>
              <w:numPr>
                <w:ilvl w:val="1"/>
                <w:numId w:val="24"/>
              </w:numPr>
            </w:pPr>
            <w:r>
              <w:t>nose swab in virus transport medium</w:t>
            </w:r>
          </w:p>
          <w:p w14:paraId="61862D0A" w14:textId="77777777" w:rsidR="001537F8" w:rsidRDefault="00000000">
            <w:pPr>
              <w:pStyle w:val="Compact"/>
              <w:numPr>
                <w:ilvl w:val="1"/>
                <w:numId w:val="24"/>
              </w:numPr>
            </w:pPr>
            <w:r>
              <w:t>endotracheal aspirate if intubated</w:t>
            </w:r>
          </w:p>
          <w:p w14:paraId="737AD037" w14:textId="77777777" w:rsidR="001537F8" w:rsidRDefault="00000000">
            <w:pPr>
              <w:pStyle w:val="Compact"/>
              <w:numPr>
                <w:ilvl w:val="0"/>
                <w:numId w:val="23"/>
              </w:numPr>
            </w:pPr>
            <w:r>
              <w:t>Urine (up to 10ml)</w:t>
            </w:r>
          </w:p>
          <w:p w14:paraId="4992CA49" w14:textId="77777777" w:rsidR="001537F8" w:rsidRDefault="00000000">
            <w:pPr>
              <w:pStyle w:val="Compact"/>
              <w:numPr>
                <w:ilvl w:val="0"/>
                <w:numId w:val="23"/>
              </w:numPr>
            </w:pPr>
            <w:r>
              <w:t>Stool (up to 10ml) or rectal swab</w:t>
            </w:r>
          </w:p>
          <w:p w14:paraId="1F67398C" w14:textId="77777777" w:rsidR="001537F8" w:rsidRDefault="00000000">
            <w:pPr>
              <w:pStyle w:val="Compact"/>
              <w:numPr>
                <w:ilvl w:val="0"/>
                <w:numId w:val="23"/>
              </w:numPr>
            </w:pPr>
            <w:r>
              <w:t>Swabs from infected sites/vesicles/ulcers/sores</w:t>
            </w:r>
          </w:p>
          <w:p w14:paraId="56178055" w14:textId="77777777" w:rsidR="001537F8" w:rsidRDefault="00000000">
            <w:pPr>
              <w:pStyle w:val="Compact"/>
              <w:numPr>
                <w:ilvl w:val="0"/>
                <w:numId w:val="23"/>
              </w:numPr>
            </w:pPr>
            <w:r>
              <w:t>Anal/vaginal/penile swabs</w:t>
            </w:r>
          </w:p>
          <w:p w14:paraId="5EA319DD" w14:textId="77777777" w:rsidR="001537F8" w:rsidRDefault="00000000">
            <w:pPr>
              <w:pStyle w:val="Compact"/>
              <w:numPr>
                <w:ilvl w:val="0"/>
                <w:numId w:val="23"/>
              </w:numPr>
            </w:pPr>
            <w:r>
              <w:t xml:space="preserve">Residual samples taken for clinical care including </w:t>
            </w:r>
            <w:r>
              <w:lastRenderedPageBreak/>
              <w:t>bronchoalveolar lavage fluid</w:t>
            </w:r>
          </w:p>
        </w:tc>
        <w:tc>
          <w:tcPr>
            <w:tcW w:w="0" w:type="auto"/>
          </w:tcPr>
          <w:p w14:paraId="32241D16" w14:textId="77777777" w:rsidR="001537F8" w:rsidRDefault="00000000">
            <w:pPr>
              <w:pStyle w:val="Compact"/>
            </w:pPr>
            <w:r>
              <w:lastRenderedPageBreak/>
              <w:t xml:space="preserve">Do not process at site. Keep </w:t>
            </w:r>
            <w:proofErr w:type="gramStart"/>
            <w:r>
              <w:t>double-bagged</w:t>
            </w:r>
            <w:proofErr w:type="gramEnd"/>
            <w:r>
              <w:t>. Store at -80°C</w:t>
            </w:r>
          </w:p>
        </w:tc>
        <w:tc>
          <w:tcPr>
            <w:tcW w:w="0" w:type="auto"/>
          </w:tcPr>
          <w:p w14:paraId="2E7C9AC0" w14:textId="77777777" w:rsidR="001537F8" w:rsidRDefault="00000000">
            <w:pPr>
              <w:pStyle w:val="Compact"/>
            </w:pPr>
            <w:r>
              <w:t>Pathogen studies to reveal changes in pathogen during infection and during spread between individuals, detect development of resistance.</w:t>
            </w:r>
          </w:p>
        </w:tc>
      </w:tr>
      <w:tr w:rsidR="001537F8" w14:paraId="042C9B2A" w14:textId="77777777">
        <w:tc>
          <w:tcPr>
            <w:tcW w:w="0" w:type="auto"/>
          </w:tcPr>
          <w:p w14:paraId="0B01386B" w14:textId="77777777" w:rsidR="001537F8" w:rsidRDefault="00000000">
            <w:pPr>
              <w:pStyle w:val="Compact"/>
            </w:pPr>
            <w:r>
              <w:t>Oral fluid (crevicular fluid)</w:t>
            </w:r>
          </w:p>
        </w:tc>
        <w:tc>
          <w:tcPr>
            <w:tcW w:w="0" w:type="auto"/>
          </w:tcPr>
          <w:p w14:paraId="48DE177E" w14:textId="77777777" w:rsidR="001537F8" w:rsidRDefault="00000000">
            <w:pPr>
              <w:pStyle w:val="Compact"/>
            </w:pPr>
            <w:r>
              <w:t>Store at -80°C</w:t>
            </w:r>
          </w:p>
        </w:tc>
        <w:tc>
          <w:tcPr>
            <w:tcW w:w="0" w:type="auto"/>
          </w:tcPr>
          <w:p w14:paraId="0B382693" w14:textId="77777777" w:rsidR="001537F8" w:rsidRDefault="00000000">
            <w:pPr>
              <w:pStyle w:val="Compact"/>
            </w:pPr>
            <w:r>
              <w:t>Non-invasive determination of humoral immune response</w:t>
            </w:r>
          </w:p>
        </w:tc>
      </w:tr>
      <w:tr w:rsidR="001537F8" w14:paraId="69AFDB6C" w14:textId="77777777">
        <w:tc>
          <w:tcPr>
            <w:tcW w:w="0" w:type="auto"/>
          </w:tcPr>
          <w:p w14:paraId="3E4951DB" w14:textId="77777777" w:rsidR="001537F8" w:rsidRDefault="00000000">
            <w:pPr>
              <w:pStyle w:val="Compact"/>
            </w:pPr>
            <w:r>
              <w:t>Blood sample in serum (clotted) tubes</w:t>
            </w:r>
          </w:p>
        </w:tc>
        <w:tc>
          <w:tcPr>
            <w:tcW w:w="0" w:type="auto"/>
          </w:tcPr>
          <w:p w14:paraId="1DD60FDC" w14:textId="77777777" w:rsidR="001537F8" w:rsidRDefault="00000000">
            <w:pPr>
              <w:pStyle w:val="Compact"/>
            </w:pPr>
            <w:r>
              <w:t>Serum (3 aliquots -80°C)</w:t>
            </w:r>
          </w:p>
        </w:tc>
        <w:tc>
          <w:tcPr>
            <w:tcW w:w="0" w:type="auto"/>
          </w:tcPr>
          <w:p w14:paraId="382B2178" w14:textId="77777777" w:rsidR="001537F8" w:rsidRDefault="00000000">
            <w:pPr>
              <w:pStyle w:val="Compact"/>
            </w:pPr>
            <w:r>
              <w:t>Mediators/biomarkers, Serology, Cellular immunology</w:t>
            </w:r>
          </w:p>
        </w:tc>
      </w:tr>
      <w:tr w:rsidR="001537F8" w14:paraId="2F4EB89A" w14:textId="77777777">
        <w:tc>
          <w:tcPr>
            <w:tcW w:w="0" w:type="auto"/>
          </w:tcPr>
          <w:p w14:paraId="1A81AE7B" w14:textId="77777777" w:rsidR="001537F8" w:rsidRDefault="00000000">
            <w:pPr>
              <w:pStyle w:val="Compact"/>
            </w:pPr>
            <w:r>
              <w:t>Blood sample in EDTA tubes</w:t>
            </w:r>
          </w:p>
        </w:tc>
        <w:tc>
          <w:tcPr>
            <w:tcW w:w="0" w:type="auto"/>
          </w:tcPr>
          <w:p w14:paraId="7C0F5BE7" w14:textId="77777777" w:rsidR="001537F8" w:rsidRDefault="00000000">
            <w:pPr>
              <w:pStyle w:val="Compact"/>
            </w:pPr>
            <w:r>
              <w:t>Plasma (3 aliquots -80°C) Cell fraction (1 aliquot -80°C)</w:t>
            </w:r>
          </w:p>
        </w:tc>
        <w:tc>
          <w:tcPr>
            <w:tcW w:w="0" w:type="auto"/>
          </w:tcPr>
          <w:p w14:paraId="7445A819" w14:textId="77777777" w:rsidR="001537F8" w:rsidRDefault="00000000">
            <w:pPr>
              <w:pStyle w:val="Compact"/>
            </w:pPr>
            <w:r>
              <w:t>Mediators/metabolites/biomarkers, Detect RNA/DNA from pathogens. RNA/DNA from pathogen, cellular immunology.</w:t>
            </w:r>
          </w:p>
        </w:tc>
      </w:tr>
      <w:tr w:rsidR="001537F8" w14:paraId="479ACC2D" w14:textId="77777777">
        <w:tc>
          <w:tcPr>
            <w:tcW w:w="0" w:type="auto"/>
          </w:tcPr>
          <w:p w14:paraId="7A0CA69C" w14:textId="77777777" w:rsidR="001537F8" w:rsidRDefault="00000000">
            <w:pPr>
              <w:pStyle w:val="Compact"/>
            </w:pPr>
            <w:r>
              <w:t>Blood sample in 3.2% sodium citrate tube</w:t>
            </w:r>
          </w:p>
        </w:tc>
        <w:tc>
          <w:tcPr>
            <w:tcW w:w="0" w:type="auto"/>
          </w:tcPr>
          <w:p w14:paraId="5260B77D" w14:textId="77777777" w:rsidR="001537F8" w:rsidRDefault="00000000">
            <w:pPr>
              <w:pStyle w:val="Compact"/>
            </w:pPr>
            <w:r>
              <w:t>Citrated plasma (2 aliquots -80°C)</w:t>
            </w:r>
          </w:p>
        </w:tc>
        <w:tc>
          <w:tcPr>
            <w:tcW w:w="0" w:type="auto"/>
          </w:tcPr>
          <w:p w14:paraId="636C2A2C" w14:textId="77777777" w:rsidR="001537F8" w:rsidRDefault="00000000">
            <w:pPr>
              <w:pStyle w:val="Compact"/>
            </w:pPr>
            <w:r>
              <w:t>Coagulation function</w:t>
            </w:r>
          </w:p>
        </w:tc>
      </w:tr>
      <w:tr w:rsidR="001537F8" w14:paraId="2E00FA0D" w14:textId="77777777">
        <w:tc>
          <w:tcPr>
            <w:tcW w:w="0" w:type="auto"/>
          </w:tcPr>
          <w:p w14:paraId="1897AD4C" w14:textId="77777777" w:rsidR="001537F8" w:rsidRDefault="00000000">
            <w:r>
              <w:t>In the case of topical exposure to noxious agent only:</w:t>
            </w:r>
          </w:p>
          <w:p w14:paraId="0DDFF303" w14:textId="77777777" w:rsidR="001537F8" w:rsidRDefault="00000000">
            <w:pPr>
              <w:pStyle w:val="Compact"/>
              <w:numPr>
                <w:ilvl w:val="0"/>
                <w:numId w:val="25"/>
              </w:numPr>
            </w:pPr>
            <w:r>
              <w:t>Hair sample</w:t>
            </w:r>
          </w:p>
          <w:p w14:paraId="637A689E" w14:textId="77777777" w:rsidR="001537F8" w:rsidRDefault="00000000">
            <w:pPr>
              <w:pStyle w:val="Compact"/>
              <w:numPr>
                <w:ilvl w:val="0"/>
                <w:numId w:val="25"/>
              </w:numPr>
            </w:pPr>
            <w:r>
              <w:t>Skin swab</w:t>
            </w:r>
          </w:p>
        </w:tc>
        <w:tc>
          <w:tcPr>
            <w:tcW w:w="0" w:type="auto"/>
          </w:tcPr>
          <w:p w14:paraId="6A0C6DE2" w14:textId="77777777" w:rsidR="001537F8" w:rsidRDefault="00000000">
            <w:pPr>
              <w:pStyle w:val="Compact"/>
            </w:pPr>
            <w:r>
              <w:t>Store at room temperature</w:t>
            </w:r>
          </w:p>
        </w:tc>
        <w:tc>
          <w:tcPr>
            <w:tcW w:w="0" w:type="auto"/>
          </w:tcPr>
          <w:p w14:paraId="79E053EF" w14:textId="77777777" w:rsidR="001537F8" w:rsidRDefault="00000000">
            <w:pPr>
              <w:pStyle w:val="Compact"/>
            </w:pPr>
            <w:r>
              <w:t>Histopathological changes, biomarkers, inflammatory markers</w:t>
            </w:r>
          </w:p>
        </w:tc>
      </w:tr>
      <w:tr w:rsidR="001537F8" w14:paraId="72405473" w14:textId="77777777">
        <w:tc>
          <w:tcPr>
            <w:tcW w:w="0" w:type="auto"/>
          </w:tcPr>
          <w:p w14:paraId="768592B8" w14:textId="77777777" w:rsidR="001537F8" w:rsidRDefault="00000000">
            <w:pPr>
              <w:pStyle w:val="Compact"/>
            </w:pPr>
            <w:r>
              <w:t>Additional cerebrospinal fluid sample during clinical lumbar puncture</w:t>
            </w:r>
          </w:p>
        </w:tc>
        <w:tc>
          <w:tcPr>
            <w:tcW w:w="0" w:type="auto"/>
          </w:tcPr>
          <w:p w14:paraId="7D5AA06A" w14:textId="77777777" w:rsidR="001537F8" w:rsidRDefault="00000000">
            <w:pPr>
              <w:pStyle w:val="Compact"/>
            </w:pPr>
            <w:r>
              <w:t>3 aliquots stored at -80°C</w:t>
            </w:r>
          </w:p>
        </w:tc>
        <w:tc>
          <w:tcPr>
            <w:tcW w:w="0" w:type="auto"/>
          </w:tcPr>
          <w:p w14:paraId="18C90137" w14:textId="77777777" w:rsidR="001537F8" w:rsidRDefault="00000000">
            <w:pPr>
              <w:pStyle w:val="Compact"/>
            </w:pPr>
            <w:r>
              <w:t>Host and pathogen studies</w:t>
            </w:r>
          </w:p>
        </w:tc>
      </w:tr>
    </w:tbl>
    <w:p w14:paraId="28F4A5D5" w14:textId="77777777" w:rsidR="001537F8" w:rsidRDefault="00000000">
      <w:pPr>
        <w:pStyle w:val="Heading1"/>
      </w:pPr>
      <w:bookmarkStart w:id="139" w:name="_Toc169542049"/>
      <w:bookmarkStart w:id="140" w:name="X6d325f32a12169821fd9a351d0d722569aa70c9"/>
      <w:bookmarkEnd w:id="136"/>
      <w:bookmarkEnd w:id="138"/>
      <w:r>
        <w:t>Appendix 5: Procedure for additional sampling for pharmacokinetic/ pharmacodynamics studies.</w:t>
      </w:r>
      <w:bookmarkEnd w:id="139"/>
    </w:p>
    <w:p w14:paraId="4C8A9EFD" w14:textId="77777777" w:rsidR="001537F8" w:rsidRDefault="00000000">
      <w:pPr>
        <w:pStyle w:val="FirstParagraph"/>
      </w:pPr>
      <w:r>
        <w:rPr>
          <w:i/>
          <w:iCs/>
        </w:rPr>
        <w:t>[Where a pharmacokinetic study is run concurrently with this protocol]</w:t>
      </w:r>
      <w:r>
        <w:t xml:space="preserve"> 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14:paraId="7D023C1A" w14:textId="77777777" w:rsidR="001537F8" w:rsidRDefault="00000000">
      <w:pPr>
        <w:pStyle w:val="BodyText"/>
      </w:pPr>
      <w:r>
        <w:t xml:space="preserve">Samples will be taken in conjunction with those required for clinical care </w:t>
      </w:r>
      <w:proofErr w:type="gramStart"/>
      <w:r>
        <w:t>in order to</w:t>
      </w:r>
      <w:proofErr w:type="gramEnd"/>
      <w:r>
        <w:t xml:space="preserve"> minimize research-specific intervention. Samples taken outside of the scheduled days can be used for study testing and should be recorded with the accurate sampling date.</w:t>
      </w:r>
    </w:p>
    <w:p w14:paraId="59C8BCBC" w14:textId="77777777" w:rsidR="001537F8" w:rsidRDefault="00000000">
      <w:pPr>
        <w:pStyle w:val="BodyText"/>
      </w:pPr>
      <w:r>
        <w:t xml:space="preserve">For respiratory samples for SARI patients, a combined nose and throat swab will be collected from all patients. If a patient is intubated an endotracheal aspirate will also be </w:t>
      </w:r>
      <w:r>
        <w:lastRenderedPageBreak/>
        <w:t>collected. Also, where resources permit, a Nasopharyngeal aspirate (NPA) OR (if NPA impossible) a flocked nose and throat swab sample will also be collected. A sputum sample will be collected when a productive cough is present, and the patient is able to produce one.</w:t>
      </w:r>
    </w:p>
    <w:p w14:paraId="04FD6BEA" w14:textId="77777777" w:rsidR="001537F8" w:rsidRDefault="00000000">
      <w:pPr>
        <w:pStyle w:val="BodyText"/>
      </w:pPr>
      <w:r>
        <w:t xml:space="preserve">Infection site samples are samples of tissue or </w:t>
      </w:r>
      <w:proofErr w:type="gramStart"/>
      <w:r>
        <w:t>fluid</w:t>
      </w:r>
      <w:proofErr w:type="gramEnd"/>
      <w:r>
        <w:t xml:space="preserve"> or swabs taken from infected sites such as an inflamed oropharynx or inflamed conjunctiva.</w:t>
      </w:r>
    </w:p>
    <w:p w14:paraId="0921ADE7" w14:textId="77777777" w:rsidR="001537F8" w:rsidRDefault="00000000">
      <w:pPr>
        <w:pStyle w:val="BodyText"/>
      </w:pPr>
      <w:r>
        <w:t>Residual volumes of all other samples taken for clinical care will be stored.</w:t>
      </w:r>
    </w:p>
    <w:p w14:paraId="6C192BBD" w14:textId="77777777" w:rsidR="001537F8" w:rsidRDefault="00000000">
      <w:pPr>
        <w:pStyle w:val="Heading1"/>
      </w:pPr>
      <w:bookmarkStart w:id="141" w:name="_Toc169542050"/>
      <w:bookmarkStart w:id="142" w:name="bibliography"/>
      <w:bookmarkEnd w:id="140"/>
      <w:r>
        <w:t>References</w:t>
      </w:r>
      <w:bookmarkEnd w:id="141"/>
    </w:p>
    <w:bookmarkStart w:id="143" w:name="ref-dunningopensourceclinical2014a"/>
    <w:bookmarkStart w:id="144" w:name="refs"/>
    <w:p w14:paraId="1CAFF40A" w14:textId="77777777" w:rsidR="001537F8" w:rsidRDefault="00000000">
      <w:pPr>
        <w:pStyle w:val="Bibliography"/>
      </w:pPr>
      <w:r>
        <w:fldChar w:fldCharType="begin"/>
      </w:r>
      <w:r>
        <w:instrText>HYPERLINK "https://doi.org/10.1016/S1473-3099(13)70327-X" \h</w:instrText>
      </w:r>
      <w:r>
        <w:fldChar w:fldCharType="separate"/>
      </w:r>
      <w:r>
        <w:rPr>
          <w:rStyle w:val="Hyperlink"/>
          <w:b/>
          <w:bCs/>
        </w:rPr>
        <w:t>1</w:t>
      </w:r>
      <w:r>
        <w:rPr>
          <w:rStyle w:val="Hyperlink"/>
        </w:rPr>
        <w:t xml:space="preserve"> Dunning, J. W. </w:t>
      </w:r>
      <w:r>
        <w:rPr>
          <w:rStyle w:val="Hyperlink"/>
          <w:i/>
          <w:iCs/>
        </w:rPr>
        <w:t>et al.</w:t>
      </w:r>
      <w:r>
        <w:rPr>
          <w:rStyle w:val="Hyperlink"/>
        </w:rPr>
        <w:t xml:space="preserve"> </w:t>
      </w:r>
      <w:r>
        <w:rPr>
          <w:rStyle w:val="Hyperlink"/>
          <w:i/>
          <w:iCs/>
        </w:rPr>
        <w:t>The Lancet Infectious Diseases</w:t>
      </w:r>
      <w:r>
        <w:rPr>
          <w:rStyle w:val="Hyperlink"/>
        </w:rPr>
        <w:t xml:space="preserve"> 14, 8–9 (2014)</w:t>
      </w:r>
      <w:r>
        <w:rPr>
          <w:rStyle w:val="Hyperlink"/>
        </w:rPr>
        <w:fldChar w:fldCharType="end"/>
      </w:r>
    </w:p>
    <w:bookmarkStart w:id="145" w:name="ref-huangclinicalfeaturespatients2020"/>
    <w:bookmarkEnd w:id="143"/>
    <w:p w14:paraId="2531D935" w14:textId="77777777" w:rsidR="001537F8" w:rsidRDefault="00000000">
      <w:pPr>
        <w:pStyle w:val="Bibliography"/>
      </w:pPr>
      <w:r>
        <w:fldChar w:fldCharType="begin"/>
      </w:r>
      <w:r>
        <w:instrText>HYPERLINK "https://doi.org/10.1016/S0140-6736(20)30183-5" \h</w:instrText>
      </w:r>
      <w:r>
        <w:fldChar w:fldCharType="separate"/>
      </w:r>
      <w:r>
        <w:rPr>
          <w:rStyle w:val="Hyperlink"/>
          <w:b/>
          <w:bCs/>
        </w:rPr>
        <w:t>2</w:t>
      </w:r>
      <w:r>
        <w:rPr>
          <w:rStyle w:val="Hyperlink"/>
        </w:rPr>
        <w:t xml:space="preserve"> Huang, C. </w:t>
      </w:r>
      <w:r>
        <w:rPr>
          <w:rStyle w:val="Hyperlink"/>
          <w:i/>
          <w:iCs/>
        </w:rPr>
        <w:t>et al.</w:t>
      </w:r>
      <w:r>
        <w:rPr>
          <w:rStyle w:val="Hyperlink"/>
        </w:rPr>
        <w:t xml:space="preserve"> </w:t>
      </w:r>
      <w:r>
        <w:rPr>
          <w:rStyle w:val="Hyperlink"/>
          <w:i/>
          <w:iCs/>
        </w:rPr>
        <w:t>Lancet (London, England)</w:t>
      </w:r>
      <w:r>
        <w:rPr>
          <w:rStyle w:val="Hyperlink"/>
        </w:rPr>
        <w:t xml:space="preserve"> (2020)</w:t>
      </w:r>
      <w:r>
        <w:rPr>
          <w:rStyle w:val="Hyperlink"/>
        </w:rPr>
        <w:fldChar w:fldCharType="end"/>
      </w:r>
    </w:p>
    <w:bookmarkStart w:id="146" w:name="X57c660a9117d66b44939636f9e2d629f2ddb828"/>
    <w:bookmarkEnd w:id="145"/>
    <w:p w14:paraId="04669B3A" w14:textId="77777777" w:rsidR="001537F8" w:rsidRDefault="00000000">
      <w:pPr>
        <w:pStyle w:val="Bibliography"/>
      </w:pPr>
      <w:r>
        <w:fldChar w:fldCharType="begin"/>
      </w:r>
      <w:r>
        <w:instrText>HYPERLINK "https://doi.org/10.1038/s41586-020-03065-y" \h</w:instrText>
      </w:r>
      <w:r>
        <w:fldChar w:fldCharType="separate"/>
      </w:r>
      <w:r>
        <w:rPr>
          <w:rStyle w:val="Hyperlink"/>
          <w:b/>
          <w:bCs/>
        </w:rPr>
        <w:t>3</w:t>
      </w:r>
      <w:r>
        <w:rPr>
          <w:rStyle w:val="Hyperlink"/>
        </w:rPr>
        <w:t xml:space="preserve"> </w:t>
      </w:r>
      <w:proofErr w:type="spellStart"/>
      <w:r>
        <w:rPr>
          <w:rStyle w:val="Hyperlink"/>
        </w:rPr>
        <w:t>Pairo-Castineira</w:t>
      </w:r>
      <w:proofErr w:type="spellEnd"/>
      <w:r>
        <w:rPr>
          <w:rStyle w:val="Hyperlink"/>
        </w:rPr>
        <w:t xml:space="preserve">, E. </w:t>
      </w:r>
      <w:r>
        <w:rPr>
          <w:rStyle w:val="Hyperlink"/>
          <w:i/>
          <w:iCs/>
        </w:rPr>
        <w:t>et al.</w:t>
      </w:r>
      <w:r>
        <w:rPr>
          <w:rStyle w:val="Hyperlink"/>
        </w:rPr>
        <w:t xml:space="preserve"> </w:t>
      </w:r>
      <w:r>
        <w:rPr>
          <w:rStyle w:val="Hyperlink"/>
          <w:i/>
          <w:iCs/>
        </w:rPr>
        <w:t>Nature</w:t>
      </w:r>
      <w:r>
        <w:rPr>
          <w:rStyle w:val="Hyperlink"/>
        </w:rPr>
        <w:t xml:space="preserve"> 591, 92–98 (2021)</w:t>
      </w:r>
      <w:r>
        <w:rPr>
          <w:rStyle w:val="Hyperlink"/>
        </w:rPr>
        <w:fldChar w:fldCharType="end"/>
      </w:r>
    </w:p>
    <w:bookmarkStart w:id="147" w:name="ref-abanibaricitinibpatientsadmitted2022"/>
    <w:bookmarkEnd w:id="146"/>
    <w:p w14:paraId="6F5DB2CB" w14:textId="77777777" w:rsidR="001537F8" w:rsidRDefault="00000000">
      <w:pPr>
        <w:pStyle w:val="Bibliography"/>
      </w:pPr>
      <w:r>
        <w:fldChar w:fldCharType="begin"/>
      </w:r>
      <w:r>
        <w:instrText>HYPERLINK "https://doi.org/10.1016/S0140-6736(22)01109-6" \h</w:instrText>
      </w:r>
      <w:r>
        <w:fldChar w:fldCharType="separate"/>
      </w:r>
      <w:r>
        <w:rPr>
          <w:rStyle w:val="Hyperlink"/>
          <w:b/>
          <w:bCs/>
        </w:rPr>
        <w:t>4</w:t>
      </w:r>
      <w:r>
        <w:rPr>
          <w:rStyle w:val="Hyperlink"/>
        </w:rPr>
        <w:t xml:space="preserve"> </w:t>
      </w:r>
      <w:proofErr w:type="spellStart"/>
      <w:r>
        <w:rPr>
          <w:rStyle w:val="Hyperlink"/>
        </w:rPr>
        <w:t>Abani</w:t>
      </w:r>
      <w:proofErr w:type="spellEnd"/>
      <w:r>
        <w:rPr>
          <w:rStyle w:val="Hyperlink"/>
        </w:rPr>
        <w:t xml:space="preserve">, O. </w:t>
      </w:r>
      <w:r>
        <w:rPr>
          <w:rStyle w:val="Hyperlink"/>
          <w:i/>
          <w:iCs/>
        </w:rPr>
        <w:t>et al.</w:t>
      </w:r>
      <w:r>
        <w:rPr>
          <w:rStyle w:val="Hyperlink"/>
        </w:rPr>
        <w:t xml:space="preserve"> </w:t>
      </w:r>
      <w:r>
        <w:rPr>
          <w:rStyle w:val="Hyperlink"/>
          <w:i/>
          <w:iCs/>
        </w:rPr>
        <w:t>The Lancet</w:t>
      </w:r>
      <w:r>
        <w:rPr>
          <w:rStyle w:val="Hyperlink"/>
        </w:rPr>
        <w:t xml:space="preserve"> 400, 359–368 (2022)</w:t>
      </w:r>
      <w:r>
        <w:rPr>
          <w:rStyle w:val="Hyperlink"/>
        </w:rPr>
        <w:fldChar w:fldCharType="end"/>
      </w:r>
    </w:p>
    <w:bookmarkStart w:id="148" w:name="Xc5d6887bc62662a14e9da31e74bde89f7c66306"/>
    <w:bookmarkEnd w:id="147"/>
    <w:p w14:paraId="78A114D2" w14:textId="77777777" w:rsidR="001537F8" w:rsidRDefault="00000000">
      <w:pPr>
        <w:pStyle w:val="Bibliography"/>
      </w:pPr>
      <w:r>
        <w:fldChar w:fldCharType="begin"/>
      </w:r>
      <w:r>
        <w:instrText>HYPERLINK "https://doi.org/10.1016/S1473-3099(20)30440-0" \h</w:instrText>
      </w:r>
      <w:r>
        <w:fldChar w:fldCharType="separate"/>
      </w:r>
      <w:r>
        <w:rPr>
          <w:rStyle w:val="Hyperlink"/>
          <w:b/>
          <w:bCs/>
        </w:rPr>
        <w:t>5</w:t>
      </w:r>
      <w:r>
        <w:rPr>
          <w:rStyle w:val="Hyperlink"/>
        </w:rPr>
        <w:t xml:space="preserve"> </w:t>
      </w:r>
      <w:proofErr w:type="spellStart"/>
      <w:r>
        <w:rPr>
          <w:rStyle w:val="Hyperlink"/>
        </w:rPr>
        <w:t>Akhvlediani</w:t>
      </w:r>
      <w:proofErr w:type="spellEnd"/>
      <w:r>
        <w:rPr>
          <w:rStyle w:val="Hyperlink"/>
        </w:rPr>
        <w:t xml:space="preserve">, T. </w:t>
      </w:r>
      <w:r>
        <w:rPr>
          <w:rStyle w:val="Hyperlink"/>
          <w:i/>
          <w:iCs/>
        </w:rPr>
        <w:t>et al.</w:t>
      </w:r>
      <w:r>
        <w:rPr>
          <w:rStyle w:val="Hyperlink"/>
        </w:rPr>
        <w:t xml:space="preserve"> </w:t>
      </w:r>
      <w:r>
        <w:rPr>
          <w:rStyle w:val="Hyperlink"/>
          <w:i/>
          <w:iCs/>
        </w:rPr>
        <w:t>The Lancet Infectious Diseases</w:t>
      </w:r>
      <w:r>
        <w:rPr>
          <w:rStyle w:val="Hyperlink"/>
        </w:rPr>
        <w:t xml:space="preserve"> 20, 770–772 (2020)</w:t>
      </w:r>
      <w:r>
        <w:rPr>
          <w:rStyle w:val="Hyperlink"/>
        </w:rPr>
        <w:fldChar w:fldCharType="end"/>
      </w:r>
      <w:bookmarkEnd w:id="142"/>
      <w:bookmarkEnd w:id="144"/>
      <w:bookmarkEnd w:id="148"/>
    </w:p>
    <w:sectPr w:rsidR="001537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1A57" w14:textId="77777777" w:rsidR="00391087" w:rsidRDefault="00391087">
      <w:pPr>
        <w:spacing w:after="0"/>
      </w:pPr>
      <w:r>
        <w:separator/>
      </w:r>
    </w:p>
  </w:endnote>
  <w:endnote w:type="continuationSeparator" w:id="0">
    <w:p w14:paraId="05EE33CD" w14:textId="77777777" w:rsidR="00391087" w:rsidRDefault="003910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60A1" w14:textId="77777777" w:rsidR="00391087" w:rsidRDefault="00391087">
      <w:r>
        <w:separator/>
      </w:r>
    </w:p>
  </w:footnote>
  <w:footnote w:type="continuationSeparator" w:id="0">
    <w:p w14:paraId="416771BA" w14:textId="77777777" w:rsidR="00391087" w:rsidRDefault="00391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A3C39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EE5A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7BE02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80568863">
    <w:abstractNumId w:val="0"/>
  </w:num>
  <w:num w:numId="2" w16cid:durableId="1341657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2815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1024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8715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004982">
    <w:abstractNumId w:val="1"/>
  </w:num>
  <w:num w:numId="7" w16cid:durableId="1013846624">
    <w:abstractNumId w:val="1"/>
  </w:num>
  <w:num w:numId="8" w16cid:durableId="581573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55755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189552">
    <w:abstractNumId w:val="1"/>
  </w:num>
  <w:num w:numId="11" w16cid:durableId="975254484">
    <w:abstractNumId w:val="1"/>
  </w:num>
  <w:num w:numId="12" w16cid:durableId="65955592">
    <w:abstractNumId w:val="1"/>
  </w:num>
  <w:num w:numId="13" w16cid:durableId="1250113767">
    <w:abstractNumId w:val="1"/>
  </w:num>
  <w:num w:numId="14" w16cid:durableId="1729961793">
    <w:abstractNumId w:val="1"/>
  </w:num>
  <w:num w:numId="15" w16cid:durableId="1717317157">
    <w:abstractNumId w:val="1"/>
  </w:num>
  <w:num w:numId="16" w16cid:durableId="2041516068">
    <w:abstractNumId w:val="1"/>
  </w:num>
  <w:num w:numId="17" w16cid:durableId="1313489394">
    <w:abstractNumId w:val="1"/>
  </w:num>
  <w:num w:numId="18" w16cid:durableId="1238516895">
    <w:abstractNumId w:val="1"/>
  </w:num>
  <w:num w:numId="19" w16cid:durableId="924268420">
    <w:abstractNumId w:val="1"/>
  </w:num>
  <w:num w:numId="20" w16cid:durableId="1824544194">
    <w:abstractNumId w:val="1"/>
  </w:num>
  <w:num w:numId="21" w16cid:durableId="1972709034">
    <w:abstractNumId w:val="1"/>
  </w:num>
  <w:num w:numId="22" w16cid:durableId="99692971">
    <w:abstractNumId w:val="1"/>
  </w:num>
  <w:num w:numId="23" w16cid:durableId="1798600437">
    <w:abstractNumId w:val="1"/>
  </w:num>
  <w:num w:numId="24" w16cid:durableId="102114277">
    <w:abstractNumId w:val="1"/>
  </w:num>
  <w:num w:numId="25" w16cid:durableId="1928809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7F8"/>
    <w:rsid w:val="00134105"/>
    <w:rsid w:val="001537F8"/>
    <w:rsid w:val="00163876"/>
    <w:rsid w:val="00391087"/>
    <w:rsid w:val="008D77DA"/>
    <w:rsid w:val="00B139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E03E"/>
  <w15:docId w15:val="{229D2E49-3049-3245-AB59-DC3BF4F2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rsid w:val="00134105"/>
    <w:pPr>
      <w:spacing w:after="100"/>
    </w:pPr>
  </w:style>
  <w:style w:type="paragraph" w:styleId="TOC2">
    <w:name w:val="toc 2"/>
    <w:basedOn w:val="Normal"/>
    <w:next w:val="Normal"/>
    <w:autoRedefine/>
    <w:uiPriority w:val="39"/>
    <w:rsid w:val="00134105"/>
    <w:pPr>
      <w:spacing w:after="100"/>
      <w:ind w:left="240"/>
    </w:pPr>
  </w:style>
  <w:style w:type="paragraph" w:styleId="TOC3">
    <w:name w:val="toc 3"/>
    <w:basedOn w:val="Normal"/>
    <w:next w:val="Normal"/>
    <w:autoRedefine/>
    <w:uiPriority w:val="39"/>
    <w:rsid w:val="001341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saric.org/partner-analy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hyperlink" Target="https://genomicc.org" TargetMode="External"/><Relationship Id="rId4" Type="http://schemas.openxmlformats.org/officeDocument/2006/relationships/webSettings" Target="webSettings.xml"/><Relationship Id="rId9" Type="http://schemas.openxmlformats.org/officeDocument/2006/relationships/hyperlink" Target="https://github.com/isaric-ccp/cc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9627</Words>
  <Characters>54878</Characters>
  <Application>Microsoft Office Word</Application>
  <DocSecurity>0</DocSecurity>
  <Lines>457</Lines>
  <Paragraphs>128</Paragraphs>
  <ScaleCrop>false</ScaleCrop>
  <Company/>
  <LinksUpToDate>false</LinksUpToDate>
  <CharactersWithSpaces>64377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ISARIC/WHO Clinical Characterisation Protocol (CCP) for Severe Emerging Infections and Syndromes</dc:title>
  <dc:creator/>
  <cp:keywords/>
  <cp:lastModifiedBy>Kenneth Baillie</cp:lastModifiedBy>
  <cp:revision>3</cp:revision>
  <dcterms:created xsi:type="dcterms:W3CDTF">2024-06-17T17:32:00Z</dcterms:created>
  <dcterms:modified xsi:type="dcterms:W3CDTF">2024-06-17T17:33:00Z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Adaptability is essential for preparedness. Since the next outbreak cannot be predicted, the CCP is deliberately adaptable. In any outbreak, the actual research activity undertaken will be restricted by the current scientific need and local resource availability. By including a broad range of investigations, the CCP enables independent review and institutional approvals to be obtained before the outbreak hits.  Open Source License: this document was created by members of ISARIC (International Severe Acute Respiratory and Emerging Infection Consortium) in collaboration with the World Health Organization and is distributed under the Creative Commons Attribution Non-commercial ShareAlike Licence version 3.0. It is freely available for you to copy, adapt, distribute and transmit under the conditions that: a) the original source is attributed; b) the work is not used for commercial purposes; c) any altered forms of this document are distributed freely under the same conditions. If you make modifications/translations/improvements we would be grateful if you would consider sharing these - however minor they are - with the international community through ISARIC: data@isaric.org. Versions will be stored and shared at the permanent web address: github.com/isasric-ccp.</vt:lpwstr>
  </property>
  <property fmtid="{D5CDD505-2E9C-101B-9397-08002B2CF9AE}" pid="3" name="biblio-config">
    <vt:lpwstr>True</vt:lpwstr>
  </property>
  <property fmtid="{D5CDD505-2E9C-101B-9397-08002B2CF9AE}" pid="4" name="bibliography">
    <vt:lpwstr>cs.bib</vt:lpwstr>
  </property>
  <property fmtid="{D5CDD505-2E9C-101B-9397-08002B2CF9AE}" pid="5" name="csl">
    <vt:lpwstr>csl/minimal-grant-proposals.csl</vt:lpwstr>
  </property>
  <property fmtid="{D5CDD505-2E9C-101B-9397-08002B2CF9AE}" pid="6" name="figPrefix">
    <vt:lpwstr/>
  </property>
  <property fmtid="{D5CDD505-2E9C-101B-9397-08002B2CF9AE}" pid="7" name="figureTitle">
    <vt:lpwstr>Figure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margin-left">
    <vt:lpwstr>20mm</vt:lpwstr>
  </property>
  <property fmtid="{D5CDD505-2E9C-101B-9397-08002B2CF9AE}" pid="14" name="margin-right">
    <vt:lpwstr>20mm</vt:lpwstr>
  </property>
  <property fmtid="{D5CDD505-2E9C-101B-9397-08002B2CF9AE}" pid="15" name="numbersections">
    <vt:lpwstr>True</vt:lpwstr>
  </property>
  <property fmtid="{D5CDD505-2E9C-101B-9397-08002B2CF9AE}" pid="16" name="reference-section-title">
    <vt:lpwstr>References</vt:lpwstr>
  </property>
  <property fmtid="{D5CDD505-2E9C-101B-9397-08002B2CF9AE}" pid="17" name="subtitle">
    <vt:lpwstr>CCP version 3.3</vt:lpwstr>
  </property>
  <property fmtid="{D5CDD505-2E9C-101B-9397-08002B2CF9AE}" pid="18" name="tableTitle">
    <vt:lpwstr>Table</vt:lpwstr>
  </property>
  <property fmtid="{D5CDD505-2E9C-101B-9397-08002B2CF9AE}" pid="19" name="tblPrefix">
    <vt:lpwstr/>
  </property>
  <property fmtid="{D5CDD505-2E9C-101B-9397-08002B2CF9AE}" pid="20" name="toc-title">
    <vt:lpwstr>Table of contents</vt:lpwstr>
  </property>
</Properties>
</file>