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  <Override PartName="/word/media/rId27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Outbreak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platform</w:t>
      </w:r>
    </w:p>
    <w:bookmarkStart w:id="23" w:name="data-held"/>
    <w:p>
      <w:pPr>
        <w:pStyle w:val="Heading2"/>
      </w:pPr>
      <w:r>
        <w:t xml:space="preserve">Data held</w:t>
      </w:r>
    </w:p>
    <w:p>
      <w:pPr>
        <w:pStyle w:val="FirstParagraph"/>
      </w:pPr>
      <w:r>
        <w:t xml:space="preserve">The outbreak analysis platform was developed by ISARIC4C to</w:t>
      </w:r>
      <w:r>
        <w:t xml:space="preserve"> </w:t>
      </w:r>
      <w:r>
        <w:rPr>
          <w:iCs/>
          <w:i/>
        </w:rPr>
        <w:t xml:space="preserve">encourgage and facilitate research</w:t>
      </w:r>
      <w:r>
        <w:t xml:space="preserve"> </w:t>
      </w:r>
      <w:r>
        <w:t xml:space="preserve">by collating, linking and presenting data together with high-performance computational capacity.</w:t>
      </w:r>
    </w:p>
    <w:p>
      <w:pPr>
        <w:pStyle w:val="BodyText"/>
      </w:pPr>
      <w:r>
        <w:t xml:space="preserve">It provides a clinical and research data integration platform to facilitate integrative analyses of multi-omic, serial disease profiling, stratified by viral variant, clinical phenotype and outcome. The platform is hosted on nationally-leading, exabyte-scale computational infrastructure including state-of-the-art security systems for protection of identifiable data, and high-performance CPU/GPU computing (EPCC, and ARCHER/ARCHER2).</w:t>
      </w:r>
    </w:p>
    <w:p>
      <w:pPr>
        <w:pStyle w:val="CaptionedFigure"/>
      </w:pPr>
      <w:bookmarkStart w:id="21" w:name="fig:structure"/>
      <w:r>
        <w:drawing>
          <wp:inline>
            <wp:extent cx="5334000" cy="8025201"/>
            <wp:effectExtent b="0" l="0" r="0" t="0"/>
            <wp:docPr descr="Figure 1: Structure of the ISARIC4C Analysis Platform" title="" id="1" name="Picture"/>
            <a:graphic>
              <a:graphicData uri="http://schemas.openxmlformats.org/drawingml/2006/picture">
                <pic:pic>
                  <pic:nvPicPr>
                    <pic:cNvPr descr="https://isaric4c.net/img/ap/i4c-analysis-platform-updated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5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Figure 1: Structure of the ISARIC4C Analysis Platform</w:t>
      </w:r>
    </w:p>
    <w:p>
      <w:pPr>
        <w:pStyle w:val="BodyText"/>
      </w:pPr>
      <w:r>
        <w:t xml:space="preserve">This platform now serves as a hub for a coordinated UK national research response to COVID-19. Data are included from:</w:t>
      </w:r>
    </w:p>
    <w:p>
      <w:pPr>
        <w:numPr>
          <w:ilvl w:val="0"/>
          <w:numId w:val="1001"/>
        </w:numPr>
        <w:pStyle w:val="Compact"/>
      </w:pPr>
      <w:r>
        <w:t xml:space="preserve">ISARIC4C tier 0: (unconsented) prospective clinical data from 204333 cases</w:t>
      </w:r>
    </w:p>
    <w:p>
      <w:pPr>
        <w:numPr>
          <w:ilvl w:val="0"/>
          <w:numId w:val="1001"/>
        </w:numPr>
        <w:pStyle w:val="Compact"/>
      </w:pPr>
      <w:r>
        <w:t xml:space="preserve">ISARIC4C tiers 1 and 2: serial multiomic assays from research samples of blood, respiratory secretions, urine, and stool from 2306 cases</w:t>
      </w:r>
    </w:p>
    <w:p>
      <w:pPr>
        <w:numPr>
          <w:ilvl w:val="0"/>
          <w:numId w:val="1001"/>
        </w:numPr>
        <w:pStyle w:val="Compact"/>
      </w:pPr>
      <w:r>
        <w:t xml:space="preserve">COG-UK: (unconsented) summary variant data from COG-UK viral sequencing study is already included for matched patients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GenOMICC study</w:t>
        </w:r>
      </w:hyperlink>
      <w:r>
        <w:t xml:space="preserve"> </w:t>
      </w:r>
      <w:r>
        <w:t xml:space="preserve">complete data: microarray and whole genome sequence data from 12454 cases</w:t>
      </w:r>
    </w:p>
    <w:p>
      <w:pPr>
        <w:numPr>
          <w:ilvl w:val="0"/>
          <w:numId w:val="1001"/>
        </w:numPr>
        <w:pStyle w:val="Compact"/>
      </w:pPr>
      <w:r>
        <w:t xml:space="preserve">PHOSP complete data: follow-up clinical and biological data generated by the Post-Hospitalisation for COVID-19 follow-up study (1075 cases)</w:t>
      </w:r>
    </w:p>
    <w:p>
      <w:pPr>
        <w:numPr>
          <w:ilvl w:val="0"/>
          <w:numId w:val="1001"/>
        </w:numPr>
        <w:pStyle w:val="Compact"/>
      </w:pPr>
      <w:r>
        <w:t xml:space="preserve">UK-CIC: deep immunological phenotyping data from across the UK Coronavirus Immunology Consortium, using ISARIC4C samples and local collections.</w:t>
      </w:r>
    </w:p>
    <w:bookmarkEnd w:id="23"/>
    <w:bookmarkStart w:id="24" w:name="linkage-to-clinical-data"/>
    <w:p>
      <w:pPr>
        <w:pStyle w:val="Heading2"/>
      </w:pPr>
      <w:r>
        <w:t xml:space="preserve">Linkage to clinical data</w:t>
      </w:r>
    </w:p>
    <w:p>
      <w:pPr>
        <w:pStyle w:val="FirstParagraph"/>
      </w:pPr>
      <w:r>
        <w:t xml:space="preserve">Research data within the analysis platform is already linked to:</w:t>
      </w:r>
    </w:p>
    <w:p>
      <w:pPr>
        <w:numPr>
          <w:ilvl w:val="0"/>
          <w:numId w:val="1002"/>
        </w:numPr>
        <w:pStyle w:val="Compact"/>
      </w:pPr>
      <w:r>
        <w:t xml:space="preserve">NHS Scotland primary, secondary care and death records</w:t>
      </w:r>
    </w:p>
    <w:p>
      <w:pPr>
        <w:numPr>
          <w:ilvl w:val="0"/>
          <w:numId w:val="1002"/>
        </w:numPr>
        <w:pStyle w:val="Compact"/>
      </w:pPr>
      <w:r>
        <w:t xml:space="preserve">NHS Digital health records data</w:t>
      </w:r>
    </w:p>
    <w:p>
      <w:pPr>
        <w:pStyle w:val="FirstParagraph"/>
      </w:pPr>
      <w:r>
        <w:t xml:space="preserve">In future, plans are in place to transfer data to link with:</w:t>
      </w:r>
    </w:p>
    <w:p>
      <w:pPr>
        <w:numPr>
          <w:ilvl w:val="0"/>
          <w:numId w:val="1003"/>
        </w:numPr>
        <w:pStyle w:val="Compact"/>
      </w:pPr>
      <w:r>
        <w:t xml:space="preserve">ICNARC and SICSAG critical care audit databases</w:t>
      </w:r>
    </w:p>
    <w:p>
      <w:pPr>
        <w:numPr>
          <w:ilvl w:val="0"/>
          <w:numId w:val="1003"/>
        </w:numPr>
        <w:pStyle w:val="Compact"/>
      </w:pPr>
      <w:r>
        <w:t xml:space="preserve">NIMS National Immunisation Dataset</w:t>
      </w:r>
    </w:p>
    <w:p>
      <w:pPr>
        <w:numPr>
          <w:ilvl w:val="0"/>
          <w:numId w:val="1003"/>
        </w:numPr>
        <w:pStyle w:val="Compact"/>
      </w:pPr>
      <w:r>
        <w:t xml:space="preserve">Pillar 1 testing</w:t>
      </w:r>
    </w:p>
    <w:p>
      <w:pPr>
        <w:numPr>
          <w:ilvl w:val="0"/>
          <w:numId w:val="1003"/>
        </w:numPr>
        <w:pStyle w:val="Compact"/>
      </w:pPr>
      <w:r>
        <w:t xml:space="preserve">Pillar 2 testing</w:t>
      </w:r>
    </w:p>
    <w:p>
      <w:pPr>
        <w:numPr>
          <w:ilvl w:val="0"/>
          <w:numId w:val="1003"/>
        </w:numPr>
        <w:pStyle w:val="Compact"/>
      </w:pPr>
      <w:r>
        <w:t xml:space="preserve">ONS</w:t>
      </w:r>
    </w:p>
    <w:bookmarkEnd w:id="24"/>
    <w:bookmarkStart w:id="26" w:name="research-outputs"/>
    <w:p>
      <w:pPr>
        <w:pStyle w:val="Heading2"/>
      </w:pPr>
      <w:r>
        <w:t xml:space="preserve">Research outputs</w:t>
      </w:r>
    </w:p>
    <w:p>
      <w:pPr>
        <w:pStyle w:val="FirstParagraph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ISARIC Coronavirus Clinical Characterisation Consortium (4C)</w:t>
        </w:r>
      </w:hyperlink>
      <w:r>
        <w:t xml:space="preserve"> </w:t>
      </w:r>
      <w:r>
        <w:t xml:space="preserve">is the largest observational study of hospitalised patients with COVID-19 anyhwere in the world. By generating, integrating and analysing clinical, biological, genetic and virological data on patients with Covid-19 in UK hospitals (Figure 2), ISARIC4C has provided essential weekly updates to SAGE that guide the public health response, and enabled understanding of the clinical features,</w:t>
      </w:r>
      <w:hyperlink w:anchor="ref-dochertyFeatures201332020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prognostication,</w:t>
      </w:r>
      <w:hyperlink w:anchor="ref-KnightRiskstratificationpatients2020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disease biology</w:t>
      </w:r>
      <w:hyperlink w:anchor="ref-thwaitesElevatedAntiviralMyeloid2020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and host genetics.</w:t>
      </w:r>
      <w:hyperlink w:anchor="Xfed0e51d250bdb6a236f6b31cc96a0f77a01499">
        <w:r>
          <w:rPr>
            <w:rStyle w:val="Hyperlink"/>
            <w:vertAlign w:val="superscript"/>
          </w:rPr>
          <w:t xml:space="preserve">4</w:t>
        </w:r>
      </w:hyperlink>
    </w:p>
    <w:bookmarkEnd w:id="26"/>
    <w:bookmarkStart w:id="29" w:name="analysis-platform-structure"/>
    <w:p>
      <w:pPr>
        <w:pStyle w:val="Heading2"/>
      </w:pPr>
      <w:r>
        <w:t xml:space="preserve">Analysis platform structure</w:t>
      </w:r>
    </w:p>
    <w:p>
      <w:pPr>
        <w:pStyle w:val="FirstParagraph"/>
      </w:pPr>
      <w:r>
        <w:t xml:space="preserve">There are two routes of access to the analysis platform (Figure 1):</w:t>
      </w:r>
      <w:r>
        <w:t xml:space="preserve"> </w:t>
      </w:r>
      <w:r>
        <w:t xml:space="preserve">1. NHS Trusted Research Environment (Safe Haven) for access to personal clinical data and data collected without explicit consent.</w:t>
      </w:r>
      <w:r>
        <w:t xml:space="preserve"> </w:t>
      </w:r>
      <w:r>
        <w:t xml:space="preserve">2. Rapid-access flexible compute for access to non-disclosive research data collected with explicit consent.</w:t>
      </w:r>
    </w:p>
    <w:p>
      <w:pPr>
        <w:pStyle w:val="BodyText"/>
      </w:pPr>
      <w:r>
        <w:t xml:space="preserve">Within both of these environments there is an additional division in the data:</w:t>
      </w:r>
      <w:r>
        <w:t xml:space="preserve"> </w:t>
      </w:r>
      <w:r>
        <w:t xml:space="preserve">1. Publishable</w:t>
      </w:r>
      <w:r>
        <w:t xml:space="preserve"> </w:t>
      </w:r>
      <w:r>
        <w:t xml:space="preserve">“</w:t>
      </w:r>
      <w:r>
        <w:t xml:space="preserve">open access</w:t>
      </w:r>
      <w:r>
        <w:t xml:space="preserve">”</w:t>
      </w:r>
      <w:r>
        <w:t xml:space="preserve"> </w:t>
      </w:r>
      <w:r>
        <w:t xml:space="preserve">data which any user can use and report as they wish, according to data protection and privacy rules;</w:t>
      </w:r>
      <w:r>
        <w:t xml:space="preserve"> </w:t>
      </w:r>
      <w:r>
        <w:t xml:space="preserve">2. Embargoed active research data, shared by academic investigators and available for linked analysis but not for publication without agreement from all contributors.</w:t>
      </w:r>
    </w:p>
    <w:p>
      <w:pPr>
        <w:pStyle w:val="BodyText"/>
      </w:pPr>
      <w:r>
        <w:t xml:space="preserve">This design is intended to build trust in order to encourage immediate contributions of research data from academic collaborators.</w:t>
      </w:r>
    </w:p>
    <w:p>
      <w:pPr>
        <w:pStyle w:val="CaptionedFigure"/>
      </w:pPr>
      <w:bookmarkStart w:id="28" w:name="fig:map"/>
      <w:r>
        <w:drawing>
          <wp:inline>
            <wp:extent cx="5334000" cy="6410587"/>
            <wp:effectExtent b="0" l="0" r="0" t="0"/>
            <wp:docPr descr="Figure 2: ISARIC4C study and data analysis platform" title="" id="1" name="Picture"/>
            <a:graphic>
              <a:graphicData uri="http://schemas.openxmlformats.org/drawingml/2006/picture">
                <pic:pic>
                  <pic:nvPicPr>
                    <pic:cNvPr descr="https://isaric4c.net/img/ap/i4c-map-updated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ISARIC4C study and data analysis platform</w:t>
      </w:r>
    </w:p>
    <w:bookmarkEnd w:id="29"/>
    <w:bookmarkStart w:id="30" w:name="future-plans"/>
    <w:p>
      <w:pPr>
        <w:pStyle w:val="Heading2"/>
      </w:pPr>
      <w:r>
        <w:t xml:space="preserve">Future plans</w:t>
      </w:r>
    </w:p>
    <w:p>
      <w:pPr>
        <w:pStyle w:val="FirstParagraph"/>
      </w:pPr>
      <w:r>
        <w:t xml:space="preserve">Rapid addition of viral sequence data from the COG-UK platform will enable real-time detection of the clinical impact of new viral strains, in-depth biological study of reinfection, and host:pathogen interactions at a genetic and mechanistic level.</w:t>
      </w:r>
    </w:p>
    <w:bookmarkEnd w:id="30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31" w:name="ref-dochertyFeatures201332020"/>
    <w:p>
      <w:pPr>
        <w:pStyle w:val="Bibliography"/>
      </w:pPr>
      <w:r>
        <w:t xml:space="preserve">1. Docherty, A.B., Harrison, E.M., Green, C.A., Hardwick, H.E., Pius, R., Norman, L., Holden, K.A., Read, J.M., Dondelinger, F., Carson, G., Merson, L., Lee, J., Plotkin, D., Sigfrid, L., Halpin, S., Jackson, C., Gamble, C., Horby, P.W., Nguyen-Van-Tam, J.S., Ho, A., Russell, C.D., Dunning, J., Openshaw, P.J., Baillie, J.K. &amp; Semple, M.G. Features of 20 133</w:t>
      </w:r>
      <w:r>
        <w:t xml:space="preserve"> </w:t>
      </w:r>
      <w:r>
        <w:t xml:space="preserve">UK</w:t>
      </w:r>
      <w:r>
        <w:t xml:space="preserve"> </w:t>
      </w:r>
      <w:r>
        <w:t xml:space="preserve">patients in hospital with covid-19 using the</w:t>
      </w:r>
      <w:r>
        <w:t xml:space="preserve"> </w:t>
      </w:r>
      <w:r>
        <w:t xml:space="preserve">ISARIC WHO Clinical Characterisation Protocol</w:t>
      </w:r>
      <w:r>
        <w:t xml:space="preserve">: Prospective observational cohort study.</w:t>
      </w:r>
      <w:r>
        <w:t xml:space="preserve"> </w:t>
      </w:r>
      <w:r>
        <w:rPr>
          <w:iCs/>
          <w:i/>
        </w:rPr>
        <w:t xml:space="preserve">BMJ</w:t>
      </w:r>
      <w:r>
        <w:t xml:space="preserve"> </w:t>
      </w:r>
      <w:r>
        <w:rPr>
          <w:bCs/>
          <w:b/>
        </w:rPr>
        <w:t xml:space="preserve">369</w:t>
      </w:r>
      <w:r>
        <w:t xml:space="preserve">, (2020).</w:t>
      </w:r>
    </w:p>
    <w:bookmarkEnd w:id="31"/>
    <w:bookmarkStart w:id="32" w:name="ref-KnightRiskstratificationpatients2020"/>
    <w:p>
      <w:pPr>
        <w:pStyle w:val="Bibliography"/>
      </w:pPr>
      <w:r>
        <w:t xml:space="preserve">2. Knight, S.R., Ho, A., Pius, R., Buchan, I., Carson, G., Drake, T.M., Dunning, J., Fairfield, C.J., Gamble, C., Green, C.A., Gupta, R., Halpin, S., Hardwick, H.E., Holden, K.A., Horby, P.W., Jackson, C., Mclean, K.A., Merson, L., Nguyen-Van-Tam, J.S., Norman, L., Noursadeghi, M., Olliaro, P.L., Pritchard, M.G., Russell, C.D., Shaw, C.A., Sheikh, A., Solomon, T., Sudlow, C., Swann, O.V., Turtle, L.C., Openshaw, P.J., Baillie, J.K., Semple, M.G., Docherty, A.B. &amp; Harrison, E.M. Risk stratification of patients admitted to hospital with covid-19 using the ISARIC WHO clinical characterisation protocol: Development and validation of the 4C mortality score.</w:t>
      </w:r>
      <w:r>
        <w:t xml:space="preserve"> </w:t>
      </w:r>
      <w:r>
        <w:rPr>
          <w:iCs/>
          <w:i/>
        </w:rPr>
        <w:t xml:space="preserve">BMJ (Clinical research ed.)</w:t>
      </w:r>
      <w:r>
        <w:t xml:space="preserve"> </w:t>
      </w:r>
      <w:r>
        <w:rPr>
          <w:bCs/>
          <w:b/>
        </w:rPr>
        <w:t xml:space="preserve">370</w:t>
      </w:r>
      <w:r>
        <w:t xml:space="preserve">, m3339(2020).</w:t>
      </w:r>
    </w:p>
    <w:bookmarkEnd w:id="32"/>
    <w:bookmarkStart w:id="34" w:name="ref-thwaitesElevatedAntiviralMyeloid2020"/>
    <w:p>
      <w:pPr>
        <w:pStyle w:val="Bibliography"/>
      </w:pPr>
      <w:r>
        <w:t xml:space="preserve">3. Thwaites, R., Uruchurtu, A.S.S., Siggins, M., Liew, F., Russell, C.D., Moore, S., Carter, E., Abrams, S., Short, C.-E., Thaventhiran, T., Bergstrom, E., Gardener, Z., Ascough, S., Chiu, C., Docherty, A.B., Hunt, D., Crow, Y., Solomon, T., Taylor, G., Turtle, L., Harrison, E.M., Semple, M.G., Baillie, J.K. &amp; Openshaw, P.J. Elevated antiviral, myeloid and endothelial inflammatory markers in severe</w:t>
      </w:r>
      <w:r>
        <w:t xml:space="preserve"> </w:t>
      </w:r>
      <w:r>
        <w:t xml:space="preserve">COVID</w:t>
      </w:r>
      <w:r>
        <w:t xml:space="preserve">-19.</w:t>
      </w:r>
      <w:r>
        <w:t xml:space="preserve"> </w:t>
      </w:r>
      <w:r>
        <w:rPr>
          <w:iCs/>
          <w:i/>
        </w:rPr>
        <w:t xml:space="preserve">medRxiv</w:t>
      </w:r>
      <w:r>
        <w:t xml:space="preserve"> </w:t>
      </w:r>
      <w:r>
        <w:t xml:space="preserve">2020.10.08.20209411(2020).doi:</w:t>
      </w:r>
      <w:hyperlink r:id="rId33">
        <w:r>
          <w:rPr>
            <w:rStyle w:val="Hyperlink"/>
          </w:rPr>
          <w:t xml:space="preserve">10.1101/2020.10.08.20209411</w:t>
        </w:r>
      </w:hyperlink>
    </w:p>
    <w:bookmarkEnd w:id="34"/>
    <w:bookmarkStart w:id="36" w:name="Xfed0e51d250bdb6a236f6b31cc96a0f77a01499"/>
    <w:p>
      <w:pPr>
        <w:pStyle w:val="Bibliography"/>
      </w:pPr>
      <w:r>
        <w:t xml:space="preserve">4. Pairo-Castineira, E., Clohisey, S., Klaric, L., Bretherick, A.D., Rawlik, K., Pasko, D., Walker, S., Parkinson, N., Fourman, M.H., Russell, C.D., Furniss, J., Richmond, A., Gountouna, E., Wrobel, N., Harrison, D., Wang, B., Wu, Y., Meynert, A., Griffiths, F., Oosthuyzen, W., Kousathanas, A., Moutsianas, L., Yang, Z., Zhai, R., Zheng, C., Grimes, G., Beale, R., Millar, J., Shih, B., Keating, S., Zechner, M., Haley, C., Porteous, D.J., Hayward, C., Yang, J., Knight, J., Summers, C., Shankar-Hari, M., Klenerman, P., Turtle, L., Ho, A., Moore, S.C., Hinds, C., Horby, P., Nichol, A., Maslove, D., Ling, L., McAuley, D., Montgomery, H., Walsh, T., Pereira, A., Renieri, A., Shen, X., Ponting, C.P., Fawkes, A., Tenesa, A., Caulfield, M., Scott, R., Rowan, K., Murphy, L., Openshaw, P.J.M., Semple, M.G., Law, A., Vitart, V., Wilson, J.F. &amp; Baillie, J.K. Genetic mechanisms of critical illness in covid-19.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(2020).doi:</w:t>
      </w:r>
      <w:hyperlink r:id="rId35">
        <w:r>
          <w:rPr>
            <w:rStyle w:val="Hyperlink"/>
          </w:rPr>
          <w:t xml:space="preserve">10.1038/s41586-020-03065-y</w:t>
        </w:r>
      </w:hyperlink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image" Id="rId27" Target="media/rId27.pdf" /><Relationship Type="http://schemas.openxmlformats.org/officeDocument/2006/relationships/hyperlink" Id="rId35" Target="https://doi.org/10.1038/s41586-020-03065-y" TargetMode="External" /><Relationship Type="http://schemas.openxmlformats.org/officeDocument/2006/relationships/hyperlink" Id="rId33" Target="https://doi.org/10.1101/2020.10.08.20209411" TargetMode="External" /><Relationship Type="http://schemas.openxmlformats.org/officeDocument/2006/relationships/hyperlink" Id="rId22" Target="https://genomicc.org/uk" TargetMode="External" /><Relationship Type="http://schemas.openxmlformats.org/officeDocument/2006/relationships/hyperlink" Id="rId25" Target="https://isaric4c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38/s41586-020-03065-y" TargetMode="External" /><Relationship Type="http://schemas.openxmlformats.org/officeDocument/2006/relationships/hyperlink" Id="rId33" Target="https://doi.org/10.1101/2020.10.08.20209411" TargetMode="External" /><Relationship Type="http://schemas.openxmlformats.org/officeDocument/2006/relationships/hyperlink" Id="rId22" Target="https://genomicc.org/uk" TargetMode="External" /><Relationship Type="http://schemas.openxmlformats.org/officeDocument/2006/relationships/hyperlink" Id="rId25" Target="https://isaric4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Outbreak data analysis platform</dc:title>
  <dc:creator/>
  <cp:keywords/>
  <dcterms:created xsi:type="dcterms:W3CDTF">2021-04-18T09:57:03Z</dcterms:created>
  <dcterms:modified xsi:type="dcterms:W3CDTF">2021-04-18T09:57:03Z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cs.bib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itecolor">
    <vt:lpwstr>blue</vt:lpwstr>
  </property>
  <property fmtid="{D5CDD505-2E9C-101B-9397-08002B2CF9AE}" pid="12" name="codeBlockCaptions">
    <vt:lpwstr>False</vt:lpwstr>
  </property>
  <property fmtid="{D5CDD505-2E9C-101B-9397-08002B2CF9AE}" pid="13" name="cref">
    <vt:lpwstr>True</vt:lpwstr>
  </property>
  <property fmtid="{D5CDD505-2E9C-101B-9397-08002B2CF9AE}" pid="14" name="crossrefYaml">
    <vt:lpwstr>pandoc-crossref.yaml</vt:lpwstr>
  </property>
  <property fmtid="{D5CDD505-2E9C-101B-9397-08002B2CF9AE}" pid="15" name="csl">
    <vt:lpwstr>nature.csl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>Figure</vt:lpwstr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>margin=2.5cm</vt:lpwstr>
  </property>
  <property fmtid="{D5CDD505-2E9C-101B-9397-08002B2CF9AE}" pid="25" name="header-includes">
    <vt:lpwstr/>
  </property>
  <property fmtid="{D5CDD505-2E9C-101B-9397-08002B2CF9AE}" pid="26" name="lastDelim">
    <vt:lpwstr>, </vt:lpwstr>
  </property>
  <property fmtid="{D5CDD505-2E9C-101B-9397-08002B2CF9AE}" pid="27" name="link-citations">
    <vt:lpwstr>True</vt:lpwstr>
  </property>
  <property fmtid="{D5CDD505-2E9C-101B-9397-08002B2CF9AE}" pid="28" name="linkReferences">
    <vt:lpwstr>False</vt:lpwstr>
  </property>
  <property fmtid="{D5CDD505-2E9C-101B-9397-08002B2CF9AE}" pid="29" name="linkcolor">
    <vt:lpwstr>blue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numbersections">
    <vt:lpwstr>False</vt:lpwstr>
  </property>
  <property fmtid="{D5CDD505-2E9C-101B-9397-08002B2CF9AE}" pid="42" name="pairDelim">
    <vt:lpwstr>, </vt:lpwstr>
  </property>
  <property fmtid="{D5CDD505-2E9C-101B-9397-08002B2CF9AE}" pid="43" name="rangeDelim">
    <vt:lpwstr>-</vt:lpwstr>
  </property>
  <property fmtid="{D5CDD505-2E9C-101B-9397-08002B2CF9AE}" pid="44" name="refDelim">
    <vt:lpwstr>, </vt:lpwstr>
  </property>
  <property fmtid="{D5CDD505-2E9C-101B-9397-08002B2CF9AE}" pid="45" name="refIndexTemplate">
    <vt:lpwstr>isuf</vt:lpwstr>
  </property>
  <property fmtid="{D5CDD505-2E9C-101B-9397-08002B2CF9AE}" pid="46" name="replace">
    <vt:lpwstr/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sDepth">
    <vt:lpwstr>0</vt:lpwstr>
  </property>
  <property fmtid="{D5CDD505-2E9C-101B-9397-08002B2CF9AE}" pid="53" name="subfigGrid">
    <vt:lpwstr>False</vt:lpwstr>
  </property>
  <property fmtid="{D5CDD505-2E9C-101B-9397-08002B2CF9AE}" pid="54" name="subfigLabels">
    <vt:lpwstr>alpha a</vt:lpwstr>
  </property>
  <property fmtid="{D5CDD505-2E9C-101B-9397-08002B2CF9AE}" pid="55" name="subfigureChildTemplate">
    <vt:lpwstr>i</vt:lpwstr>
  </property>
  <property fmtid="{D5CDD505-2E9C-101B-9397-08002B2CF9AE}" pid="56" name="subfigureRefIndexTemplate">
    <vt:lpwstr>isuf (s)</vt:lpwstr>
  </property>
  <property fmtid="{D5CDD505-2E9C-101B-9397-08002B2CF9AE}" pid="57" name="subfigureTemplate">
    <vt:lpwstr>figureTitle ititleDelim t. ccs</vt:lpwstr>
  </property>
  <property fmtid="{D5CDD505-2E9C-101B-9397-08002B2CF9AE}" pid="58" name="tableEqns">
    <vt:lpwstr>False</vt:lpwstr>
  </property>
  <property fmtid="{D5CDD505-2E9C-101B-9397-08002B2CF9AE}" pid="59" name="tableTemplate">
    <vt:lpwstr>tableTitle ititleDelim t</vt:lpwstr>
  </property>
  <property fmtid="{D5CDD505-2E9C-101B-9397-08002B2CF9AE}" pid="60" name="tableTitle">
    <vt:lpwstr>Table</vt:lpwstr>
  </property>
  <property fmtid="{D5CDD505-2E9C-101B-9397-08002B2CF9AE}" pid="61" name="tblLabels">
    <vt:lpwstr>arabic</vt:lpwstr>
  </property>
  <property fmtid="{D5CDD505-2E9C-101B-9397-08002B2CF9AE}" pid="62" name="tblPrefix">
    <vt:lpwstr>Table</vt:lpwstr>
  </property>
  <property fmtid="{D5CDD505-2E9C-101B-9397-08002B2CF9AE}" pid="63" name="tblPrefixTemplate">
    <vt:lpwstr>p i</vt:lpwstr>
  </property>
  <property fmtid="{D5CDD505-2E9C-101B-9397-08002B2CF9AE}" pid="64" name="titleDelim">
    <vt:lpwstr>:</vt:lpwstr>
  </property>
  <property fmtid="{D5CDD505-2E9C-101B-9397-08002B2CF9AE}" pid="65" name="toc">
    <vt:lpwstr>False</vt:lpwstr>
  </property>
  <property fmtid="{D5CDD505-2E9C-101B-9397-08002B2CF9AE}" pid="66" name="urlcolor">
    <vt:lpwstr>blue</vt:lpwstr>
  </property>
</Properties>
</file>