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C328BB" w14:textId="77777777" w:rsidR="00BE3A6B" w:rsidRDefault="00000000">
      <w:pPr>
        <w:pStyle w:val="Heading1"/>
      </w:pPr>
      <w:r>
        <w:t>Full On-Premises Deployment – Central Data Hub (CDH)</w:t>
      </w:r>
    </w:p>
    <w:p w14:paraId="70FE398A" w14:textId="77777777" w:rsidR="00BE3A6B" w:rsidRDefault="00000000">
      <w:r>
        <w:rPr>
          <w:i/>
        </w:rPr>
        <w:t>Proposal section: Deployment Model and Licensing Commitment</w:t>
      </w:r>
    </w:p>
    <w:p w14:paraId="63F25865" w14:textId="77777777" w:rsidR="00BE3A6B" w:rsidRDefault="00000000">
      <w:pPr>
        <w:pStyle w:val="Heading2"/>
      </w:pPr>
      <w:r>
        <w:t>1. Statement of Compliance</w:t>
      </w:r>
    </w:p>
    <w:p w14:paraId="6335FEDE" w14:textId="77777777" w:rsidR="00BE3A6B" w:rsidRDefault="00000000">
      <w:r>
        <w:t xml:space="preserve">The proposed Central Data Hub (CDH) solution is designed, sized and will be delivered as a </w:t>
      </w:r>
      <w:r>
        <w:rPr>
          <w:b/>
        </w:rPr>
        <w:t>fully on-premises deployment</w:t>
      </w:r>
      <w:r>
        <w:t>. We confirm that:</w:t>
      </w:r>
    </w:p>
    <w:p w14:paraId="297F853C" w14:textId="77777777" w:rsidR="00BE3A6B" w:rsidRDefault="00000000">
      <w:pPr>
        <w:pStyle w:val="ListParagraph"/>
        <w:numPr>
          <w:ilvl w:val="0"/>
          <w:numId w:val="2"/>
        </w:numPr>
      </w:pPr>
      <w:r>
        <w:t>No component, pipeline, data asset or process of the CDH resides on, or transits through, any public cloud infrastructure or external network at any point in its lifecycle.</w:t>
      </w:r>
    </w:p>
    <w:p w14:paraId="1C270892" w14:textId="77777777" w:rsidR="00BE3A6B" w:rsidRDefault="00000000">
      <w:pPr>
        <w:pStyle w:val="ListParagraph"/>
        <w:numPr>
          <w:ilvl w:val="0"/>
          <w:numId w:val="2"/>
        </w:numPr>
      </w:pPr>
      <w:r>
        <w:t>The complete CDH operates exclusively within the designated on-premises network perimeter specified by the Purchaser.</w:t>
      </w:r>
    </w:p>
    <w:p w14:paraId="20807E3E" w14:textId="02414B97" w:rsidR="00BE3A6B" w:rsidRDefault="00000000">
      <w:pPr>
        <w:pStyle w:val="ListParagraph"/>
        <w:numPr>
          <w:ilvl w:val="0"/>
          <w:numId w:val="2"/>
        </w:numPr>
      </w:pPr>
      <w:r>
        <w:t xml:space="preserve">All software and operating system </w:t>
      </w:r>
      <w:r w:rsidR="00125891">
        <w:t>licenses</w:t>
      </w:r>
      <w:r>
        <w:t xml:space="preserve"> required to deploy, operate and support the solution are included in this proposal.</w:t>
      </w:r>
    </w:p>
    <w:p w14:paraId="7C77C2A6" w14:textId="77777777" w:rsidR="00BE3A6B" w:rsidRDefault="00000000">
      <w:r>
        <w:t>This commitment applies to production, disaster recovery, pre-production, development and test environments, and to every phase of the engagement: installation, commissioning, operation, patching, support and decommissioning.</w:t>
      </w:r>
    </w:p>
    <w:p w14:paraId="19734801" w14:textId="77777777" w:rsidR="00BE3A6B" w:rsidRDefault="00000000">
      <w:pPr>
        <w:pStyle w:val="Heading2"/>
      </w:pPr>
      <w:r>
        <w:t>2. Deployment Principles</w:t>
      </w:r>
    </w:p>
    <w:p w14:paraId="769DFED7" w14:textId="77777777" w:rsidR="00BE3A6B" w:rsidRDefault="00000000">
      <w:r>
        <w:t>The following principles govern the architecture and are binding on the delivery team.</w:t>
      </w:r>
    </w:p>
    <w:p w14:paraId="26466BF4" w14:textId="148E2752" w:rsidR="00BE3A6B" w:rsidRDefault="00000000">
      <w:pPr>
        <w:pStyle w:val="ListParagraph"/>
        <w:numPr>
          <w:ilvl w:val="0"/>
          <w:numId w:val="3"/>
        </w:numPr>
      </w:pPr>
      <w:r>
        <w:rPr>
          <w:b/>
        </w:rPr>
        <w:t>Single perimeter.</w:t>
      </w:r>
      <w:r>
        <w:t xml:space="preserve"> All compute, storage, network, software and management tooling are installed within the Purchaser’s designated data </w:t>
      </w:r>
      <w:r w:rsidR="00900FE9">
        <w:t>center</w:t>
      </w:r>
      <w:r>
        <w:t>(s) and the approved DR site, interconnected only by Purchaser-controlled links.</w:t>
      </w:r>
    </w:p>
    <w:p w14:paraId="76A82E34" w14:textId="56A7FB51" w:rsidR="00BE3A6B" w:rsidRDefault="00000000">
      <w:pPr>
        <w:pStyle w:val="ListParagraph"/>
        <w:numPr>
          <w:ilvl w:val="0"/>
          <w:numId w:val="3"/>
        </w:numPr>
      </w:pPr>
      <w:r>
        <w:rPr>
          <w:b/>
        </w:rPr>
        <w:t>No public cloud dependency.</w:t>
      </w:r>
      <w:r>
        <w:t xml:space="preserve"> No SaaS, PaaS, IaaS, managed service, cloud-hosted control plane, cloud object store or cloud-based </w:t>
      </w:r>
      <w:r w:rsidR="00900FE9">
        <w:t>license</w:t>
      </w:r>
      <w:r>
        <w:t xml:space="preserve"> service is used, directly or indirectly.</w:t>
      </w:r>
    </w:p>
    <w:p w14:paraId="2D01746E" w14:textId="77777777" w:rsidR="00BE3A6B" w:rsidRDefault="00000000">
      <w:pPr>
        <w:pStyle w:val="ListParagraph"/>
        <w:numPr>
          <w:ilvl w:val="0"/>
          <w:numId w:val="3"/>
        </w:numPr>
      </w:pPr>
      <w:r>
        <w:rPr>
          <w:b/>
        </w:rPr>
        <w:t>No external egress.</w:t>
      </w:r>
      <w:r>
        <w:t xml:space="preserve"> The CDH has no outbound or inbound path to the Internet or any external network. Integration is limited to approved internal source systems (IRIS, </w:t>
      </w:r>
      <w:proofErr w:type="spellStart"/>
      <w:r>
        <w:t>eFBR</w:t>
      </w:r>
      <w:proofErr w:type="spellEnd"/>
      <w:r>
        <w:t xml:space="preserve">, </w:t>
      </w:r>
      <w:proofErr w:type="spellStart"/>
      <w:r>
        <w:t>RegSys</w:t>
      </w:r>
      <w:proofErr w:type="spellEnd"/>
      <w:r>
        <w:t>, TAMS and other Purchaser systems) and approved internal consumers.</w:t>
      </w:r>
    </w:p>
    <w:p w14:paraId="2BDC7D66" w14:textId="77777777" w:rsidR="00BE3A6B" w:rsidRDefault="00000000">
      <w:pPr>
        <w:pStyle w:val="ListParagraph"/>
        <w:numPr>
          <w:ilvl w:val="0"/>
          <w:numId w:val="3"/>
        </w:numPr>
      </w:pPr>
      <w:r>
        <w:rPr>
          <w:b/>
        </w:rPr>
        <w:t>Self-contained operations.</w:t>
      </w:r>
      <w:r>
        <w:t xml:space="preserve"> Monitoring, logging, source control, CI/CD, identity, backup and security analytics run inside the perimeter and do not depend on external services.</w:t>
      </w:r>
    </w:p>
    <w:p w14:paraId="44C378F0" w14:textId="77777777" w:rsidR="00BE3A6B" w:rsidRDefault="00000000">
      <w:pPr>
        <w:pStyle w:val="ListParagraph"/>
        <w:numPr>
          <w:ilvl w:val="0"/>
          <w:numId w:val="3"/>
        </w:numPr>
      </w:pPr>
      <w:r>
        <w:rPr>
          <w:b/>
        </w:rPr>
        <w:t>Customer-controlled data.</w:t>
      </w:r>
      <w:r>
        <w:t xml:space="preserve"> All data, metadata, logs, models, backups and encryption keys remain under the Purchaser’s custody and physical control.</w:t>
      </w:r>
    </w:p>
    <w:p w14:paraId="1A036296" w14:textId="77777777" w:rsidR="00BE3A6B" w:rsidRDefault="00000000">
      <w:pPr>
        <w:pStyle w:val="Heading2"/>
      </w:pPr>
      <w:r>
        <w:t>3. On-Premises Deployment Confirmation by Component</w:t>
      </w:r>
    </w:p>
    <w:p w14:paraId="0EE9CE57" w14:textId="77777777" w:rsidR="00BE3A6B" w:rsidRDefault="00000000">
      <w:r>
        <w:t>Every proposed software component is deployed as customer-managed software on on-premises infrastructure. No component relies on a vendor-hosted or cloud-hosted service.</w:t>
      </w:r>
    </w:p>
    <w:tbl>
      <w:tblPr>
        <w:tblStyle w:val="TableGrid"/>
        <w:tblW w:w="0" w:type="auto"/>
        <w:tblLayout w:type="fixed"/>
        <w:tblLook w:val="0420" w:firstRow="1" w:lastRow="0" w:firstColumn="0" w:lastColumn="0" w:noHBand="0" w:noVBand="1"/>
      </w:tblPr>
      <w:tblGrid>
        <w:gridCol w:w="1701"/>
        <w:gridCol w:w="3261"/>
        <w:gridCol w:w="4398"/>
      </w:tblGrid>
      <w:tr w:rsidR="00BE3A6B" w14:paraId="4B0CDA88" w14:textId="77777777">
        <w:trPr>
          <w:tblHeader/>
        </w:trPr>
        <w:tc>
          <w:tcPr>
            <w:tcW w:w="1701" w:type="dxa"/>
            <w:shd w:val="clear" w:color="auto" w:fill="F2F2F2"/>
          </w:tcPr>
          <w:p w14:paraId="3A9D9BC6" w14:textId="77777777" w:rsidR="00BE3A6B" w:rsidRDefault="00000000">
            <w:r>
              <w:t>Layer</w:t>
            </w:r>
          </w:p>
        </w:tc>
        <w:tc>
          <w:tcPr>
            <w:tcW w:w="3261" w:type="dxa"/>
            <w:shd w:val="clear" w:color="auto" w:fill="F2F2F2"/>
          </w:tcPr>
          <w:p w14:paraId="4B6DCF4C" w14:textId="77777777" w:rsidR="00BE3A6B" w:rsidRDefault="00000000">
            <w:r>
              <w:t>Components</w:t>
            </w:r>
          </w:p>
        </w:tc>
        <w:tc>
          <w:tcPr>
            <w:tcW w:w="4398" w:type="dxa"/>
            <w:shd w:val="clear" w:color="auto" w:fill="F2F2F2"/>
          </w:tcPr>
          <w:p w14:paraId="4EB684AE" w14:textId="77777777" w:rsidR="00BE3A6B" w:rsidRDefault="00000000">
            <w:r>
              <w:t>On-premises deployment basis</w:t>
            </w:r>
          </w:p>
        </w:tc>
      </w:tr>
      <w:tr w:rsidR="00BE3A6B" w14:paraId="33DB1449" w14:textId="77777777">
        <w:tc>
          <w:tcPr>
            <w:tcW w:w="1701" w:type="dxa"/>
          </w:tcPr>
          <w:p w14:paraId="47286CA5" w14:textId="77777777" w:rsidR="00BE3A6B" w:rsidRDefault="00000000">
            <w:r>
              <w:t>Data Ingestion and Integration</w:t>
            </w:r>
          </w:p>
        </w:tc>
        <w:tc>
          <w:tcPr>
            <w:tcW w:w="3261" w:type="dxa"/>
          </w:tcPr>
          <w:p w14:paraId="74DCDC97" w14:textId="77777777" w:rsidR="00BE3A6B" w:rsidRDefault="00000000">
            <w:r>
              <w:t xml:space="preserve">Oracle </w:t>
            </w:r>
            <w:proofErr w:type="spellStart"/>
            <w:r>
              <w:t>GoldenGate</w:t>
            </w:r>
            <w:proofErr w:type="spellEnd"/>
            <w:r>
              <w:t xml:space="preserve">, Apache </w:t>
            </w:r>
            <w:proofErr w:type="spellStart"/>
            <w:r>
              <w:t>NiFi</w:t>
            </w:r>
            <w:proofErr w:type="spellEnd"/>
            <w:r>
              <w:t xml:space="preserve">, Cloudera Streams Messaging, Apache Kafka, Oracle Data </w:t>
            </w:r>
            <w:r>
              <w:lastRenderedPageBreak/>
              <w:t>Integrator</w:t>
            </w:r>
          </w:p>
        </w:tc>
        <w:tc>
          <w:tcPr>
            <w:tcW w:w="4398" w:type="dxa"/>
          </w:tcPr>
          <w:p w14:paraId="58078736" w14:textId="77777777" w:rsidR="00BE3A6B" w:rsidRDefault="00000000">
            <w:r>
              <w:lastRenderedPageBreak/>
              <w:t xml:space="preserve">Self-managed on on-premises servers; </w:t>
            </w:r>
            <w:proofErr w:type="spellStart"/>
            <w:r>
              <w:t>GoldenGate</w:t>
            </w:r>
            <w:proofErr w:type="spellEnd"/>
            <w:r>
              <w:t xml:space="preserve"> reads source redo/transaction logs locally; Kafka and </w:t>
            </w:r>
            <w:proofErr w:type="spellStart"/>
            <w:r>
              <w:t>NiFi</w:t>
            </w:r>
            <w:proofErr w:type="spellEnd"/>
            <w:r>
              <w:t xml:space="preserve"> run on the CDH </w:t>
            </w:r>
            <w:r>
              <w:lastRenderedPageBreak/>
              <w:t>cluster</w:t>
            </w:r>
          </w:p>
        </w:tc>
      </w:tr>
      <w:tr w:rsidR="00BE3A6B" w14:paraId="0E9DE46F" w14:textId="77777777">
        <w:tc>
          <w:tcPr>
            <w:tcW w:w="1701" w:type="dxa"/>
          </w:tcPr>
          <w:p w14:paraId="76A5FD0C" w14:textId="77777777" w:rsidR="00BE3A6B" w:rsidRDefault="00000000">
            <w:r>
              <w:lastRenderedPageBreak/>
              <w:t>Central Data Hub</w:t>
            </w:r>
          </w:p>
        </w:tc>
        <w:tc>
          <w:tcPr>
            <w:tcW w:w="3261" w:type="dxa"/>
          </w:tcPr>
          <w:p w14:paraId="58E9AEF8" w14:textId="77777777" w:rsidR="00BE3A6B" w:rsidRDefault="00000000">
            <w:r>
              <w:t xml:space="preserve">HPE </w:t>
            </w:r>
            <w:proofErr w:type="spellStart"/>
            <w:r>
              <w:t>Alletra</w:t>
            </w:r>
            <w:proofErr w:type="spellEnd"/>
            <w:r>
              <w:t xml:space="preserve"> Storage MP X10000, Oracle Exadata / Oracle AI Database, Redis Enterprise Software, Apache Iceberg</w:t>
            </w:r>
          </w:p>
        </w:tc>
        <w:tc>
          <w:tcPr>
            <w:tcW w:w="4398" w:type="dxa"/>
          </w:tcPr>
          <w:p w14:paraId="17EA3271" w14:textId="77777777" w:rsidR="00BE3A6B" w:rsidRDefault="00000000">
            <w:r>
              <w:t>On-premises object storage appliance, database platform, in-memory cache cluster and open table format; no cloud storage tier or cloud tiering</w:t>
            </w:r>
          </w:p>
        </w:tc>
      </w:tr>
      <w:tr w:rsidR="00BE3A6B" w14:paraId="4B3EF8B2" w14:textId="77777777">
        <w:tc>
          <w:tcPr>
            <w:tcW w:w="1701" w:type="dxa"/>
          </w:tcPr>
          <w:p w14:paraId="5A511F75" w14:textId="77777777" w:rsidR="00BE3A6B" w:rsidRDefault="00000000">
            <w:r>
              <w:t>Data Science and Analytics</w:t>
            </w:r>
          </w:p>
        </w:tc>
        <w:tc>
          <w:tcPr>
            <w:tcW w:w="3261" w:type="dxa"/>
          </w:tcPr>
          <w:p w14:paraId="7530C0FD" w14:textId="77777777" w:rsidR="00BE3A6B" w:rsidRDefault="00000000">
            <w:r>
              <w:t>Cloudera AI, Tableau Server</w:t>
            </w:r>
          </w:p>
        </w:tc>
        <w:tc>
          <w:tcPr>
            <w:tcW w:w="4398" w:type="dxa"/>
          </w:tcPr>
          <w:p w14:paraId="6A68A2EB" w14:textId="77777777" w:rsidR="00BE3A6B" w:rsidRDefault="00000000">
            <w:r>
              <w:t>Deployed on the on-premises Cloudera platform; Tableau Server installed on-premises (not Tableau Cloud)</w:t>
            </w:r>
          </w:p>
        </w:tc>
      </w:tr>
      <w:tr w:rsidR="00BE3A6B" w14:paraId="1A2C7E35" w14:textId="77777777">
        <w:tc>
          <w:tcPr>
            <w:tcW w:w="1701" w:type="dxa"/>
          </w:tcPr>
          <w:p w14:paraId="49D7B103" w14:textId="77777777" w:rsidR="00BE3A6B" w:rsidRDefault="00000000">
            <w:r>
              <w:t>Data Processing and Orchestration</w:t>
            </w:r>
          </w:p>
        </w:tc>
        <w:tc>
          <w:tcPr>
            <w:tcW w:w="3261" w:type="dxa"/>
          </w:tcPr>
          <w:p w14:paraId="72AE8C97" w14:textId="77777777" w:rsidR="00BE3A6B" w:rsidRDefault="00000000">
            <w:r>
              <w:t>Oracle Data Integrator, Cloudera Data Engineering, Apache Airflow, Apache Spark, Cloudera Streaming Analytics, Apache Flink, Cloudera AI</w:t>
            </w:r>
          </w:p>
        </w:tc>
        <w:tc>
          <w:tcPr>
            <w:tcW w:w="4398" w:type="dxa"/>
          </w:tcPr>
          <w:p w14:paraId="2D546827" w14:textId="77777777" w:rsidR="00BE3A6B" w:rsidRDefault="00000000">
            <w:r>
              <w:t>Execute on the on-premises compute cluster; no managed or serverless execution outside the perimeter</w:t>
            </w:r>
          </w:p>
        </w:tc>
      </w:tr>
      <w:tr w:rsidR="00BE3A6B" w14:paraId="4829D4FF" w14:textId="77777777">
        <w:tc>
          <w:tcPr>
            <w:tcW w:w="1701" w:type="dxa"/>
          </w:tcPr>
          <w:p w14:paraId="37F26928" w14:textId="77777777" w:rsidR="00BE3A6B" w:rsidRDefault="00000000">
            <w:r>
              <w:t>Data Governance and MDM</w:t>
            </w:r>
          </w:p>
        </w:tc>
        <w:tc>
          <w:tcPr>
            <w:tcW w:w="3261" w:type="dxa"/>
          </w:tcPr>
          <w:p w14:paraId="69B8FC52" w14:textId="77777777" w:rsidR="00BE3A6B" w:rsidRDefault="00000000">
            <w:proofErr w:type="spellStart"/>
            <w:r>
              <w:t>Semarchy</w:t>
            </w:r>
            <w:proofErr w:type="spellEnd"/>
            <w:r>
              <w:t xml:space="preserve"> Data Platform</w:t>
            </w:r>
          </w:p>
        </w:tc>
        <w:tc>
          <w:tcPr>
            <w:tcW w:w="4398" w:type="dxa"/>
          </w:tcPr>
          <w:p w14:paraId="78B4B8FE" w14:textId="05612E97" w:rsidR="00BE3A6B" w:rsidRDefault="00000000">
            <w:r>
              <w:t xml:space="preserve">Customer-managed on-premises installation </w:t>
            </w:r>
          </w:p>
        </w:tc>
      </w:tr>
      <w:tr w:rsidR="00BE3A6B" w14:paraId="6B45C490" w14:textId="77777777">
        <w:tc>
          <w:tcPr>
            <w:tcW w:w="1701" w:type="dxa"/>
          </w:tcPr>
          <w:p w14:paraId="07DD03B2" w14:textId="77777777" w:rsidR="00BE3A6B" w:rsidRDefault="00000000">
            <w:r>
              <w:t>Security and Identity</w:t>
            </w:r>
          </w:p>
        </w:tc>
        <w:tc>
          <w:tcPr>
            <w:tcW w:w="3261" w:type="dxa"/>
          </w:tcPr>
          <w:p w14:paraId="44E37AF6" w14:textId="77777777" w:rsidR="00BE3A6B" w:rsidRDefault="00000000">
            <w:r>
              <w:t>SSO, AD / LDAP, Cloudera Advanced Security</w:t>
            </w:r>
          </w:p>
        </w:tc>
        <w:tc>
          <w:tcPr>
            <w:tcW w:w="4398" w:type="dxa"/>
          </w:tcPr>
          <w:p w14:paraId="65F10B27" w14:textId="77777777" w:rsidR="00BE3A6B" w:rsidRDefault="00000000">
            <w:r>
              <w:t>Purchaser/PRAL internal identity services; no external identity provider</w:t>
            </w:r>
          </w:p>
        </w:tc>
      </w:tr>
      <w:tr w:rsidR="00BE3A6B" w14:paraId="3FF67C66" w14:textId="77777777">
        <w:tc>
          <w:tcPr>
            <w:tcW w:w="1701" w:type="dxa"/>
          </w:tcPr>
          <w:p w14:paraId="6E92A9A4" w14:textId="77777777" w:rsidR="00BE3A6B" w:rsidRDefault="00000000">
            <w:r>
              <w:t>High Availability, DR and Backup</w:t>
            </w:r>
          </w:p>
        </w:tc>
        <w:tc>
          <w:tcPr>
            <w:tcW w:w="3261" w:type="dxa"/>
          </w:tcPr>
          <w:p w14:paraId="0B82F6FC" w14:textId="77777777" w:rsidR="00BE3A6B" w:rsidRDefault="00000000">
            <w:r>
              <w:t xml:space="preserve">Oracle RAC, Oracle Data Guard, Oracle </w:t>
            </w:r>
            <w:proofErr w:type="spellStart"/>
            <w:r>
              <w:t>GoldenGate</w:t>
            </w:r>
            <w:proofErr w:type="spellEnd"/>
            <w:r>
              <w:t>, Cohesity NetBackup</w:t>
            </w:r>
          </w:p>
        </w:tc>
        <w:tc>
          <w:tcPr>
            <w:tcW w:w="4398" w:type="dxa"/>
          </w:tcPr>
          <w:p w14:paraId="3A49E582" w14:textId="77777777" w:rsidR="00BE3A6B" w:rsidRDefault="00000000">
            <w:r>
              <w:t>Replication and backup between on-premises sites only; no cloud backup, archive or vault target</w:t>
            </w:r>
          </w:p>
        </w:tc>
      </w:tr>
      <w:tr w:rsidR="00BE3A6B" w14:paraId="141C12FB" w14:textId="77777777">
        <w:tc>
          <w:tcPr>
            <w:tcW w:w="1701" w:type="dxa"/>
          </w:tcPr>
          <w:p w14:paraId="6E0F3C87" w14:textId="77777777" w:rsidR="00BE3A6B" w:rsidRDefault="00000000">
            <w:r>
              <w:t>Observability, Operations and DevOps</w:t>
            </w:r>
          </w:p>
        </w:tc>
        <w:tc>
          <w:tcPr>
            <w:tcW w:w="3261" w:type="dxa"/>
          </w:tcPr>
          <w:p w14:paraId="59920153" w14:textId="77777777" w:rsidR="00BE3A6B" w:rsidRDefault="00000000">
            <w:r>
              <w:t>Oracle Enterprise Manager, Cloudera Manager, Prometheus, Grafana, Grafana Loki, Splunk Enterprise SIEM, GitLab, Argo CD</w:t>
            </w:r>
          </w:p>
        </w:tc>
        <w:tc>
          <w:tcPr>
            <w:tcW w:w="4398" w:type="dxa"/>
          </w:tcPr>
          <w:p w14:paraId="5149B7C6" w14:textId="536E1122" w:rsidR="00BE3A6B" w:rsidRDefault="00900FE9">
            <w:r>
              <w:t xml:space="preserve">All </w:t>
            </w:r>
            <w:r w:rsidR="00000000">
              <w:t>Self-hosted</w:t>
            </w:r>
          </w:p>
        </w:tc>
      </w:tr>
      <w:tr w:rsidR="00BE3A6B" w14:paraId="0D4CA133" w14:textId="77777777">
        <w:tc>
          <w:tcPr>
            <w:tcW w:w="1701" w:type="dxa"/>
          </w:tcPr>
          <w:p w14:paraId="1410D7D1" w14:textId="77777777" w:rsidR="00BE3A6B" w:rsidRDefault="00000000">
            <w:r>
              <w:t>API Management</w:t>
            </w:r>
          </w:p>
        </w:tc>
        <w:tc>
          <w:tcPr>
            <w:tcW w:w="3261" w:type="dxa"/>
          </w:tcPr>
          <w:p w14:paraId="65341BFB" w14:textId="77777777" w:rsidR="00BE3A6B" w:rsidRDefault="00000000">
            <w:r>
              <w:t>WSO2 API Manager</w:t>
            </w:r>
          </w:p>
        </w:tc>
        <w:tc>
          <w:tcPr>
            <w:tcW w:w="4398" w:type="dxa"/>
          </w:tcPr>
          <w:p w14:paraId="1B2248B9" w14:textId="77777777" w:rsidR="00BE3A6B" w:rsidRDefault="00000000">
            <w:r>
              <w:t>Self-managed on-premises gateway and control plane; APIs exposed to internal consumers only</w:t>
            </w:r>
          </w:p>
        </w:tc>
      </w:tr>
      <w:tr w:rsidR="00BE3A6B" w14:paraId="73F89930" w14:textId="77777777">
        <w:tc>
          <w:tcPr>
            <w:tcW w:w="1701" w:type="dxa"/>
          </w:tcPr>
          <w:p w14:paraId="4FD0D9A6" w14:textId="77777777" w:rsidR="00BE3A6B" w:rsidRDefault="00000000">
            <w:r>
              <w:t>Data Consumption</w:t>
            </w:r>
          </w:p>
        </w:tc>
        <w:tc>
          <w:tcPr>
            <w:tcW w:w="3261" w:type="dxa"/>
          </w:tcPr>
          <w:p w14:paraId="1A3A9105" w14:textId="77777777" w:rsidR="00BE3A6B" w:rsidRDefault="00000000">
            <w:r>
              <w:t>Tableau Server, Oracle Analytics Server, Cloudera AI</w:t>
            </w:r>
          </w:p>
        </w:tc>
        <w:tc>
          <w:tcPr>
            <w:tcW w:w="4398" w:type="dxa"/>
          </w:tcPr>
          <w:p w14:paraId="53DA2CE1" w14:textId="77777777" w:rsidR="00BE3A6B" w:rsidRDefault="00000000">
            <w:r>
              <w:t>Installed on-premises; consumed over the internal network</w:t>
            </w:r>
          </w:p>
        </w:tc>
      </w:tr>
      <w:tr w:rsidR="00BE3A6B" w14:paraId="1D5F409D" w14:textId="77777777">
        <w:tc>
          <w:tcPr>
            <w:tcW w:w="1701" w:type="dxa"/>
          </w:tcPr>
          <w:p w14:paraId="2319C465" w14:textId="77777777" w:rsidR="00BE3A6B" w:rsidRDefault="00000000">
            <w:r>
              <w:t>Cloudera Platform Baseline</w:t>
            </w:r>
          </w:p>
        </w:tc>
        <w:tc>
          <w:tcPr>
            <w:tcW w:w="3261" w:type="dxa"/>
          </w:tcPr>
          <w:p w14:paraId="2E901735" w14:textId="77777777" w:rsidR="00BE3A6B" w:rsidRDefault="00000000">
            <w:r>
              <w:t>Cloudera Runtime, Cloudera Manager, Cloudera Data Services, Apache Spark</w:t>
            </w:r>
          </w:p>
        </w:tc>
        <w:tc>
          <w:tcPr>
            <w:tcW w:w="4398" w:type="dxa"/>
          </w:tcPr>
          <w:p w14:paraId="68D70ECA" w14:textId="77777777" w:rsidR="00BE3A6B" w:rsidRDefault="00000000">
            <w:r>
              <w:t>Cloudera on-premises (private cloud / base cluster) deployment; Cloudera Data Services run on customer-hosted infrastructure</w:t>
            </w:r>
          </w:p>
        </w:tc>
      </w:tr>
    </w:tbl>
    <w:p w14:paraId="6A3E89B8" w14:textId="77777777" w:rsidR="00BE3A6B" w:rsidRDefault="00000000">
      <w:pPr>
        <w:pStyle w:val="Heading2"/>
      </w:pPr>
      <w:r>
        <w:lastRenderedPageBreak/>
        <w:t>4. Data Residency and Network Boundary</w:t>
      </w:r>
    </w:p>
    <w:p w14:paraId="7C364B01" w14:textId="77777777" w:rsidR="00BE3A6B" w:rsidRDefault="00000000">
      <w:pPr>
        <w:pStyle w:val="Heading3"/>
      </w:pPr>
      <w:r>
        <w:t>4.1 Data at rest</w:t>
      </w:r>
    </w:p>
    <w:p w14:paraId="49E86C89" w14:textId="77777777" w:rsidR="00BE3A6B" w:rsidRDefault="00000000">
      <w:r>
        <w:t>All data assets, including source replicas, Bronze/Silver/Gold layers, Iceberg tables, Redis caches, ML features and models, metadata, audit logs and backups, are stored on infrastructure located within the on-premises perimeter. Encryption keys are generated, stored and managed on-premises.</w:t>
      </w:r>
    </w:p>
    <w:p w14:paraId="74989151" w14:textId="77777777" w:rsidR="00BE3A6B" w:rsidRDefault="00000000">
      <w:pPr>
        <w:pStyle w:val="Heading3"/>
      </w:pPr>
      <w:r>
        <w:t>4.2 Data in motion</w:t>
      </w:r>
    </w:p>
    <w:p w14:paraId="1C0BD08E" w14:textId="77777777" w:rsidR="00BE3A6B" w:rsidRDefault="00000000">
      <w:r>
        <w:t>All data movement, including CDC replication, API and file ingestion, streaming, ELT, Gold-to-Redis cache refresh, DR replication and backup traffic, occurs only over Purchaser-controlled internal networks and dedicated inter-site links. No data flows through external networks, Internet gateways, cloud interconnects or third-party hosted relays.</w:t>
      </w:r>
    </w:p>
    <w:p w14:paraId="0C4CA271" w14:textId="77777777" w:rsidR="00BE3A6B" w:rsidRDefault="00000000">
      <w:pPr>
        <w:pStyle w:val="Heading3"/>
      </w:pPr>
      <w:r>
        <w:t>4.3 Control plane and management</w:t>
      </w:r>
    </w:p>
    <w:p w14:paraId="73008E22" w14:textId="77777777" w:rsidR="00BE3A6B" w:rsidRDefault="00000000">
      <w:r>
        <w:t>All control planes (Cloudera Manager, Oracle Enterprise Manager, GitLab, Argo CD, Airflow, WSO2, Splunk) are hosted inside the perimeter. No component depends on a vendor-hosted console, cloud licensing server or remote management service.</w:t>
      </w:r>
    </w:p>
    <w:p w14:paraId="77599A52" w14:textId="77777777" w:rsidR="00BE3A6B" w:rsidRDefault="00000000">
      <w:pPr>
        <w:pStyle w:val="Heading3"/>
      </w:pPr>
      <w:r>
        <w:t>4.4 Telemetry and vendor support</w:t>
      </w:r>
    </w:p>
    <w:p w14:paraId="43823240" w14:textId="77777777" w:rsidR="00BE3A6B" w:rsidRDefault="00000000">
      <w:r>
        <w:t>Automatic usage reporting, phone-home, call-home and cloud analytics features of all proposed products are disabled or not enabled. Vendor support is delivered through Purchaser-approved mechanisms only, such as support bundles that the Purchaser reviews before release, and supervised remote sessions where the Purchaser permits them. No vendor personnel have standing access to the CDH.</w:t>
      </w:r>
    </w:p>
    <w:p w14:paraId="74CEA1D4" w14:textId="77777777" w:rsidR="00BE3A6B" w:rsidRDefault="00000000">
      <w:pPr>
        <w:pStyle w:val="Heading3"/>
      </w:pPr>
      <w:r>
        <w:t>4.5 Network segmentation</w:t>
      </w:r>
    </w:p>
    <w:p w14:paraId="36234764" w14:textId="77777777" w:rsidR="00BE3A6B" w:rsidRDefault="00000000">
      <w:r>
        <w:t>The CDH is placed in dedicated security zones separated by Purchaser-managed firewalls. Default-deny egress rules apply to all CDH segments, with explicit allow-lists limited to approved internal source and consumer systems.</w:t>
      </w:r>
    </w:p>
    <w:p w14:paraId="02768719" w14:textId="77777777" w:rsidR="00BE3A6B" w:rsidRDefault="00000000">
      <w:pPr>
        <w:pStyle w:val="Heading2"/>
      </w:pPr>
      <w:r>
        <w:t>5. Software Delivery, Installation and Patching in a Closed Environment</w:t>
      </w:r>
    </w:p>
    <w:p w14:paraId="18296D4D" w14:textId="77777777" w:rsidR="00BE3A6B" w:rsidRDefault="00000000">
      <w:r>
        <w:t>Because the CDH has no Internet connectivity, software lifecycle activities follow an offline model.</w:t>
      </w:r>
    </w:p>
    <w:p w14:paraId="0852E4B1" w14:textId="77777777" w:rsidR="00BE3A6B" w:rsidRDefault="00000000">
      <w:pPr>
        <w:pStyle w:val="ListParagraph"/>
        <w:numPr>
          <w:ilvl w:val="0"/>
          <w:numId w:val="4"/>
        </w:numPr>
      </w:pPr>
      <w:r>
        <w:rPr>
          <w:b/>
        </w:rPr>
        <w:t>Installation media.</w:t>
      </w:r>
      <w:r>
        <w:t xml:space="preserve"> Software binaries, container images, packages and operating system repositories are delivered on verified media and loaded into an internal repository and registry within the perimeter.</w:t>
      </w:r>
    </w:p>
    <w:p w14:paraId="6F1C09E1" w14:textId="77777777" w:rsidR="00BE3A6B" w:rsidRDefault="00000000">
      <w:pPr>
        <w:pStyle w:val="ListParagraph"/>
        <w:numPr>
          <w:ilvl w:val="0"/>
          <w:numId w:val="4"/>
        </w:numPr>
      </w:pPr>
      <w:r>
        <w:rPr>
          <w:b/>
        </w:rPr>
        <w:t>Integrity verification.</w:t>
      </w:r>
      <w:r>
        <w:t xml:space="preserve"> Checksums and vendor signatures are verified before media is introduced into the environment, and media is scanned under the Purchaser’s security procedures.</w:t>
      </w:r>
    </w:p>
    <w:p w14:paraId="21B3E3B1" w14:textId="77777777" w:rsidR="00BE3A6B" w:rsidRDefault="00000000">
      <w:pPr>
        <w:pStyle w:val="ListParagraph"/>
        <w:numPr>
          <w:ilvl w:val="0"/>
          <w:numId w:val="4"/>
        </w:numPr>
      </w:pPr>
      <w:r>
        <w:rPr>
          <w:b/>
        </w:rPr>
        <w:t>Patching and upgrades.</w:t>
      </w:r>
      <w:r>
        <w:t xml:space="preserve"> Security patches, release updates and OS updates are delivered through the same controlled offline process and applied under the Purchaser’s change management.</w:t>
      </w:r>
    </w:p>
    <w:p w14:paraId="0D32C6F5" w14:textId="77777777" w:rsidR="00BE3A6B" w:rsidRDefault="00000000">
      <w:pPr>
        <w:pStyle w:val="ListParagraph"/>
        <w:numPr>
          <w:ilvl w:val="0"/>
          <w:numId w:val="4"/>
        </w:numPr>
      </w:pPr>
      <w:r>
        <w:rPr>
          <w:b/>
        </w:rPr>
        <w:t>Internal mirrors.</w:t>
      </w:r>
      <w:r>
        <w:t xml:space="preserve"> Operating system, container and package repositories are hosted internally so that no build or deployment step requires external access.</w:t>
      </w:r>
    </w:p>
    <w:p w14:paraId="70076DAF" w14:textId="79918D85" w:rsidR="00BE3A6B" w:rsidRDefault="00000000">
      <w:pPr>
        <w:pStyle w:val="ListParagraph"/>
        <w:numPr>
          <w:ilvl w:val="0"/>
          <w:numId w:val="4"/>
        </w:numPr>
      </w:pPr>
      <w:r>
        <w:rPr>
          <w:b/>
        </w:rPr>
        <w:lastRenderedPageBreak/>
        <w:t xml:space="preserve">Offline </w:t>
      </w:r>
      <w:r w:rsidR="00CD1F00">
        <w:rPr>
          <w:b/>
        </w:rPr>
        <w:t>license</w:t>
      </w:r>
      <w:r>
        <w:rPr>
          <w:b/>
        </w:rPr>
        <w:t xml:space="preserve"> activation.</w:t>
      </w:r>
      <w:r>
        <w:t xml:space="preserve"> All commercial products are activated using offline or file-based </w:t>
      </w:r>
      <w:r w:rsidR="00CD1F00">
        <w:t>license</w:t>
      </w:r>
      <w:r>
        <w:t xml:space="preserve"> mechanisms. No product requires online </w:t>
      </w:r>
      <w:r w:rsidR="00CD1F00">
        <w:t>license</w:t>
      </w:r>
      <w:r>
        <w:t xml:space="preserve"> validation.</w:t>
      </w:r>
    </w:p>
    <w:p w14:paraId="6807B3C1" w14:textId="2324F826" w:rsidR="00BE3A6B" w:rsidRDefault="00000000">
      <w:pPr>
        <w:pStyle w:val="ListParagraph"/>
        <w:numPr>
          <w:ilvl w:val="0"/>
          <w:numId w:val="4"/>
        </w:numPr>
      </w:pPr>
      <w:r>
        <w:rPr>
          <w:b/>
        </w:rPr>
        <w:t>Open-source components.</w:t>
      </w:r>
      <w:r>
        <w:t xml:space="preserve"> Open-source software (for example Prometheus, Grafana, Loki, Argo CD, Airflow) is supplied as vetted builds, within the Cloudera distribution where noted, and mirrored internally.</w:t>
      </w:r>
    </w:p>
    <w:p w14:paraId="0A87E396" w14:textId="77777777" w:rsidR="00BE3A6B" w:rsidRDefault="00000000">
      <w:pPr>
        <w:pStyle w:val="Heading2"/>
      </w:pPr>
      <w:r>
        <w:t>6. Licensing Commitment</w:t>
      </w:r>
    </w:p>
    <w:p w14:paraId="1A329742" w14:textId="77777777" w:rsidR="00BE3A6B" w:rsidRDefault="00000000">
      <w:pPr>
        <w:pStyle w:val="Heading3"/>
      </w:pPr>
      <w:r>
        <w:t>6.1 Scope</w:t>
      </w:r>
    </w:p>
    <w:p w14:paraId="21E1876F" w14:textId="1B98BE58" w:rsidR="00BE3A6B" w:rsidRDefault="00000000">
      <w:r>
        <w:t xml:space="preserve">All software and operating system </w:t>
      </w:r>
      <w:r w:rsidR="00CD1F00">
        <w:t>licenses</w:t>
      </w:r>
      <w:r>
        <w:t xml:space="preserve"> necessary for the CDH are included in this proposal, for the quantities and capacity required by the proposed sizing across all environments (production, DR and non-production). No additional </w:t>
      </w:r>
      <w:r w:rsidR="00CD1F00">
        <w:t>licenses</w:t>
      </w:r>
      <w:r>
        <w:t>, subscriptions or options will be required from the Purchaser to deploy or operate the proposed solution as described.</w:t>
      </w:r>
    </w:p>
    <w:p w14:paraId="64157999" w14:textId="0080DD04" w:rsidR="00BE3A6B" w:rsidRDefault="00000000">
      <w:pPr>
        <w:pStyle w:val="Heading3"/>
      </w:pPr>
      <w:r>
        <w:t xml:space="preserve">6.2 </w:t>
      </w:r>
      <w:r w:rsidR="00CD1F00">
        <w:t>License</w:t>
      </w:r>
      <w:r>
        <w:t xml:space="preserve"> coverage</w:t>
      </w:r>
    </w:p>
    <w:tbl>
      <w:tblPr>
        <w:tblStyle w:val="TableGrid"/>
        <w:tblW w:w="0" w:type="auto"/>
        <w:tblLayout w:type="fixed"/>
        <w:tblLook w:val="0420" w:firstRow="1" w:lastRow="0" w:firstColumn="0" w:lastColumn="0" w:noHBand="0" w:noVBand="1"/>
      </w:tblPr>
      <w:tblGrid>
        <w:gridCol w:w="4440"/>
        <w:gridCol w:w="4920"/>
      </w:tblGrid>
      <w:tr w:rsidR="00BE3A6B" w14:paraId="26DAFAB9" w14:textId="77777777">
        <w:trPr>
          <w:tblHeader/>
        </w:trPr>
        <w:tc>
          <w:tcPr>
            <w:tcW w:w="4440" w:type="dxa"/>
            <w:shd w:val="clear" w:color="auto" w:fill="F2F2F2"/>
          </w:tcPr>
          <w:p w14:paraId="26E6DF57" w14:textId="77777777" w:rsidR="00BE3A6B" w:rsidRDefault="00000000">
            <w:r>
              <w:t>Category</w:t>
            </w:r>
          </w:p>
        </w:tc>
        <w:tc>
          <w:tcPr>
            <w:tcW w:w="4920" w:type="dxa"/>
            <w:shd w:val="clear" w:color="auto" w:fill="F2F2F2"/>
          </w:tcPr>
          <w:p w14:paraId="0212D0A5" w14:textId="77777777" w:rsidR="00BE3A6B" w:rsidRDefault="00000000">
            <w:r>
              <w:t>Coverage included in proposal</w:t>
            </w:r>
          </w:p>
        </w:tc>
      </w:tr>
      <w:tr w:rsidR="00BE3A6B" w14:paraId="1E57F7B1" w14:textId="77777777">
        <w:tc>
          <w:tcPr>
            <w:tcW w:w="4440" w:type="dxa"/>
          </w:tcPr>
          <w:p w14:paraId="39D14834" w14:textId="77777777" w:rsidR="00BE3A6B" w:rsidRDefault="00000000">
            <w:r>
              <w:t>Commercial application and data platform software</w:t>
            </w:r>
          </w:p>
        </w:tc>
        <w:tc>
          <w:tcPr>
            <w:tcW w:w="4920" w:type="dxa"/>
          </w:tcPr>
          <w:p w14:paraId="2CCBB7D3" w14:textId="77777777" w:rsidR="00BE3A6B" w:rsidRDefault="00000000">
            <w:r>
              <w:t xml:space="preserve">Oracle (Database/Exadata, RAC, Data Guard, </w:t>
            </w:r>
            <w:proofErr w:type="spellStart"/>
            <w:r>
              <w:t>GoldenGate</w:t>
            </w:r>
            <w:proofErr w:type="spellEnd"/>
            <w:r>
              <w:t xml:space="preserve">, ODI, Enterprise Manager, Analytics Server), Cloudera (Runtime, Manager, Data Services, Data Engineering, Streaming, AI, Advanced Security), Redis Enterprise, </w:t>
            </w:r>
            <w:proofErr w:type="spellStart"/>
            <w:r>
              <w:t>Semarchy</w:t>
            </w:r>
            <w:proofErr w:type="spellEnd"/>
            <w:r>
              <w:t xml:space="preserve">, Tableau Server, Splunk Enterprise, Cohesity NetBackup, WSO2 API Manager, HPE </w:t>
            </w:r>
            <w:proofErr w:type="spellStart"/>
            <w:r>
              <w:t>Alletra</w:t>
            </w:r>
            <w:proofErr w:type="spellEnd"/>
            <w:r>
              <w:t xml:space="preserve"> X10000 software and firmware entitlements</w:t>
            </w:r>
          </w:p>
        </w:tc>
      </w:tr>
      <w:tr w:rsidR="00BE3A6B" w14:paraId="75AAF86A" w14:textId="77777777">
        <w:tc>
          <w:tcPr>
            <w:tcW w:w="4440" w:type="dxa"/>
          </w:tcPr>
          <w:p w14:paraId="2FC5F334" w14:textId="77777777" w:rsidR="00BE3A6B" w:rsidRDefault="00000000">
            <w:r>
              <w:t>Open-source components</w:t>
            </w:r>
          </w:p>
        </w:tc>
        <w:tc>
          <w:tcPr>
            <w:tcW w:w="4920" w:type="dxa"/>
          </w:tcPr>
          <w:p w14:paraId="580FEAAE" w14:textId="77777777" w:rsidR="00BE3A6B" w:rsidRDefault="00000000">
            <w:r>
              <w:t xml:space="preserve">Apache </w:t>
            </w:r>
            <w:proofErr w:type="spellStart"/>
            <w:r>
              <w:t>NiFi</w:t>
            </w:r>
            <w:proofErr w:type="spellEnd"/>
            <w:r>
              <w:t xml:space="preserve">, Kafka, Iceberg, Spark, Flink, Airflow, Prometheus, Grafana, Loki, Argo CD, GitLab (self-managed edition or subscription tier as stated in the proposal); supplied under their open-source </w:t>
            </w:r>
            <w:proofErr w:type="spellStart"/>
            <w:r>
              <w:t>licences</w:t>
            </w:r>
            <w:proofErr w:type="spellEnd"/>
            <w:r>
              <w:t>, with commercial support where provided by the distributor</w:t>
            </w:r>
          </w:p>
        </w:tc>
      </w:tr>
      <w:tr w:rsidR="00BE3A6B" w14:paraId="6D431811" w14:textId="77777777">
        <w:tc>
          <w:tcPr>
            <w:tcW w:w="4440" w:type="dxa"/>
          </w:tcPr>
          <w:p w14:paraId="3B08E73B" w14:textId="77777777" w:rsidR="00BE3A6B" w:rsidRDefault="00000000">
            <w:r>
              <w:t>Operating systems</w:t>
            </w:r>
          </w:p>
        </w:tc>
        <w:tc>
          <w:tcPr>
            <w:tcW w:w="4920" w:type="dxa"/>
          </w:tcPr>
          <w:p w14:paraId="5F9B8B7D" w14:textId="77777777" w:rsidR="00BE3A6B" w:rsidRDefault="00000000">
            <w:r>
              <w:t xml:space="preserve">Enterprise Linux operating system subscriptions for all physical and virtual nodes in all environments, plus any Windows Server </w:t>
            </w:r>
            <w:proofErr w:type="spellStart"/>
            <w:r>
              <w:t>licences</w:t>
            </w:r>
            <w:proofErr w:type="spellEnd"/>
            <w:r>
              <w:t xml:space="preserve"> required by proposed components; hypervisor or container platform </w:t>
            </w:r>
            <w:proofErr w:type="spellStart"/>
            <w:r>
              <w:t>licences</w:t>
            </w:r>
            <w:proofErr w:type="spellEnd"/>
            <w:r>
              <w:t xml:space="preserve"> where used</w:t>
            </w:r>
          </w:p>
        </w:tc>
      </w:tr>
      <w:tr w:rsidR="00BE3A6B" w14:paraId="39457B10" w14:textId="77777777">
        <w:tc>
          <w:tcPr>
            <w:tcW w:w="4440" w:type="dxa"/>
          </w:tcPr>
          <w:p w14:paraId="41FF4654" w14:textId="77777777" w:rsidR="00BE3A6B" w:rsidRDefault="00000000">
            <w:r>
              <w:t>Support and maintenance</w:t>
            </w:r>
          </w:p>
        </w:tc>
        <w:tc>
          <w:tcPr>
            <w:tcW w:w="4920" w:type="dxa"/>
          </w:tcPr>
          <w:p w14:paraId="7939CB9F" w14:textId="77777777" w:rsidR="00BE3A6B" w:rsidRDefault="00000000">
            <w:r>
              <w:t>Vendor support and software updates for the full contract term, including patch and release entitlement</w:t>
            </w:r>
          </w:p>
        </w:tc>
      </w:tr>
      <w:tr w:rsidR="00BE3A6B" w14:paraId="68D721BD" w14:textId="77777777">
        <w:tc>
          <w:tcPr>
            <w:tcW w:w="4440" w:type="dxa"/>
          </w:tcPr>
          <w:p w14:paraId="398EE8A8" w14:textId="52FCE4A2" w:rsidR="00BE3A6B" w:rsidRDefault="00CD1F00">
            <w:r>
              <w:t>License</w:t>
            </w:r>
            <w:r w:rsidR="00000000">
              <w:t xml:space="preserve"> term and renewal</w:t>
            </w:r>
          </w:p>
        </w:tc>
        <w:tc>
          <w:tcPr>
            <w:tcW w:w="4920" w:type="dxa"/>
          </w:tcPr>
          <w:p w14:paraId="3A8058B0" w14:textId="2C20F5E0" w:rsidR="00BE3A6B" w:rsidRDefault="00CD1F00">
            <w:r>
              <w:t>License</w:t>
            </w:r>
            <w:r w:rsidR="00000000">
              <w:t xml:space="preserve"> and support terms aligned with the contract period</w:t>
            </w:r>
          </w:p>
        </w:tc>
      </w:tr>
    </w:tbl>
    <w:p w14:paraId="20364CA5" w14:textId="207EFABB" w:rsidR="00BE3A6B" w:rsidRDefault="00000000">
      <w:pPr>
        <w:pStyle w:val="Heading3"/>
      </w:pPr>
      <w:r>
        <w:lastRenderedPageBreak/>
        <w:t xml:space="preserve">6.3 </w:t>
      </w:r>
      <w:r w:rsidR="00CD1F00">
        <w:t>License</w:t>
      </w:r>
      <w:r>
        <w:t xml:space="preserve"> metrics</w:t>
      </w:r>
    </w:p>
    <w:p w14:paraId="5E270884" w14:textId="0FAF6772" w:rsidR="00BE3A6B" w:rsidRDefault="00CD1F00">
      <w:r>
        <w:t>License</w:t>
      </w:r>
      <w:r w:rsidR="00000000">
        <w:t xml:space="preserve"> metrics sized against the proposed infrastructure and the Purchaser’s growth projections. </w:t>
      </w:r>
      <w:r>
        <w:t>Licenses</w:t>
      </w:r>
      <w:r w:rsidR="00000000">
        <w:t xml:space="preserve"> are valid for on-premises deployment and do not depend on cloud-based entitlement checks.</w:t>
      </w:r>
    </w:p>
    <w:p w14:paraId="1A7EA119" w14:textId="77777777" w:rsidR="00BE3A6B" w:rsidRDefault="00000000">
      <w:pPr>
        <w:pStyle w:val="Heading3"/>
      </w:pPr>
      <w:r>
        <w:t>6.4 Purchaser-provided and PRAL-supported services</w:t>
      </w:r>
    </w:p>
    <w:p w14:paraId="06F6FA34" w14:textId="77777777" w:rsidR="00BE3A6B" w:rsidRDefault="00000000">
      <w:r>
        <w:t xml:space="preserve">The identity services (SSO and AD / LDAP) and Splunk Enterprise SIEM are indicated in the architecture as supported by PRAL. Where these services are existing Purchaser or PRAL assets, they are integrated as internal dependencies. Where the evaluation requires them to be supplied by the vendor, their </w:t>
      </w:r>
      <w:proofErr w:type="spellStart"/>
      <w:r>
        <w:t>licences</w:t>
      </w:r>
      <w:proofErr w:type="spellEnd"/>
      <w:r>
        <w:t xml:space="preserve"> are included in this proposal. The commercial proposal states explicitly which of these are supplied and which are integrated.</w:t>
      </w:r>
    </w:p>
    <w:p w14:paraId="4BE94042" w14:textId="77777777" w:rsidR="00BE3A6B" w:rsidRDefault="00000000">
      <w:pPr>
        <w:pStyle w:val="Heading2"/>
      </w:pPr>
      <w:r>
        <w:t>7. Compliance Matrix</w:t>
      </w:r>
    </w:p>
    <w:tbl>
      <w:tblPr>
        <w:tblStyle w:val="TableGrid"/>
        <w:tblW w:w="0" w:type="auto"/>
        <w:tblLayout w:type="fixed"/>
        <w:tblLook w:val="0420" w:firstRow="1" w:lastRow="0" w:firstColumn="0" w:lastColumn="0" w:noHBand="0" w:noVBand="1"/>
      </w:tblPr>
      <w:tblGrid>
        <w:gridCol w:w="5326"/>
        <w:gridCol w:w="1333"/>
        <w:gridCol w:w="2699"/>
      </w:tblGrid>
      <w:tr w:rsidR="00BE3A6B" w14:paraId="72CFDD1A" w14:textId="77777777">
        <w:trPr>
          <w:tblHeader/>
        </w:trPr>
        <w:tc>
          <w:tcPr>
            <w:tcW w:w="5326" w:type="dxa"/>
            <w:shd w:val="clear" w:color="auto" w:fill="F2F2F2"/>
          </w:tcPr>
          <w:p w14:paraId="4E52F3A0" w14:textId="77777777" w:rsidR="00BE3A6B" w:rsidRDefault="00000000">
            <w:r>
              <w:t>Requirement</w:t>
            </w:r>
          </w:p>
        </w:tc>
        <w:tc>
          <w:tcPr>
            <w:tcW w:w="1333" w:type="dxa"/>
            <w:shd w:val="clear" w:color="auto" w:fill="F2F2F2"/>
          </w:tcPr>
          <w:p w14:paraId="5F591E2F" w14:textId="77777777" w:rsidR="00BE3A6B" w:rsidRDefault="00000000">
            <w:r>
              <w:t>Response</w:t>
            </w:r>
          </w:p>
        </w:tc>
        <w:tc>
          <w:tcPr>
            <w:tcW w:w="2699" w:type="dxa"/>
            <w:shd w:val="clear" w:color="auto" w:fill="F2F2F2"/>
          </w:tcPr>
          <w:p w14:paraId="78E7E1D7" w14:textId="77777777" w:rsidR="00BE3A6B" w:rsidRDefault="00000000">
            <w:r>
              <w:t>Reference</w:t>
            </w:r>
          </w:p>
        </w:tc>
      </w:tr>
      <w:tr w:rsidR="00BE3A6B" w14:paraId="52850B0C" w14:textId="77777777">
        <w:tc>
          <w:tcPr>
            <w:tcW w:w="5326" w:type="dxa"/>
          </w:tcPr>
          <w:p w14:paraId="2B623325" w14:textId="77777777" w:rsidR="00BE3A6B" w:rsidRDefault="00000000">
            <w:r>
              <w:t>No component resides on public cloud</w:t>
            </w:r>
          </w:p>
        </w:tc>
        <w:tc>
          <w:tcPr>
            <w:tcW w:w="1333" w:type="dxa"/>
          </w:tcPr>
          <w:p w14:paraId="7150E04A" w14:textId="77777777" w:rsidR="00BE3A6B" w:rsidRDefault="00000000">
            <w:r>
              <w:rPr>
                <w:b/>
              </w:rPr>
              <w:t>Complied</w:t>
            </w:r>
          </w:p>
        </w:tc>
        <w:tc>
          <w:tcPr>
            <w:tcW w:w="2699" w:type="dxa"/>
          </w:tcPr>
          <w:p w14:paraId="46B96C85" w14:textId="77777777" w:rsidR="00BE3A6B" w:rsidRDefault="00000000">
            <w:r>
              <w:t>Sections 2, 3</w:t>
            </w:r>
          </w:p>
        </w:tc>
      </w:tr>
      <w:tr w:rsidR="00BE3A6B" w14:paraId="3E66314D" w14:textId="77777777">
        <w:tc>
          <w:tcPr>
            <w:tcW w:w="5326" w:type="dxa"/>
          </w:tcPr>
          <w:p w14:paraId="5505B84E" w14:textId="77777777" w:rsidR="00BE3A6B" w:rsidRDefault="00000000">
            <w:r>
              <w:t>No pipeline or process transits public cloud or external networks</w:t>
            </w:r>
          </w:p>
        </w:tc>
        <w:tc>
          <w:tcPr>
            <w:tcW w:w="1333" w:type="dxa"/>
          </w:tcPr>
          <w:p w14:paraId="577C6638" w14:textId="77777777" w:rsidR="00BE3A6B" w:rsidRDefault="00000000">
            <w:r>
              <w:rPr>
                <w:b/>
              </w:rPr>
              <w:t>Complied</w:t>
            </w:r>
          </w:p>
        </w:tc>
        <w:tc>
          <w:tcPr>
            <w:tcW w:w="2699" w:type="dxa"/>
          </w:tcPr>
          <w:p w14:paraId="5A6A6309" w14:textId="77777777" w:rsidR="00BE3A6B" w:rsidRDefault="00000000">
            <w:r>
              <w:t>Sections 4.2, 4.3, 4.5</w:t>
            </w:r>
          </w:p>
        </w:tc>
      </w:tr>
      <w:tr w:rsidR="00BE3A6B" w14:paraId="1A8196DB" w14:textId="77777777">
        <w:tc>
          <w:tcPr>
            <w:tcW w:w="5326" w:type="dxa"/>
          </w:tcPr>
          <w:p w14:paraId="717E396D" w14:textId="77777777" w:rsidR="00BE3A6B" w:rsidRDefault="00000000">
            <w:r>
              <w:t>No data asset resides outside the on-premises perimeter</w:t>
            </w:r>
          </w:p>
        </w:tc>
        <w:tc>
          <w:tcPr>
            <w:tcW w:w="1333" w:type="dxa"/>
          </w:tcPr>
          <w:p w14:paraId="126DFE5D" w14:textId="77777777" w:rsidR="00BE3A6B" w:rsidRDefault="00000000">
            <w:r>
              <w:rPr>
                <w:b/>
              </w:rPr>
              <w:t>Complied</w:t>
            </w:r>
          </w:p>
        </w:tc>
        <w:tc>
          <w:tcPr>
            <w:tcW w:w="2699" w:type="dxa"/>
          </w:tcPr>
          <w:p w14:paraId="20C401B1" w14:textId="77777777" w:rsidR="00BE3A6B" w:rsidRDefault="00000000">
            <w:r>
              <w:t>Section 4.1</w:t>
            </w:r>
          </w:p>
        </w:tc>
      </w:tr>
      <w:tr w:rsidR="00BE3A6B" w14:paraId="52D10F46" w14:textId="77777777">
        <w:tc>
          <w:tcPr>
            <w:tcW w:w="5326" w:type="dxa"/>
          </w:tcPr>
          <w:p w14:paraId="788501D5" w14:textId="77777777" w:rsidR="00BE3A6B" w:rsidRDefault="00000000">
            <w:r>
              <w:t>Complete CDH operates exclusively within the designated perimeter</w:t>
            </w:r>
          </w:p>
        </w:tc>
        <w:tc>
          <w:tcPr>
            <w:tcW w:w="1333" w:type="dxa"/>
          </w:tcPr>
          <w:p w14:paraId="21A44403" w14:textId="77777777" w:rsidR="00BE3A6B" w:rsidRDefault="00000000">
            <w:r>
              <w:rPr>
                <w:b/>
              </w:rPr>
              <w:t>Complied</w:t>
            </w:r>
          </w:p>
        </w:tc>
        <w:tc>
          <w:tcPr>
            <w:tcW w:w="2699" w:type="dxa"/>
          </w:tcPr>
          <w:p w14:paraId="35D1F5D7" w14:textId="77777777" w:rsidR="00BE3A6B" w:rsidRDefault="00000000">
            <w:r>
              <w:t>Sections 2, 4</w:t>
            </w:r>
          </w:p>
        </w:tc>
      </w:tr>
      <w:tr w:rsidR="00BE3A6B" w14:paraId="1E1AEB44" w14:textId="77777777">
        <w:tc>
          <w:tcPr>
            <w:tcW w:w="5326" w:type="dxa"/>
          </w:tcPr>
          <w:p w14:paraId="3943C5EC" w14:textId="0B538DE8" w:rsidR="00BE3A6B" w:rsidRDefault="00000000">
            <w:r>
              <w:t xml:space="preserve">All software </w:t>
            </w:r>
            <w:r w:rsidR="00CD1F00">
              <w:t>licenses</w:t>
            </w:r>
            <w:r>
              <w:t xml:space="preserve"> included</w:t>
            </w:r>
          </w:p>
        </w:tc>
        <w:tc>
          <w:tcPr>
            <w:tcW w:w="1333" w:type="dxa"/>
          </w:tcPr>
          <w:p w14:paraId="780CD23C" w14:textId="77777777" w:rsidR="00BE3A6B" w:rsidRDefault="00000000">
            <w:r>
              <w:rPr>
                <w:b/>
              </w:rPr>
              <w:t>Complied</w:t>
            </w:r>
          </w:p>
        </w:tc>
        <w:tc>
          <w:tcPr>
            <w:tcW w:w="2699" w:type="dxa"/>
          </w:tcPr>
          <w:p w14:paraId="1EEA5065" w14:textId="77777777" w:rsidR="00BE3A6B" w:rsidRDefault="00000000">
            <w:r>
              <w:t>Section 6</w:t>
            </w:r>
          </w:p>
        </w:tc>
      </w:tr>
      <w:tr w:rsidR="00BE3A6B" w14:paraId="2C7EB9E6" w14:textId="77777777">
        <w:tc>
          <w:tcPr>
            <w:tcW w:w="5326" w:type="dxa"/>
          </w:tcPr>
          <w:p w14:paraId="09C04881" w14:textId="4E0CB0EA" w:rsidR="00BE3A6B" w:rsidRDefault="00000000">
            <w:r>
              <w:t xml:space="preserve">All operating system </w:t>
            </w:r>
            <w:r w:rsidR="00CD1F00">
              <w:t>licenses</w:t>
            </w:r>
            <w:r>
              <w:t xml:space="preserve"> included</w:t>
            </w:r>
          </w:p>
        </w:tc>
        <w:tc>
          <w:tcPr>
            <w:tcW w:w="1333" w:type="dxa"/>
          </w:tcPr>
          <w:p w14:paraId="30AA2434" w14:textId="77777777" w:rsidR="00BE3A6B" w:rsidRDefault="00000000">
            <w:r>
              <w:rPr>
                <w:b/>
              </w:rPr>
              <w:t>Complied</w:t>
            </w:r>
          </w:p>
        </w:tc>
        <w:tc>
          <w:tcPr>
            <w:tcW w:w="2699" w:type="dxa"/>
          </w:tcPr>
          <w:p w14:paraId="0A3BA03B" w14:textId="77777777" w:rsidR="00BE3A6B" w:rsidRDefault="00000000">
            <w:r>
              <w:t>Section 6.2</w:t>
            </w:r>
          </w:p>
        </w:tc>
      </w:tr>
    </w:tbl>
    <w:p w14:paraId="14AE6474" w14:textId="77777777" w:rsidR="00BE3A6B" w:rsidRDefault="00000000">
      <w:pPr>
        <w:pStyle w:val="Heading2"/>
      </w:pPr>
      <w:r>
        <w:t>8. Assurance and Verification</w:t>
      </w:r>
    </w:p>
    <w:p w14:paraId="01507CF4" w14:textId="77777777" w:rsidR="00BE3A6B" w:rsidRDefault="00000000">
      <w:r>
        <w:t>To allow the Purchaser to verify compliance throughout delivery and operation, we will:</w:t>
      </w:r>
    </w:p>
    <w:p w14:paraId="07D642B5" w14:textId="77777777" w:rsidR="00BE3A6B" w:rsidRDefault="00000000">
      <w:pPr>
        <w:pStyle w:val="ListParagraph"/>
        <w:numPr>
          <w:ilvl w:val="0"/>
          <w:numId w:val="5"/>
        </w:numPr>
      </w:pPr>
      <w:r>
        <w:t>Provide network and data-flow diagrams showing all zones, interfaces and permitted flows, with no external paths.</w:t>
      </w:r>
    </w:p>
    <w:p w14:paraId="41C9D7B9" w14:textId="77777777" w:rsidR="00BE3A6B" w:rsidRDefault="00000000">
      <w:pPr>
        <w:pStyle w:val="ListParagraph"/>
        <w:numPr>
          <w:ilvl w:val="0"/>
          <w:numId w:val="5"/>
        </w:numPr>
      </w:pPr>
      <w:r>
        <w:t xml:space="preserve">Provide a software bill of materials and </w:t>
      </w:r>
      <w:proofErr w:type="spellStart"/>
      <w:r>
        <w:t>licence</w:t>
      </w:r>
      <w:proofErr w:type="spellEnd"/>
      <w:r>
        <w:t xml:space="preserve"> register for every installed component.</w:t>
      </w:r>
    </w:p>
    <w:p w14:paraId="77659B80" w14:textId="77777777" w:rsidR="00BE3A6B" w:rsidRDefault="00000000">
      <w:pPr>
        <w:pStyle w:val="ListParagraph"/>
        <w:numPr>
          <w:ilvl w:val="0"/>
          <w:numId w:val="5"/>
        </w:numPr>
      </w:pPr>
      <w:r>
        <w:t>Demonstrate during acceptance testing that CDH segments have no outbound connectivity, and that all components function with the Internet path blocked.</w:t>
      </w:r>
    </w:p>
    <w:p w14:paraId="100B6401" w14:textId="77777777" w:rsidR="00BE3A6B" w:rsidRDefault="00000000">
      <w:pPr>
        <w:pStyle w:val="ListParagraph"/>
        <w:numPr>
          <w:ilvl w:val="0"/>
          <w:numId w:val="5"/>
        </w:numPr>
      </w:pPr>
      <w:r>
        <w:t>Confirm that telemetry, phone-home and cloud licensing features are disabled for each product.</w:t>
      </w:r>
    </w:p>
    <w:p w14:paraId="2008406C" w14:textId="77777777" w:rsidR="00BE3A6B" w:rsidRDefault="00000000">
      <w:pPr>
        <w:pStyle w:val="ListParagraph"/>
        <w:numPr>
          <w:ilvl w:val="0"/>
          <w:numId w:val="5"/>
        </w:numPr>
      </w:pPr>
      <w:r>
        <w:t>Support periodic compliance audits and review of firewall rules, logs and configurations by the Purchaser or its nominated auditors.</w:t>
      </w:r>
    </w:p>
    <w:p w14:paraId="779C42B4" w14:textId="77777777" w:rsidR="00BE3A6B" w:rsidRDefault="00000000">
      <w:pPr>
        <w:pStyle w:val="ListParagraph"/>
        <w:numPr>
          <w:ilvl w:val="0"/>
          <w:numId w:val="5"/>
        </w:numPr>
      </w:pPr>
      <w:r>
        <w:t>Notify the Purchaser before any change that could affect the perimeter or introduce an external dependency, and implement such a change only with written approval.</w:t>
      </w:r>
    </w:p>
    <w:p w14:paraId="40B7DA91" w14:textId="77777777" w:rsidR="00BE3A6B" w:rsidRDefault="00000000">
      <w:pPr>
        <w:pStyle w:val="Heading2"/>
      </w:pPr>
      <w:r>
        <w:lastRenderedPageBreak/>
        <w:t>9. Conclusion</w:t>
      </w:r>
    </w:p>
    <w:p w14:paraId="6848CB29" w14:textId="0FF51476" w:rsidR="00BE3A6B" w:rsidRDefault="00000000">
      <w:r>
        <w:t xml:space="preserve">The proposed CDH is an entirely on-premises solution. Every component runs within the Purchaser’s designated network perimeter, no data or process leaves it, and all required software and operating system </w:t>
      </w:r>
      <w:r w:rsidR="00CD1F00">
        <w:t>licenses</w:t>
      </w:r>
      <w:r>
        <w:t xml:space="preserve"> are included in this proposal.</w:t>
      </w:r>
    </w:p>
    <w:sectPr w:rsidR="00BE3A6B">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DE94584"/>
    <w:multiLevelType w:val="hybridMultilevel"/>
    <w:tmpl w:val="DF30E47E"/>
    <w:lvl w:ilvl="0" w:tplc="4CC0F972">
      <w:start w:val="1"/>
      <w:numFmt w:val="bullet"/>
      <w:lvlText w:val="•"/>
      <w:lvlJc w:val="left"/>
      <w:pPr>
        <w:ind w:left="720" w:hanging="360"/>
      </w:pPr>
    </w:lvl>
    <w:lvl w:ilvl="1" w:tplc="39666E76">
      <w:start w:val="1"/>
      <w:numFmt w:val="bullet"/>
      <w:lvlText w:val="o"/>
      <w:lvlJc w:val="left"/>
      <w:pPr>
        <w:ind w:left="1440" w:hanging="360"/>
      </w:pPr>
    </w:lvl>
    <w:lvl w:ilvl="2" w:tplc="09185E66">
      <w:start w:val="1"/>
      <w:numFmt w:val="bullet"/>
      <w:lvlText w:val="▪"/>
      <w:lvlJc w:val="left"/>
      <w:pPr>
        <w:ind w:left="2160" w:hanging="360"/>
      </w:pPr>
    </w:lvl>
    <w:lvl w:ilvl="3" w:tplc="E148162C">
      <w:start w:val="1"/>
      <w:numFmt w:val="bullet"/>
      <w:lvlText w:val="•"/>
      <w:lvlJc w:val="left"/>
      <w:pPr>
        <w:ind w:left="2880" w:hanging="360"/>
      </w:pPr>
    </w:lvl>
    <w:lvl w:ilvl="4" w:tplc="DD8CF9E2">
      <w:start w:val="1"/>
      <w:numFmt w:val="bullet"/>
      <w:lvlText w:val="o"/>
      <w:lvlJc w:val="left"/>
      <w:pPr>
        <w:ind w:left="3600" w:hanging="360"/>
      </w:pPr>
    </w:lvl>
    <w:lvl w:ilvl="5" w:tplc="06AE9B3E">
      <w:start w:val="1"/>
      <w:numFmt w:val="bullet"/>
      <w:lvlText w:val="▪"/>
      <w:lvlJc w:val="left"/>
      <w:pPr>
        <w:ind w:left="4320" w:hanging="360"/>
      </w:pPr>
    </w:lvl>
    <w:lvl w:ilvl="6" w:tplc="49EAF32E">
      <w:start w:val="1"/>
      <w:numFmt w:val="bullet"/>
      <w:lvlText w:val="•"/>
      <w:lvlJc w:val="left"/>
      <w:pPr>
        <w:ind w:left="5040" w:hanging="360"/>
      </w:pPr>
    </w:lvl>
    <w:lvl w:ilvl="7" w:tplc="F00EC8DC">
      <w:start w:val="1"/>
      <w:numFmt w:val="bullet"/>
      <w:lvlText w:val="o"/>
      <w:lvlJc w:val="left"/>
      <w:pPr>
        <w:ind w:left="5760" w:hanging="360"/>
      </w:pPr>
    </w:lvl>
    <w:lvl w:ilvl="8" w:tplc="535C58FC">
      <w:start w:val="1"/>
      <w:numFmt w:val="bullet"/>
      <w:lvlText w:val="▪"/>
      <w:lvlJc w:val="left"/>
      <w:pPr>
        <w:ind w:left="6480" w:hanging="360"/>
      </w:pPr>
    </w:lvl>
  </w:abstractNum>
  <w:abstractNum w:abstractNumId="1" w15:restartNumberingAfterBreak="0">
    <w:nsid w:val="7EF9752B"/>
    <w:multiLevelType w:val="hybridMultilevel"/>
    <w:tmpl w:val="621AE9D8"/>
    <w:lvl w:ilvl="0" w:tplc="B4163632">
      <w:start w:val="1"/>
      <w:numFmt w:val="decimal"/>
      <w:lvlText w:val="%1."/>
      <w:lvlJc w:val="left"/>
      <w:pPr>
        <w:ind w:left="720" w:hanging="360"/>
      </w:pPr>
    </w:lvl>
    <w:lvl w:ilvl="1" w:tplc="6F42ACCC">
      <w:start w:val="1"/>
      <w:numFmt w:val="lowerLetter"/>
      <w:lvlText w:val="%2."/>
      <w:lvlJc w:val="left"/>
      <w:pPr>
        <w:ind w:left="1440" w:hanging="360"/>
      </w:pPr>
    </w:lvl>
    <w:lvl w:ilvl="2" w:tplc="9B58E99C">
      <w:start w:val="1"/>
      <w:numFmt w:val="lowerRoman"/>
      <w:lvlText w:val="%3."/>
      <w:lvlJc w:val="left"/>
      <w:pPr>
        <w:ind w:left="2160" w:hanging="360"/>
      </w:pPr>
    </w:lvl>
    <w:lvl w:ilvl="3" w:tplc="9DFA092C">
      <w:start w:val="1"/>
      <w:numFmt w:val="decimal"/>
      <w:lvlText w:val="%4."/>
      <w:lvlJc w:val="left"/>
      <w:pPr>
        <w:ind w:left="2880" w:hanging="360"/>
      </w:pPr>
    </w:lvl>
    <w:lvl w:ilvl="4" w:tplc="4176C434">
      <w:start w:val="1"/>
      <w:numFmt w:val="lowerLetter"/>
      <w:lvlText w:val="%5."/>
      <w:lvlJc w:val="left"/>
      <w:pPr>
        <w:ind w:left="3600" w:hanging="360"/>
      </w:pPr>
    </w:lvl>
    <w:lvl w:ilvl="5" w:tplc="BA722072">
      <w:start w:val="1"/>
      <w:numFmt w:val="lowerRoman"/>
      <w:lvlText w:val="%6."/>
      <w:lvlJc w:val="left"/>
      <w:pPr>
        <w:ind w:left="4320" w:hanging="360"/>
      </w:pPr>
    </w:lvl>
    <w:lvl w:ilvl="6" w:tplc="1432FF9C">
      <w:start w:val="1"/>
      <w:numFmt w:val="decimal"/>
      <w:lvlText w:val="%7."/>
      <w:lvlJc w:val="left"/>
      <w:pPr>
        <w:ind w:left="5040" w:hanging="360"/>
      </w:pPr>
    </w:lvl>
    <w:lvl w:ilvl="7" w:tplc="C50250D2">
      <w:start w:val="1"/>
      <w:numFmt w:val="lowerLetter"/>
      <w:lvlText w:val="%8."/>
      <w:lvlJc w:val="left"/>
      <w:pPr>
        <w:ind w:left="5760" w:hanging="360"/>
      </w:pPr>
    </w:lvl>
    <w:lvl w:ilvl="8" w:tplc="05864EF8">
      <w:start w:val="1"/>
      <w:numFmt w:val="lowerRoman"/>
      <w:lvlText w:val="%9."/>
      <w:lvlJc w:val="left"/>
      <w:pPr>
        <w:ind w:left="6480" w:hanging="360"/>
      </w:pPr>
    </w:lvl>
  </w:abstractNum>
  <w:num w:numId="1" w16cid:durableId="265190585">
    <w:abstractNumId w:val="0"/>
  </w:num>
  <w:num w:numId="2" w16cid:durableId="140466357">
    <w:abstractNumId w:val="0"/>
  </w:num>
  <w:num w:numId="3" w16cid:durableId="1319189900">
    <w:abstractNumId w:val="1"/>
    <w:lvlOverride w:ilvl="0">
      <w:startOverride w:val="1"/>
    </w:lvlOverride>
  </w:num>
  <w:num w:numId="4" w16cid:durableId="203449503">
    <w:abstractNumId w:val="0"/>
  </w:num>
  <w:num w:numId="5" w16cid:durableId="117303043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BE3A6B"/>
    <w:rsid w:val="00125891"/>
    <w:rsid w:val="00900FE9"/>
    <w:rsid w:val="009F7D75"/>
    <w:rsid w:val="00BE3A6B"/>
    <w:rsid w:val="00CD1F00"/>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D434B7"/>
  <w15:docId w15:val="{130BB7A3-4E56-41FF-9AAC-8EA454DC30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spacing w:before="360" w:after="120"/>
      <w:outlineLvl w:val="0"/>
    </w:pPr>
    <w:rPr>
      <w:b/>
      <w:sz w:val="32"/>
    </w:rPr>
  </w:style>
  <w:style w:type="paragraph" w:styleId="Heading2">
    <w:name w:val="heading 2"/>
    <w:basedOn w:val="Normal"/>
    <w:next w:val="Normal"/>
    <w:uiPriority w:val="9"/>
    <w:unhideWhenUsed/>
    <w:qFormat/>
    <w:pPr>
      <w:keepNext/>
      <w:spacing w:before="280" w:after="100"/>
      <w:outlineLvl w:val="1"/>
    </w:pPr>
    <w:rPr>
      <w:b/>
      <w:sz w:val="26"/>
    </w:rPr>
  </w:style>
  <w:style w:type="paragraph" w:styleId="Heading3">
    <w:name w:val="heading 3"/>
    <w:basedOn w:val="Normal"/>
    <w:next w:val="Normal"/>
    <w:uiPriority w:val="9"/>
    <w:unhideWhenUsed/>
    <w:qFormat/>
    <w:pPr>
      <w:keepNext/>
      <w:spacing w:before="240" w:after="80"/>
      <w:outlineLvl w:val="2"/>
    </w:pPr>
    <w:rPr>
      <w:b/>
      <w:sz w:val="24"/>
    </w:rPr>
  </w:style>
  <w:style w:type="paragraph" w:styleId="Heading4">
    <w:name w:val="heading 4"/>
    <w:basedOn w:val="Normal"/>
    <w:next w:val="Normal"/>
    <w:uiPriority w:val="9"/>
    <w:semiHidden/>
    <w:unhideWhenUsed/>
    <w:qFormat/>
    <w:pPr>
      <w:keepNext/>
      <w:outlineLvl w:val="3"/>
    </w:pPr>
    <w:rPr>
      <w:b/>
    </w:rPr>
  </w:style>
  <w:style w:type="paragraph" w:styleId="Heading5">
    <w:name w:val="heading 5"/>
    <w:basedOn w:val="Normal"/>
    <w:next w:val="Normal"/>
    <w:uiPriority w:val="9"/>
    <w:semiHidden/>
    <w:unhideWhenUsed/>
    <w:qFormat/>
    <w:pPr>
      <w:keepNext/>
      <w:outlineLvl w:val="4"/>
    </w:pPr>
    <w:rPr>
      <w:b/>
    </w:rPr>
  </w:style>
  <w:style w:type="paragraph" w:styleId="Heading6">
    <w:name w:val="heading 6"/>
    <w:basedOn w:val="Normal"/>
    <w:next w:val="Normal"/>
    <w:uiPriority w:val="9"/>
    <w:semiHidden/>
    <w:unhideWhenUsed/>
    <w:qFormat/>
    <w:pPr>
      <w:keepNext/>
      <w:outlineLvl w:val="5"/>
    </w:pPr>
    <w:rPr>
      <w: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spacing w:after="80"/>
      <w:contextualSpacing/>
    </w:pPr>
    <w:rPr>
      <w:sz w:val="56"/>
    </w:rPr>
  </w:style>
  <w:style w:type="paragraph" w:styleId="Quote">
    <w:name w:val="Quote"/>
    <w:basedOn w:val="Normal"/>
    <w:qFormat/>
    <w:pPr>
      <w:pBdr>
        <w:left w:val="single" w:sz="12" w:space="8" w:color="A0A0A0"/>
      </w:pBdr>
      <w:ind w:left="720" w:right="720"/>
    </w:pPr>
    <w:rPr>
      <w:i/>
      <w:color w:val="404040"/>
    </w:rPr>
  </w:style>
  <w:style w:type="paragraph" w:customStyle="1" w:styleId="Code">
    <w:name w:val="Code"/>
    <w:basedOn w:val="Normal"/>
    <w:link w:val="CodeChar"/>
    <w:pPr>
      <w:shd w:val="clear" w:color="auto" w:fill="F5F5F5"/>
      <w:spacing w:after="0" w:line="240" w:lineRule="auto"/>
      <w:contextualSpacing/>
    </w:pPr>
    <w:rPr>
      <w:rFonts w:ascii="Consolas" w:eastAsia="Consolas" w:hAnsi="Consolas" w:cs="Consolas"/>
      <w:sz w:val="20"/>
    </w:rPr>
  </w:style>
  <w:style w:type="character" w:customStyle="1" w:styleId="CodeChar">
    <w:name w:val="Code Char"/>
    <w:link w:val="Code"/>
    <w:rPr>
      <w:rFonts w:ascii="Consolas" w:eastAsia="Consolas" w:hAnsi="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pPr>
      <w:spacing w:line="240" w:lineRule="auto"/>
    </w:pPr>
    <w:rPr>
      <w:sz w:val="20"/>
      <w:szCs w:val="20"/>
    </w:rPr>
  </w:style>
  <w:style w:type="character" w:styleId="CommentReference">
    <w:name w:val="annotation reference"/>
    <w:rPr>
      <w:sz w:val="16"/>
      <w:szCs w:val="16"/>
    </w:r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TotalTime>
  <Pages>6</Pages>
  <Words>1667</Words>
  <Characters>9505</Characters>
  <Application>Microsoft Office Word</Application>
  <DocSecurity>0</DocSecurity>
  <Lines>79</Lines>
  <Paragraphs>22</Paragraphs>
  <ScaleCrop>false</ScaleCrop>
  <HeadingPairs>
    <vt:vector size="2" baseType="variant">
      <vt:variant>
        <vt:lpstr>Title</vt:lpstr>
      </vt:variant>
      <vt:variant>
        <vt:i4>1</vt:i4>
      </vt:variant>
    </vt:vector>
  </HeadingPairs>
  <TitlesOfParts>
    <vt:vector size="1" baseType="lpstr">
      <vt:lpstr>Full On-Premises Deployment – Central Data Hub (CDH)</vt:lpstr>
    </vt:vector>
  </TitlesOfParts>
  <Company/>
  <LinksUpToDate>false</LinksUpToDate>
  <CharactersWithSpaces>11150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Full On-Premises Deployment – Central Data Hub (CDH)</dc:title>
  <dc:description>Claude Docs node/9d45d741-2d3c@1 docx-w7</dc:description>
  <cp:lastModifiedBy>Mahmood Ezad Butt</cp:lastModifiedBy>
  <cp:revision>3</cp:revision>
  <dcterms:created xsi:type="dcterms:W3CDTF">2026-10-21T19:54:00Z</dcterms:created>
  <dcterms:modified xsi:type="dcterms:W3CDTF">2026-10-21T20:01:00Z</dcterms:modified>
</cp:coreProperties>
</file>