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36F3" w14:textId="69387CF9" w:rsidR="00C15A4B" w:rsidRDefault="00C15A4B" w:rsidP="00CB742D">
      <w:pPr>
        <w:spacing w:before="1600"/>
        <w:jc w:val="both"/>
      </w:pPr>
    </w:p>
    <w:p w14:paraId="5D5EC700" w14:textId="60EB76FD" w:rsidR="00830B1B" w:rsidRDefault="00830B1B" w:rsidP="00CB742D">
      <w:pPr>
        <w:spacing w:before="1600"/>
        <w:jc w:val="both"/>
      </w:pPr>
    </w:p>
    <w:p w14:paraId="4825B0AA" w14:textId="77777777" w:rsidR="00C15A4B" w:rsidRDefault="00673469" w:rsidP="00CB742D">
      <w:pPr>
        <w:jc w:val="both"/>
      </w:pPr>
      <w:r>
        <w:rPr>
          <w:b/>
          <w:bCs/>
          <w:color w:val="595959"/>
          <w:sz w:val="22"/>
          <w:szCs w:val="22"/>
        </w:rPr>
        <w:t>PAKISTAN REVENUE AUTOMATION (PVT.) LIMITED</w:t>
      </w:r>
    </w:p>
    <w:p w14:paraId="68F73FEC" w14:textId="258D6526" w:rsidR="00C15A4B" w:rsidRDefault="00673469" w:rsidP="00CB742D">
      <w:pPr>
        <w:spacing w:before="200"/>
        <w:jc w:val="both"/>
      </w:pPr>
      <w:r>
        <w:rPr>
          <w:b/>
          <w:bCs/>
          <w:color w:val="1F3864"/>
          <w:sz w:val="48"/>
          <w:szCs w:val="48"/>
        </w:rPr>
        <w:t>CENTRAL DATA HUB</w:t>
      </w:r>
    </w:p>
    <w:p w14:paraId="705C3C97" w14:textId="18CB04CA" w:rsidR="00C15A4B" w:rsidRDefault="00673469" w:rsidP="00CB742D">
      <w:pPr>
        <w:spacing w:before="120" w:after="100"/>
        <w:jc w:val="both"/>
      </w:pPr>
      <w:r>
        <w:rPr>
          <w:b/>
          <w:bCs/>
          <w:color w:val="2E5FA3"/>
          <w:sz w:val="30"/>
          <w:szCs w:val="30"/>
        </w:rPr>
        <w:t>Reference Architecture — Technical Solution Write-Up</w:t>
      </w:r>
    </w:p>
    <w:p w14:paraId="1D8D505D" w14:textId="1AB04C3C" w:rsidR="00C15A4B" w:rsidRDefault="00673469" w:rsidP="00CB742D">
      <w:pPr>
        <w:spacing w:before="100"/>
        <w:jc w:val="both"/>
      </w:pPr>
      <w:r>
        <w:rPr>
          <w:i/>
          <w:iCs/>
          <w:color w:val="595959"/>
          <w:sz w:val="22"/>
          <w:szCs w:val="22"/>
        </w:rPr>
        <w:t>Layer-by-Layer Component Description, End-to-End Data Flow and Requirement Alignment</w:t>
      </w:r>
    </w:p>
    <w:p w14:paraId="63F40645" w14:textId="2F6C4C1D" w:rsidR="0065228B" w:rsidRPr="0065228B" w:rsidRDefault="0065228B" w:rsidP="00CB742D">
      <w:pPr>
        <w:jc w:val="both"/>
      </w:pPr>
      <w:r w:rsidRPr="00436DA9">
        <w:rPr>
          <w:rFonts w:asciiTheme="minorHAnsi" w:hAnsiTheme="minorHAnsi" w:cstheme="minorHAnsi"/>
          <w:noProof/>
        </w:rPr>
        <w:drawing>
          <wp:anchor distT="0" distB="0" distL="114300" distR="114300" simplePos="0" relativeHeight="251659264" behindDoc="0" locked="0" layoutInCell="1" allowOverlap="1" wp14:anchorId="73E21724" wp14:editId="43745017">
            <wp:simplePos x="0" y="0"/>
            <wp:positionH relativeFrom="margin">
              <wp:posOffset>276225</wp:posOffset>
            </wp:positionH>
            <wp:positionV relativeFrom="paragraph">
              <wp:posOffset>713740</wp:posOffset>
            </wp:positionV>
            <wp:extent cx="1123950" cy="552450"/>
            <wp:effectExtent l="0" t="0" r="0" b="0"/>
            <wp:wrapSquare wrapText="bothSides"/>
            <wp:docPr id="886191356" name="Picture 3" descr="A close-up of a logo&#10;&#10;AI-generated content may be incorrect.">
              <a:extLst xmlns:a="http://schemas.openxmlformats.org/drawingml/2006/main">
                <a:ext uri="{FF2B5EF4-FFF2-40B4-BE49-F238E27FC236}">
                  <a16:creationId xmlns:a16="http://schemas.microsoft.com/office/drawing/2014/main" id="{66DF64C8-BF46-45CD-9350-9B103AC3F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 name="Picture 3" descr="A close-up of a logo&#10;&#10;AI-generated content may be incorrect.">
                      <a:extLst>
                        <a:ext uri="{FF2B5EF4-FFF2-40B4-BE49-F238E27FC236}">
                          <a16:creationId xmlns:a16="http://schemas.microsoft.com/office/drawing/2014/main" id="{66DF64C8-BF46-45CD-9350-9B103AC3FACC}"/>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9738" t="8980" r="14607" b="24979"/>
                    <a:stretch>
                      <a:fillRect/>
                    </a:stretch>
                  </pic:blipFill>
                  <pic:spPr bwMode="auto">
                    <a:xfrm>
                      <a:off x="0" y="0"/>
                      <a:ext cx="1123950" cy="552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228B">
        <w:rPr>
          <w:noProof/>
        </w:rPr>
        <w:drawing>
          <wp:anchor distT="0" distB="0" distL="114300" distR="114300" simplePos="0" relativeHeight="251662336" behindDoc="1" locked="0" layoutInCell="1" allowOverlap="1" wp14:anchorId="0CD1B406" wp14:editId="68B0B6C5">
            <wp:simplePos x="0" y="0"/>
            <wp:positionH relativeFrom="column">
              <wp:posOffset>2705100</wp:posOffset>
            </wp:positionH>
            <wp:positionV relativeFrom="paragraph">
              <wp:posOffset>866203</wp:posOffset>
            </wp:positionV>
            <wp:extent cx="1312799" cy="323850"/>
            <wp:effectExtent l="0" t="0" r="1905" b="0"/>
            <wp:wrapTight wrapText="bothSides">
              <wp:wrapPolygon edited="0">
                <wp:start x="0" y="0"/>
                <wp:lineTo x="0" y="20329"/>
                <wp:lineTo x="21318" y="20329"/>
                <wp:lineTo x="21318" y="0"/>
                <wp:lineTo x="0" y="0"/>
              </wp:wrapPolygon>
            </wp:wrapTight>
            <wp:docPr id="33011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12799" cy="323850"/>
                    </a:xfrm>
                    <a:prstGeom prst="rect">
                      <a:avLst/>
                    </a:prstGeom>
                    <a:noFill/>
                    <a:ln>
                      <a:noFill/>
                    </a:ln>
                  </pic:spPr>
                </pic:pic>
              </a:graphicData>
            </a:graphic>
          </wp:anchor>
        </w:drawing>
      </w:r>
      <w:r w:rsidRPr="00436DA9">
        <w:rPr>
          <w:rFonts w:asciiTheme="minorHAnsi" w:hAnsiTheme="minorHAnsi" w:cstheme="minorHAnsi"/>
          <w:noProof/>
        </w:rPr>
        <w:drawing>
          <wp:anchor distT="0" distB="0" distL="114300" distR="114300" simplePos="0" relativeHeight="251661312" behindDoc="1" locked="0" layoutInCell="1" allowOverlap="1" wp14:anchorId="0399FD7F" wp14:editId="0E72AC45">
            <wp:simplePos x="0" y="0"/>
            <wp:positionH relativeFrom="margin">
              <wp:posOffset>4800600</wp:posOffset>
            </wp:positionH>
            <wp:positionV relativeFrom="paragraph">
              <wp:posOffset>457835</wp:posOffset>
            </wp:positionV>
            <wp:extent cx="1537970" cy="731520"/>
            <wp:effectExtent l="0" t="0" r="5080" b="0"/>
            <wp:wrapTight wrapText="bothSides">
              <wp:wrapPolygon edited="0">
                <wp:start x="16053" y="0"/>
                <wp:lineTo x="9097" y="5063"/>
                <wp:lineTo x="9097" y="7875"/>
                <wp:lineTo x="15518" y="9000"/>
                <wp:lineTo x="4281" y="11250"/>
                <wp:lineTo x="0" y="13500"/>
                <wp:lineTo x="0" y="20813"/>
                <wp:lineTo x="21404" y="20813"/>
                <wp:lineTo x="21404" y="16875"/>
                <wp:lineTo x="20869" y="9000"/>
                <wp:lineTo x="18193" y="0"/>
                <wp:lineTo x="16053" y="0"/>
              </wp:wrapPolygon>
            </wp:wrapTight>
            <wp:docPr id="666883385" name="Picture 1"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83385" name="Picture 1" descr="A picture containing object, clock&#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7970" cy="731520"/>
                    </a:xfrm>
                    <a:prstGeom prst="rect">
                      <a:avLst/>
                    </a:prstGeom>
                  </pic:spPr>
                </pic:pic>
              </a:graphicData>
            </a:graphic>
            <wp14:sizeRelH relativeFrom="margin">
              <wp14:pctWidth>0</wp14:pctWidth>
            </wp14:sizeRelH>
            <wp14:sizeRelV relativeFrom="margin">
              <wp14:pctHeight>0</wp14:pctHeight>
            </wp14:sizeRelV>
          </wp:anchor>
        </w:drawing>
      </w:r>
      <w:r w:rsidR="00830B1B">
        <w:br w:type="page"/>
      </w:r>
    </w:p>
    <w:p w14:paraId="0F55173D" w14:textId="23A178D5" w:rsidR="00C15A4B" w:rsidRDefault="00C15A4B" w:rsidP="00CB742D">
      <w:pPr>
        <w:jc w:val="both"/>
      </w:pPr>
    </w:p>
    <w:sdt>
      <w:sdtPr>
        <w:rPr>
          <w:rFonts w:ascii="Calibri" w:eastAsia="Calibri" w:hAnsi="Calibri" w:cs="Calibri"/>
          <w:color w:val="auto"/>
          <w:sz w:val="21"/>
          <w:szCs w:val="21"/>
        </w:rPr>
        <w:id w:val="-1978602769"/>
        <w:docPartObj>
          <w:docPartGallery w:val="Table of Contents"/>
          <w:docPartUnique/>
        </w:docPartObj>
      </w:sdtPr>
      <w:sdtEndPr>
        <w:rPr>
          <w:b/>
          <w:bCs/>
          <w:noProof/>
        </w:rPr>
      </w:sdtEndPr>
      <w:sdtContent>
        <w:p w14:paraId="768C462B" w14:textId="74887055" w:rsidR="009449D6" w:rsidRDefault="009449D6" w:rsidP="00CB742D">
          <w:pPr>
            <w:pStyle w:val="TOCHeading"/>
            <w:jc w:val="both"/>
          </w:pPr>
          <w:r>
            <w:t>Table of Contents</w:t>
          </w:r>
        </w:p>
        <w:p w14:paraId="0EC2F298" w14:textId="4ED39B9E" w:rsidR="00385CE9" w:rsidRDefault="009449D6">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538491" w:history="1">
            <w:r w:rsidR="00385CE9" w:rsidRPr="00287A85">
              <w:rPr>
                <w:rStyle w:val="Hyperlink"/>
                <w:b/>
                <w:bCs/>
                <w:noProof/>
              </w:rPr>
              <w:t>Reference Architecture</w:t>
            </w:r>
            <w:r w:rsidR="00385CE9">
              <w:rPr>
                <w:noProof/>
                <w:webHidden/>
              </w:rPr>
              <w:tab/>
            </w:r>
            <w:r w:rsidR="00385CE9">
              <w:rPr>
                <w:noProof/>
                <w:webHidden/>
              </w:rPr>
              <w:fldChar w:fldCharType="begin"/>
            </w:r>
            <w:r w:rsidR="00385CE9">
              <w:rPr>
                <w:noProof/>
                <w:webHidden/>
              </w:rPr>
              <w:instrText xml:space="preserve"> PAGEREF _Toc243538491 \h </w:instrText>
            </w:r>
            <w:r w:rsidR="00385CE9">
              <w:rPr>
                <w:noProof/>
                <w:webHidden/>
              </w:rPr>
            </w:r>
            <w:r w:rsidR="00385CE9">
              <w:rPr>
                <w:noProof/>
                <w:webHidden/>
              </w:rPr>
              <w:fldChar w:fldCharType="separate"/>
            </w:r>
            <w:r w:rsidR="00385CE9">
              <w:rPr>
                <w:noProof/>
                <w:webHidden/>
              </w:rPr>
              <w:t>3</w:t>
            </w:r>
            <w:r w:rsidR="00385CE9">
              <w:rPr>
                <w:noProof/>
                <w:webHidden/>
              </w:rPr>
              <w:fldChar w:fldCharType="end"/>
            </w:r>
          </w:hyperlink>
        </w:p>
        <w:p w14:paraId="67E177A6" w14:textId="29A1C9AC"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492" w:history="1">
            <w:r w:rsidRPr="00287A85">
              <w:rPr>
                <w:rStyle w:val="Hyperlink"/>
                <w:b/>
                <w:bCs/>
                <w:noProof/>
              </w:rPr>
              <w:t>1.</w:t>
            </w:r>
            <w:r>
              <w:rPr>
                <w:rFonts w:asciiTheme="minorHAnsi" w:eastAsiaTheme="minorEastAsia" w:hAnsiTheme="minorHAnsi" w:cstheme="minorBidi"/>
                <w:noProof/>
                <w:kern w:val="2"/>
                <w:sz w:val="24"/>
                <w:szCs w:val="24"/>
                <w14:ligatures w14:val="standardContextual"/>
              </w:rPr>
              <w:tab/>
            </w:r>
            <w:r w:rsidRPr="00287A85">
              <w:rPr>
                <w:rStyle w:val="Hyperlink"/>
                <w:b/>
                <w:bCs/>
                <w:noProof/>
              </w:rPr>
              <w:t>Executive Summary</w:t>
            </w:r>
            <w:r>
              <w:rPr>
                <w:noProof/>
                <w:webHidden/>
              </w:rPr>
              <w:tab/>
            </w:r>
            <w:r>
              <w:rPr>
                <w:noProof/>
                <w:webHidden/>
              </w:rPr>
              <w:fldChar w:fldCharType="begin"/>
            </w:r>
            <w:r>
              <w:rPr>
                <w:noProof/>
                <w:webHidden/>
              </w:rPr>
              <w:instrText xml:space="preserve"> PAGEREF _Toc243538492 \h </w:instrText>
            </w:r>
            <w:r>
              <w:rPr>
                <w:noProof/>
                <w:webHidden/>
              </w:rPr>
            </w:r>
            <w:r>
              <w:rPr>
                <w:noProof/>
                <w:webHidden/>
              </w:rPr>
              <w:fldChar w:fldCharType="separate"/>
            </w:r>
            <w:r>
              <w:rPr>
                <w:noProof/>
                <w:webHidden/>
              </w:rPr>
              <w:t>3</w:t>
            </w:r>
            <w:r>
              <w:rPr>
                <w:noProof/>
                <w:webHidden/>
              </w:rPr>
              <w:fldChar w:fldCharType="end"/>
            </w:r>
          </w:hyperlink>
        </w:p>
        <w:p w14:paraId="4FB8119E" w14:textId="4C1F34E5"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493" w:history="1">
            <w:r w:rsidRPr="00287A85">
              <w:rPr>
                <w:rStyle w:val="Hyperlink"/>
                <w:noProof/>
              </w:rPr>
              <w:t>2.</w:t>
            </w:r>
            <w:r>
              <w:rPr>
                <w:rFonts w:asciiTheme="minorHAnsi" w:eastAsiaTheme="minorEastAsia" w:hAnsiTheme="minorHAnsi" w:cstheme="minorBidi"/>
                <w:noProof/>
                <w:kern w:val="2"/>
                <w:sz w:val="24"/>
                <w:szCs w:val="24"/>
                <w14:ligatures w14:val="standardContextual"/>
              </w:rPr>
              <w:tab/>
            </w:r>
            <w:r w:rsidRPr="00287A85">
              <w:rPr>
                <w:rStyle w:val="Hyperlink"/>
                <w:b/>
                <w:bCs/>
                <w:noProof/>
              </w:rPr>
              <w:t>Guiding Design Principles</w:t>
            </w:r>
            <w:r>
              <w:rPr>
                <w:noProof/>
                <w:webHidden/>
              </w:rPr>
              <w:tab/>
            </w:r>
            <w:r>
              <w:rPr>
                <w:noProof/>
                <w:webHidden/>
              </w:rPr>
              <w:fldChar w:fldCharType="begin"/>
            </w:r>
            <w:r>
              <w:rPr>
                <w:noProof/>
                <w:webHidden/>
              </w:rPr>
              <w:instrText xml:space="preserve"> PAGEREF _Toc243538493 \h </w:instrText>
            </w:r>
            <w:r>
              <w:rPr>
                <w:noProof/>
                <w:webHidden/>
              </w:rPr>
            </w:r>
            <w:r>
              <w:rPr>
                <w:noProof/>
                <w:webHidden/>
              </w:rPr>
              <w:fldChar w:fldCharType="separate"/>
            </w:r>
            <w:r>
              <w:rPr>
                <w:noProof/>
                <w:webHidden/>
              </w:rPr>
              <w:t>5</w:t>
            </w:r>
            <w:r>
              <w:rPr>
                <w:noProof/>
                <w:webHidden/>
              </w:rPr>
              <w:fldChar w:fldCharType="end"/>
            </w:r>
          </w:hyperlink>
        </w:p>
        <w:p w14:paraId="6388ACF8" w14:textId="13C74AFB"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494" w:history="1">
            <w:r w:rsidRPr="00287A85">
              <w:rPr>
                <w:rStyle w:val="Hyperlink"/>
                <w:b/>
                <w:bCs/>
                <w:noProof/>
              </w:rPr>
              <w:t>3.</w:t>
            </w:r>
            <w:r>
              <w:rPr>
                <w:rFonts w:asciiTheme="minorHAnsi" w:eastAsiaTheme="minorEastAsia" w:hAnsiTheme="minorHAnsi" w:cstheme="minorBidi"/>
                <w:noProof/>
                <w:kern w:val="2"/>
                <w:sz w:val="24"/>
                <w:szCs w:val="24"/>
                <w14:ligatures w14:val="standardContextual"/>
              </w:rPr>
              <w:tab/>
            </w:r>
            <w:r w:rsidRPr="00287A85">
              <w:rPr>
                <w:rStyle w:val="Hyperlink"/>
                <w:b/>
                <w:bCs/>
                <w:noProof/>
              </w:rPr>
              <w:t>Architecture at a Glance</w:t>
            </w:r>
            <w:r>
              <w:rPr>
                <w:noProof/>
                <w:webHidden/>
              </w:rPr>
              <w:tab/>
            </w:r>
            <w:r>
              <w:rPr>
                <w:noProof/>
                <w:webHidden/>
              </w:rPr>
              <w:fldChar w:fldCharType="begin"/>
            </w:r>
            <w:r>
              <w:rPr>
                <w:noProof/>
                <w:webHidden/>
              </w:rPr>
              <w:instrText xml:space="preserve"> PAGEREF _Toc243538494 \h </w:instrText>
            </w:r>
            <w:r>
              <w:rPr>
                <w:noProof/>
                <w:webHidden/>
              </w:rPr>
            </w:r>
            <w:r>
              <w:rPr>
                <w:noProof/>
                <w:webHidden/>
              </w:rPr>
              <w:fldChar w:fldCharType="separate"/>
            </w:r>
            <w:r>
              <w:rPr>
                <w:noProof/>
                <w:webHidden/>
              </w:rPr>
              <w:t>6</w:t>
            </w:r>
            <w:r>
              <w:rPr>
                <w:noProof/>
                <w:webHidden/>
              </w:rPr>
              <w:fldChar w:fldCharType="end"/>
            </w:r>
          </w:hyperlink>
        </w:p>
        <w:p w14:paraId="0D608661" w14:textId="53FDC857"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495" w:history="1">
            <w:r w:rsidRPr="00287A85">
              <w:rPr>
                <w:rStyle w:val="Hyperlink"/>
                <w:b/>
                <w:bCs/>
                <w:noProof/>
              </w:rPr>
              <w:t>4.</w:t>
            </w:r>
            <w:r>
              <w:rPr>
                <w:rFonts w:asciiTheme="minorHAnsi" w:eastAsiaTheme="minorEastAsia" w:hAnsiTheme="minorHAnsi" w:cstheme="minorBidi"/>
                <w:noProof/>
                <w:kern w:val="2"/>
                <w:sz w:val="24"/>
                <w:szCs w:val="24"/>
                <w14:ligatures w14:val="standardContextual"/>
              </w:rPr>
              <w:tab/>
            </w:r>
            <w:r w:rsidRPr="00287A85">
              <w:rPr>
                <w:rStyle w:val="Hyperlink"/>
                <w:b/>
                <w:bCs/>
                <w:noProof/>
              </w:rPr>
              <w:t>Detailed Layer &amp; Component Description</w:t>
            </w:r>
            <w:r>
              <w:rPr>
                <w:noProof/>
                <w:webHidden/>
              </w:rPr>
              <w:tab/>
            </w:r>
            <w:r>
              <w:rPr>
                <w:noProof/>
                <w:webHidden/>
              </w:rPr>
              <w:fldChar w:fldCharType="begin"/>
            </w:r>
            <w:r>
              <w:rPr>
                <w:noProof/>
                <w:webHidden/>
              </w:rPr>
              <w:instrText xml:space="preserve"> PAGEREF _Toc243538495 \h </w:instrText>
            </w:r>
            <w:r>
              <w:rPr>
                <w:noProof/>
                <w:webHidden/>
              </w:rPr>
            </w:r>
            <w:r>
              <w:rPr>
                <w:noProof/>
                <w:webHidden/>
              </w:rPr>
              <w:fldChar w:fldCharType="separate"/>
            </w:r>
            <w:r>
              <w:rPr>
                <w:noProof/>
                <w:webHidden/>
              </w:rPr>
              <w:t>7</w:t>
            </w:r>
            <w:r>
              <w:rPr>
                <w:noProof/>
                <w:webHidden/>
              </w:rPr>
              <w:fldChar w:fldCharType="end"/>
            </w:r>
          </w:hyperlink>
        </w:p>
        <w:p w14:paraId="4B0FFA60" w14:textId="54718B72" w:rsidR="00385CE9" w:rsidRDefault="00385CE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538496" w:history="1">
            <w:r w:rsidRPr="00287A85">
              <w:rPr>
                <w:rStyle w:val="Hyperlink"/>
                <w:b/>
                <w:bCs/>
                <w:noProof/>
              </w:rPr>
              <w:t>5. End-to-End Data Flow — How the Platform Works</w:t>
            </w:r>
            <w:r>
              <w:rPr>
                <w:noProof/>
                <w:webHidden/>
              </w:rPr>
              <w:tab/>
            </w:r>
            <w:r>
              <w:rPr>
                <w:noProof/>
                <w:webHidden/>
              </w:rPr>
              <w:fldChar w:fldCharType="begin"/>
            </w:r>
            <w:r>
              <w:rPr>
                <w:noProof/>
                <w:webHidden/>
              </w:rPr>
              <w:instrText xml:space="preserve"> PAGEREF _Toc243538496 \h </w:instrText>
            </w:r>
            <w:r>
              <w:rPr>
                <w:noProof/>
                <w:webHidden/>
              </w:rPr>
            </w:r>
            <w:r>
              <w:rPr>
                <w:noProof/>
                <w:webHidden/>
              </w:rPr>
              <w:fldChar w:fldCharType="separate"/>
            </w:r>
            <w:r>
              <w:rPr>
                <w:noProof/>
                <w:webHidden/>
              </w:rPr>
              <w:t>18</w:t>
            </w:r>
            <w:r>
              <w:rPr>
                <w:noProof/>
                <w:webHidden/>
              </w:rPr>
              <w:fldChar w:fldCharType="end"/>
            </w:r>
          </w:hyperlink>
        </w:p>
        <w:p w14:paraId="3F050520" w14:textId="3B668E99"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497" w:history="1">
            <w:r w:rsidRPr="00287A85">
              <w:rPr>
                <w:rStyle w:val="Hyperlink"/>
                <w:b/>
                <w:bCs/>
                <w:noProof/>
              </w:rPr>
              <w:t>Step 1 — Capture at Source</w:t>
            </w:r>
            <w:r>
              <w:rPr>
                <w:noProof/>
                <w:webHidden/>
              </w:rPr>
              <w:tab/>
            </w:r>
            <w:r>
              <w:rPr>
                <w:noProof/>
                <w:webHidden/>
              </w:rPr>
              <w:fldChar w:fldCharType="begin"/>
            </w:r>
            <w:r>
              <w:rPr>
                <w:noProof/>
                <w:webHidden/>
              </w:rPr>
              <w:instrText xml:space="preserve"> PAGEREF _Toc243538497 \h </w:instrText>
            </w:r>
            <w:r>
              <w:rPr>
                <w:noProof/>
                <w:webHidden/>
              </w:rPr>
            </w:r>
            <w:r>
              <w:rPr>
                <w:noProof/>
                <w:webHidden/>
              </w:rPr>
              <w:fldChar w:fldCharType="separate"/>
            </w:r>
            <w:r>
              <w:rPr>
                <w:noProof/>
                <w:webHidden/>
              </w:rPr>
              <w:t>18</w:t>
            </w:r>
            <w:r>
              <w:rPr>
                <w:noProof/>
                <w:webHidden/>
              </w:rPr>
              <w:fldChar w:fldCharType="end"/>
            </w:r>
          </w:hyperlink>
        </w:p>
        <w:p w14:paraId="3EA264B5" w14:textId="11699C46"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498" w:history="1">
            <w:r w:rsidRPr="00287A85">
              <w:rPr>
                <w:rStyle w:val="Hyperlink"/>
                <w:b/>
                <w:bCs/>
                <w:noProof/>
              </w:rPr>
              <w:t>Step 2 — Ingestion &amp; Streaming</w:t>
            </w:r>
            <w:r>
              <w:rPr>
                <w:noProof/>
                <w:webHidden/>
              </w:rPr>
              <w:tab/>
            </w:r>
            <w:r>
              <w:rPr>
                <w:noProof/>
                <w:webHidden/>
              </w:rPr>
              <w:fldChar w:fldCharType="begin"/>
            </w:r>
            <w:r>
              <w:rPr>
                <w:noProof/>
                <w:webHidden/>
              </w:rPr>
              <w:instrText xml:space="preserve"> PAGEREF _Toc243538498 \h </w:instrText>
            </w:r>
            <w:r>
              <w:rPr>
                <w:noProof/>
                <w:webHidden/>
              </w:rPr>
            </w:r>
            <w:r>
              <w:rPr>
                <w:noProof/>
                <w:webHidden/>
              </w:rPr>
              <w:fldChar w:fldCharType="separate"/>
            </w:r>
            <w:r>
              <w:rPr>
                <w:noProof/>
                <w:webHidden/>
              </w:rPr>
              <w:t>18</w:t>
            </w:r>
            <w:r>
              <w:rPr>
                <w:noProof/>
                <w:webHidden/>
              </w:rPr>
              <w:fldChar w:fldCharType="end"/>
            </w:r>
          </w:hyperlink>
        </w:p>
        <w:p w14:paraId="76FE438D" w14:textId="6D37F1EA"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499" w:history="1">
            <w:r w:rsidRPr="00287A85">
              <w:rPr>
                <w:rStyle w:val="Hyperlink"/>
                <w:b/>
                <w:bCs/>
                <w:noProof/>
              </w:rPr>
              <w:t>Step 3 — Landing in the Bronze Layer</w:t>
            </w:r>
            <w:r>
              <w:rPr>
                <w:noProof/>
                <w:webHidden/>
              </w:rPr>
              <w:tab/>
            </w:r>
            <w:r>
              <w:rPr>
                <w:noProof/>
                <w:webHidden/>
              </w:rPr>
              <w:fldChar w:fldCharType="begin"/>
            </w:r>
            <w:r>
              <w:rPr>
                <w:noProof/>
                <w:webHidden/>
              </w:rPr>
              <w:instrText xml:space="preserve"> PAGEREF _Toc243538499 \h </w:instrText>
            </w:r>
            <w:r>
              <w:rPr>
                <w:noProof/>
                <w:webHidden/>
              </w:rPr>
            </w:r>
            <w:r>
              <w:rPr>
                <w:noProof/>
                <w:webHidden/>
              </w:rPr>
              <w:fldChar w:fldCharType="separate"/>
            </w:r>
            <w:r>
              <w:rPr>
                <w:noProof/>
                <w:webHidden/>
              </w:rPr>
              <w:t>18</w:t>
            </w:r>
            <w:r>
              <w:rPr>
                <w:noProof/>
                <w:webHidden/>
              </w:rPr>
              <w:fldChar w:fldCharType="end"/>
            </w:r>
          </w:hyperlink>
        </w:p>
        <w:p w14:paraId="13726339" w14:textId="7901A559"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0" w:history="1">
            <w:r w:rsidRPr="00287A85">
              <w:rPr>
                <w:rStyle w:val="Hyperlink"/>
                <w:b/>
                <w:bCs/>
                <w:noProof/>
              </w:rPr>
              <w:t>Step 4 — Transformation into the Silver Layer</w:t>
            </w:r>
            <w:r>
              <w:rPr>
                <w:noProof/>
                <w:webHidden/>
              </w:rPr>
              <w:tab/>
            </w:r>
            <w:r>
              <w:rPr>
                <w:noProof/>
                <w:webHidden/>
              </w:rPr>
              <w:fldChar w:fldCharType="begin"/>
            </w:r>
            <w:r>
              <w:rPr>
                <w:noProof/>
                <w:webHidden/>
              </w:rPr>
              <w:instrText xml:space="preserve"> PAGEREF _Toc243538500 \h </w:instrText>
            </w:r>
            <w:r>
              <w:rPr>
                <w:noProof/>
                <w:webHidden/>
              </w:rPr>
            </w:r>
            <w:r>
              <w:rPr>
                <w:noProof/>
                <w:webHidden/>
              </w:rPr>
              <w:fldChar w:fldCharType="separate"/>
            </w:r>
            <w:r>
              <w:rPr>
                <w:noProof/>
                <w:webHidden/>
              </w:rPr>
              <w:t>18</w:t>
            </w:r>
            <w:r>
              <w:rPr>
                <w:noProof/>
                <w:webHidden/>
              </w:rPr>
              <w:fldChar w:fldCharType="end"/>
            </w:r>
          </w:hyperlink>
        </w:p>
        <w:p w14:paraId="265543DF" w14:textId="2D4DAA14"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1" w:history="1">
            <w:r w:rsidRPr="00287A85">
              <w:rPr>
                <w:rStyle w:val="Hyperlink"/>
                <w:b/>
                <w:bCs/>
                <w:noProof/>
              </w:rPr>
              <w:t>Step 5 — Publication to the Gold Layer</w:t>
            </w:r>
            <w:r>
              <w:rPr>
                <w:noProof/>
                <w:webHidden/>
              </w:rPr>
              <w:tab/>
            </w:r>
            <w:r>
              <w:rPr>
                <w:noProof/>
                <w:webHidden/>
              </w:rPr>
              <w:fldChar w:fldCharType="begin"/>
            </w:r>
            <w:r>
              <w:rPr>
                <w:noProof/>
                <w:webHidden/>
              </w:rPr>
              <w:instrText xml:space="preserve"> PAGEREF _Toc243538501 \h </w:instrText>
            </w:r>
            <w:r>
              <w:rPr>
                <w:noProof/>
                <w:webHidden/>
              </w:rPr>
            </w:r>
            <w:r>
              <w:rPr>
                <w:noProof/>
                <w:webHidden/>
              </w:rPr>
              <w:fldChar w:fldCharType="separate"/>
            </w:r>
            <w:r>
              <w:rPr>
                <w:noProof/>
                <w:webHidden/>
              </w:rPr>
              <w:t>18</w:t>
            </w:r>
            <w:r>
              <w:rPr>
                <w:noProof/>
                <w:webHidden/>
              </w:rPr>
              <w:fldChar w:fldCharType="end"/>
            </w:r>
          </w:hyperlink>
        </w:p>
        <w:p w14:paraId="30198466" w14:textId="04327E46"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2" w:history="1">
            <w:r w:rsidRPr="00287A85">
              <w:rPr>
                <w:rStyle w:val="Hyperlink"/>
                <w:b/>
                <w:bCs/>
                <w:noProof/>
              </w:rPr>
              <w:t>Step 6 — Serving via the Cache Layer</w:t>
            </w:r>
            <w:r>
              <w:rPr>
                <w:noProof/>
                <w:webHidden/>
              </w:rPr>
              <w:tab/>
            </w:r>
            <w:r>
              <w:rPr>
                <w:noProof/>
                <w:webHidden/>
              </w:rPr>
              <w:fldChar w:fldCharType="begin"/>
            </w:r>
            <w:r>
              <w:rPr>
                <w:noProof/>
                <w:webHidden/>
              </w:rPr>
              <w:instrText xml:space="preserve"> PAGEREF _Toc243538502 \h </w:instrText>
            </w:r>
            <w:r>
              <w:rPr>
                <w:noProof/>
                <w:webHidden/>
              </w:rPr>
            </w:r>
            <w:r>
              <w:rPr>
                <w:noProof/>
                <w:webHidden/>
              </w:rPr>
              <w:fldChar w:fldCharType="separate"/>
            </w:r>
            <w:r>
              <w:rPr>
                <w:noProof/>
                <w:webHidden/>
              </w:rPr>
              <w:t>19</w:t>
            </w:r>
            <w:r>
              <w:rPr>
                <w:noProof/>
                <w:webHidden/>
              </w:rPr>
              <w:fldChar w:fldCharType="end"/>
            </w:r>
          </w:hyperlink>
        </w:p>
        <w:p w14:paraId="5DF91458" w14:textId="7A63BD0F"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3" w:history="1">
            <w:r w:rsidRPr="00287A85">
              <w:rPr>
                <w:rStyle w:val="Hyperlink"/>
                <w:b/>
                <w:bCs/>
                <w:noProof/>
              </w:rPr>
              <w:t>Step 7 — AI/ML Scoring</w:t>
            </w:r>
            <w:r>
              <w:rPr>
                <w:noProof/>
                <w:webHidden/>
              </w:rPr>
              <w:tab/>
            </w:r>
            <w:r>
              <w:rPr>
                <w:noProof/>
                <w:webHidden/>
              </w:rPr>
              <w:fldChar w:fldCharType="begin"/>
            </w:r>
            <w:r>
              <w:rPr>
                <w:noProof/>
                <w:webHidden/>
              </w:rPr>
              <w:instrText xml:space="preserve"> PAGEREF _Toc243538503 \h </w:instrText>
            </w:r>
            <w:r>
              <w:rPr>
                <w:noProof/>
                <w:webHidden/>
              </w:rPr>
            </w:r>
            <w:r>
              <w:rPr>
                <w:noProof/>
                <w:webHidden/>
              </w:rPr>
              <w:fldChar w:fldCharType="separate"/>
            </w:r>
            <w:r>
              <w:rPr>
                <w:noProof/>
                <w:webHidden/>
              </w:rPr>
              <w:t>19</w:t>
            </w:r>
            <w:r>
              <w:rPr>
                <w:noProof/>
                <w:webHidden/>
              </w:rPr>
              <w:fldChar w:fldCharType="end"/>
            </w:r>
          </w:hyperlink>
        </w:p>
        <w:p w14:paraId="378E6543" w14:textId="70BCC22B"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4" w:history="1">
            <w:r w:rsidRPr="00287A85">
              <w:rPr>
                <w:rStyle w:val="Hyperlink"/>
                <w:b/>
                <w:bCs/>
                <w:noProof/>
              </w:rPr>
              <w:t>Step 8 — Exposure through the API Framework</w:t>
            </w:r>
            <w:r>
              <w:rPr>
                <w:noProof/>
                <w:webHidden/>
              </w:rPr>
              <w:tab/>
            </w:r>
            <w:r>
              <w:rPr>
                <w:noProof/>
                <w:webHidden/>
              </w:rPr>
              <w:fldChar w:fldCharType="begin"/>
            </w:r>
            <w:r>
              <w:rPr>
                <w:noProof/>
                <w:webHidden/>
              </w:rPr>
              <w:instrText xml:space="preserve"> PAGEREF _Toc243538504 \h </w:instrText>
            </w:r>
            <w:r>
              <w:rPr>
                <w:noProof/>
                <w:webHidden/>
              </w:rPr>
            </w:r>
            <w:r>
              <w:rPr>
                <w:noProof/>
                <w:webHidden/>
              </w:rPr>
              <w:fldChar w:fldCharType="separate"/>
            </w:r>
            <w:r>
              <w:rPr>
                <w:noProof/>
                <w:webHidden/>
              </w:rPr>
              <w:t>19</w:t>
            </w:r>
            <w:r>
              <w:rPr>
                <w:noProof/>
                <w:webHidden/>
              </w:rPr>
              <w:fldChar w:fldCharType="end"/>
            </w:r>
          </w:hyperlink>
        </w:p>
        <w:p w14:paraId="6CCF8764" w14:textId="6FFE0028"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5" w:history="1">
            <w:r w:rsidRPr="00287A85">
              <w:rPr>
                <w:rStyle w:val="Hyperlink"/>
                <w:b/>
                <w:bCs/>
                <w:noProof/>
              </w:rPr>
              <w:t>Step 9 — Consumption</w:t>
            </w:r>
            <w:r>
              <w:rPr>
                <w:noProof/>
                <w:webHidden/>
              </w:rPr>
              <w:tab/>
            </w:r>
            <w:r>
              <w:rPr>
                <w:noProof/>
                <w:webHidden/>
              </w:rPr>
              <w:fldChar w:fldCharType="begin"/>
            </w:r>
            <w:r>
              <w:rPr>
                <w:noProof/>
                <w:webHidden/>
              </w:rPr>
              <w:instrText xml:space="preserve"> PAGEREF _Toc243538505 \h </w:instrText>
            </w:r>
            <w:r>
              <w:rPr>
                <w:noProof/>
                <w:webHidden/>
              </w:rPr>
            </w:r>
            <w:r>
              <w:rPr>
                <w:noProof/>
                <w:webHidden/>
              </w:rPr>
              <w:fldChar w:fldCharType="separate"/>
            </w:r>
            <w:r>
              <w:rPr>
                <w:noProof/>
                <w:webHidden/>
              </w:rPr>
              <w:t>19</w:t>
            </w:r>
            <w:r>
              <w:rPr>
                <w:noProof/>
                <w:webHidden/>
              </w:rPr>
              <w:fldChar w:fldCharType="end"/>
            </w:r>
          </w:hyperlink>
        </w:p>
        <w:p w14:paraId="7089EF2D" w14:textId="32A5187F"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06" w:history="1">
            <w:r w:rsidRPr="00287A85">
              <w:rPr>
                <w:rStyle w:val="Hyperlink"/>
                <w:b/>
                <w:bCs/>
                <w:noProof/>
              </w:rPr>
              <w:t>Step 10 — Continuous Governance, Security &amp; Observability (throughout)</w:t>
            </w:r>
            <w:r>
              <w:rPr>
                <w:noProof/>
                <w:webHidden/>
              </w:rPr>
              <w:tab/>
            </w:r>
            <w:r>
              <w:rPr>
                <w:noProof/>
                <w:webHidden/>
              </w:rPr>
              <w:fldChar w:fldCharType="begin"/>
            </w:r>
            <w:r>
              <w:rPr>
                <w:noProof/>
                <w:webHidden/>
              </w:rPr>
              <w:instrText xml:space="preserve"> PAGEREF _Toc243538506 \h </w:instrText>
            </w:r>
            <w:r>
              <w:rPr>
                <w:noProof/>
                <w:webHidden/>
              </w:rPr>
            </w:r>
            <w:r>
              <w:rPr>
                <w:noProof/>
                <w:webHidden/>
              </w:rPr>
              <w:fldChar w:fldCharType="separate"/>
            </w:r>
            <w:r>
              <w:rPr>
                <w:noProof/>
                <w:webHidden/>
              </w:rPr>
              <w:t>19</w:t>
            </w:r>
            <w:r>
              <w:rPr>
                <w:noProof/>
                <w:webHidden/>
              </w:rPr>
              <w:fldChar w:fldCharType="end"/>
            </w:r>
          </w:hyperlink>
        </w:p>
        <w:p w14:paraId="76A98841" w14:textId="3EB5E6CE" w:rsidR="00385CE9" w:rsidRDefault="00385CE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538507" w:history="1">
            <w:r w:rsidRPr="00287A85">
              <w:rPr>
                <w:rStyle w:val="Hyperlink"/>
                <w:b/>
                <w:bCs/>
                <w:noProof/>
              </w:rPr>
              <w:t>6. How the Architecture Meets FBR's Requirements</w:t>
            </w:r>
            <w:r>
              <w:rPr>
                <w:noProof/>
                <w:webHidden/>
              </w:rPr>
              <w:tab/>
            </w:r>
            <w:r>
              <w:rPr>
                <w:noProof/>
                <w:webHidden/>
              </w:rPr>
              <w:fldChar w:fldCharType="begin"/>
            </w:r>
            <w:r>
              <w:rPr>
                <w:noProof/>
                <w:webHidden/>
              </w:rPr>
              <w:instrText xml:space="preserve"> PAGEREF _Toc243538507 \h </w:instrText>
            </w:r>
            <w:r>
              <w:rPr>
                <w:noProof/>
                <w:webHidden/>
              </w:rPr>
            </w:r>
            <w:r>
              <w:rPr>
                <w:noProof/>
                <w:webHidden/>
              </w:rPr>
              <w:fldChar w:fldCharType="separate"/>
            </w:r>
            <w:r>
              <w:rPr>
                <w:noProof/>
                <w:webHidden/>
              </w:rPr>
              <w:t>20</w:t>
            </w:r>
            <w:r>
              <w:rPr>
                <w:noProof/>
                <w:webHidden/>
              </w:rPr>
              <w:fldChar w:fldCharType="end"/>
            </w:r>
          </w:hyperlink>
        </w:p>
        <w:p w14:paraId="60DD3001" w14:textId="176015E4"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508" w:history="1">
            <w:r w:rsidRPr="00287A85">
              <w:rPr>
                <w:rStyle w:val="Hyperlink"/>
                <w:b/>
                <w:bCs/>
                <w:noProof/>
              </w:rPr>
              <w:t>5.</w:t>
            </w:r>
            <w:r>
              <w:rPr>
                <w:rFonts w:asciiTheme="minorHAnsi" w:eastAsiaTheme="minorEastAsia" w:hAnsiTheme="minorHAnsi" w:cstheme="minorBidi"/>
                <w:noProof/>
                <w:kern w:val="2"/>
                <w:sz w:val="24"/>
                <w:szCs w:val="24"/>
                <w14:ligatures w14:val="standardContextual"/>
              </w:rPr>
              <w:tab/>
            </w:r>
            <w:r w:rsidRPr="00287A85">
              <w:rPr>
                <w:rStyle w:val="Hyperlink"/>
                <w:b/>
                <w:bCs/>
                <w:noProof/>
              </w:rPr>
              <w:t>Complete Solution Architecture – Information Management</w:t>
            </w:r>
            <w:r>
              <w:rPr>
                <w:noProof/>
                <w:webHidden/>
              </w:rPr>
              <w:tab/>
            </w:r>
            <w:r>
              <w:rPr>
                <w:noProof/>
                <w:webHidden/>
              </w:rPr>
              <w:fldChar w:fldCharType="begin"/>
            </w:r>
            <w:r>
              <w:rPr>
                <w:noProof/>
                <w:webHidden/>
              </w:rPr>
              <w:instrText xml:space="preserve"> PAGEREF _Toc243538508 \h </w:instrText>
            </w:r>
            <w:r>
              <w:rPr>
                <w:noProof/>
                <w:webHidden/>
              </w:rPr>
            </w:r>
            <w:r>
              <w:rPr>
                <w:noProof/>
                <w:webHidden/>
              </w:rPr>
              <w:fldChar w:fldCharType="separate"/>
            </w:r>
            <w:r>
              <w:rPr>
                <w:noProof/>
                <w:webHidden/>
              </w:rPr>
              <w:t>21</w:t>
            </w:r>
            <w:r>
              <w:rPr>
                <w:noProof/>
                <w:webHidden/>
              </w:rPr>
              <w:fldChar w:fldCharType="end"/>
            </w:r>
          </w:hyperlink>
        </w:p>
        <w:p w14:paraId="20878316" w14:textId="650D449E" w:rsidR="00385CE9" w:rsidRDefault="00385CE9">
          <w:pPr>
            <w:pStyle w:val="TOC2"/>
            <w:tabs>
              <w:tab w:val="left" w:pos="720"/>
              <w:tab w:val="right" w:leader="dot" w:pos="10070"/>
            </w:tabs>
            <w:rPr>
              <w:rFonts w:asciiTheme="minorHAnsi" w:eastAsiaTheme="minorEastAsia" w:hAnsiTheme="minorHAnsi" w:cstheme="minorBidi"/>
              <w:noProof/>
              <w:kern w:val="2"/>
              <w:sz w:val="24"/>
              <w:szCs w:val="24"/>
              <w14:ligatures w14:val="standardContextual"/>
            </w:rPr>
          </w:pPr>
          <w:hyperlink w:anchor="_Toc243538509" w:history="1">
            <w:r w:rsidRPr="00287A85">
              <w:rPr>
                <w:rStyle w:val="Hyperlink"/>
                <w:noProof/>
              </w:rPr>
              <w:t>5.1</w:t>
            </w:r>
            <w:r>
              <w:rPr>
                <w:rFonts w:asciiTheme="minorHAnsi" w:eastAsiaTheme="minorEastAsia" w:hAnsiTheme="minorHAnsi" w:cstheme="minorBidi"/>
                <w:noProof/>
                <w:kern w:val="2"/>
                <w:sz w:val="24"/>
                <w:szCs w:val="24"/>
                <w14:ligatures w14:val="standardContextual"/>
              </w:rPr>
              <w:tab/>
            </w:r>
            <w:r w:rsidRPr="00287A85">
              <w:rPr>
                <w:rStyle w:val="Hyperlink"/>
                <w:noProof/>
              </w:rPr>
              <w:t>Proposed Software Components</w:t>
            </w:r>
            <w:r>
              <w:rPr>
                <w:noProof/>
                <w:webHidden/>
              </w:rPr>
              <w:tab/>
            </w:r>
            <w:r>
              <w:rPr>
                <w:noProof/>
                <w:webHidden/>
              </w:rPr>
              <w:fldChar w:fldCharType="begin"/>
            </w:r>
            <w:r>
              <w:rPr>
                <w:noProof/>
                <w:webHidden/>
              </w:rPr>
              <w:instrText xml:space="preserve"> PAGEREF _Toc243538509 \h </w:instrText>
            </w:r>
            <w:r>
              <w:rPr>
                <w:noProof/>
                <w:webHidden/>
              </w:rPr>
            </w:r>
            <w:r>
              <w:rPr>
                <w:noProof/>
                <w:webHidden/>
              </w:rPr>
              <w:fldChar w:fldCharType="separate"/>
            </w:r>
            <w:r>
              <w:rPr>
                <w:noProof/>
                <w:webHidden/>
              </w:rPr>
              <w:t>21</w:t>
            </w:r>
            <w:r>
              <w:rPr>
                <w:noProof/>
                <w:webHidden/>
              </w:rPr>
              <w:fldChar w:fldCharType="end"/>
            </w:r>
          </w:hyperlink>
        </w:p>
        <w:p w14:paraId="09BCABFA" w14:textId="45D798BB"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0" w:history="1">
            <w:r w:rsidRPr="00287A85">
              <w:rPr>
                <w:rStyle w:val="Hyperlink"/>
                <w:noProof/>
              </w:rPr>
              <w:t>1. Data Ingestion and Integration</w:t>
            </w:r>
            <w:r>
              <w:rPr>
                <w:noProof/>
                <w:webHidden/>
              </w:rPr>
              <w:tab/>
            </w:r>
            <w:r>
              <w:rPr>
                <w:noProof/>
                <w:webHidden/>
              </w:rPr>
              <w:fldChar w:fldCharType="begin"/>
            </w:r>
            <w:r>
              <w:rPr>
                <w:noProof/>
                <w:webHidden/>
              </w:rPr>
              <w:instrText xml:space="preserve"> PAGEREF _Toc243538510 \h </w:instrText>
            </w:r>
            <w:r>
              <w:rPr>
                <w:noProof/>
                <w:webHidden/>
              </w:rPr>
            </w:r>
            <w:r>
              <w:rPr>
                <w:noProof/>
                <w:webHidden/>
              </w:rPr>
              <w:fldChar w:fldCharType="separate"/>
            </w:r>
            <w:r>
              <w:rPr>
                <w:noProof/>
                <w:webHidden/>
              </w:rPr>
              <w:t>21</w:t>
            </w:r>
            <w:r>
              <w:rPr>
                <w:noProof/>
                <w:webHidden/>
              </w:rPr>
              <w:fldChar w:fldCharType="end"/>
            </w:r>
          </w:hyperlink>
        </w:p>
        <w:p w14:paraId="261E4627" w14:textId="75A9E0EF"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1" w:history="1">
            <w:r w:rsidRPr="00287A85">
              <w:rPr>
                <w:rStyle w:val="Hyperlink"/>
                <w:noProof/>
              </w:rPr>
              <w:t>2. Central Data Hub</w:t>
            </w:r>
            <w:r>
              <w:rPr>
                <w:noProof/>
                <w:webHidden/>
              </w:rPr>
              <w:tab/>
            </w:r>
            <w:r>
              <w:rPr>
                <w:noProof/>
                <w:webHidden/>
              </w:rPr>
              <w:fldChar w:fldCharType="begin"/>
            </w:r>
            <w:r>
              <w:rPr>
                <w:noProof/>
                <w:webHidden/>
              </w:rPr>
              <w:instrText xml:space="preserve"> PAGEREF _Toc243538511 \h </w:instrText>
            </w:r>
            <w:r>
              <w:rPr>
                <w:noProof/>
                <w:webHidden/>
              </w:rPr>
            </w:r>
            <w:r>
              <w:rPr>
                <w:noProof/>
                <w:webHidden/>
              </w:rPr>
              <w:fldChar w:fldCharType="separate"/>
            </w:r>
            <w:r>
              <w:rPr>
                <w:noProof/>
                <w:webHidden/>
              </w:rPr>
              <w:t>21</w:t>
            </w:r>
            <w:r>
              <w:rPr>
                <w:noProof/>
                <w:webHidden/>
              </w:rPr>
              <w:fldChar w:fldCharType="end"/>
            </w:r>
          </w:hyperlink>
        </w:p>
        <w:p w14:paraId="7275FFB6" w14:textId="23B99785"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2" w:history="1">
            <w:r w:rsidRPr="00287A85">
              <w:rPr>
                <w:rStyle w:val="Hyperlink"/>
                <w:noProof/>
              </w:rPr>
              <w:t>3. Data Science and Analytics</w:t>
            </w:r>
            <w:r>
              <w:rPr>
                <w:noProof/>
                <w:webHidden/>
              </w:rPr>
              <w:tab/>
            </w:r>
            <w:r>
              <w:rPr>
                <w:noProof/>
                <w:webHidden/>
              </w:rPr>
              <w:fldChar w:fldCharType="begin"/>
            </w:r>
            <w:r>
              <w:rPr>
                <w:noProof/>
                <w:webHidden/>
              </w:rPr>
              <w:instrText xml:space="preserve"> PAGEREF _Toc243538512 \h </w:instrText>
            </w:r>
            <w:r>
              <w:rPr>
                <w:noProof/>
                <w:webHidden/>
              </w:rPr>
            </w:r>
            <w:r>
              <w:rPr>
                <w:noProof/>
                <w:webHidden/>
              </w:rPr>
              <w:fldChar w:fldCharType="separate"/>
            </w:r>
            <w:r>
              <w:rPr>
                <w:noProof/>
                <w:webHidden/>
              </w:rPr>
              <w:t>21</w:t>
            </w:r>
            <w:r>
              <w:rPr>
                <w:noProof/>
                <w:webHidden/>
              </w:rPr>
              <w:fldChar w:fldCharType="end"/>
            </w:r>
          </w:hyperlink>
        </w:p>
        <w:p w14:paraId="33DFD624" w14:textId="0D56ED49"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3" w:history="1">
            <w:r w:rsidRPr="00287A85">
              <w:rPr>
                <w:rStyle w:val="Hyperlink"/>
                <w:noProof/>
              </w:rPr>
              <w:t>4. Data Processing and Orchestration</w:t>
            </w:r>
            <w:r>
              <w:rPr>
                <w:noProof/>
                <w:webHidden/>
              </w:rPr>
              <w:tab/>
            </w:r>
            <w:r>
              <w:rPr>
                <w:noProof/>
                <w:webHidden/>
              </w:rPr>
              <w:fldChar w:fldCharType="begin"/>
            </w:r>
            <w:r>
              <w:rPr>
                <w:noProof/>
                <w:webHidden/>
              </w:rPr>
              <w:instrText xml:space="preserve"> PAGEREF _Toc243538513 \h </w:instrText>
            </w:r>
            <w:r>
              <w:rPr>
                <w:noProof/>
                <w:webHidden/>
              </w:rPr>
            </w:r>
            <w:r>
              <w:rPr>
                <w:noProof/>
                <w:webHidden/>
              </w:rPr>
              <w:fldChar w:fldCharType="separate"/>
            </w:r>
            <w:r>
              <w:rPr>
                <w:noProof/>
                <w:webHidden/>
              </w:rPr>
              <w:t>21</w:t>
            </w:r>
            <w:r>
              <w:rPr>
                <w:noProof/>
                <w:webHidden/>
              </w:rPr>
              <w:fldChar w:fldCharType="end"/>
            </w:r>
          </w:hyperlink>
        </w:p>
        <w:p w14:paraId="2D26E1A5" w14:textId="6E6AF1D9"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4" w:history="1">
            <w:r w:rsidRPr="00287A85">
              <w:rPr>
                <w:rStyle w:val="Hyperlink"/>
                <w:noProof/>
              </w:rPr>
              <w:t>5. Data Governance and Master Data Management</w:t>
            </w:r>
            <w:r>
              <w:rPr>
                <w:noProof/>
                <w:webHidden/>
              </w:rPr>
              <w:tab/>
            </w:r>
            <w:r>
              <w:rPr>
                <w:noProof/>
                <w:webHidden/>
              </w:rPr>
              <w:fldChar w:fldCharType="begin"/>
            </w:r>
            <w:r>
              <w:rPr>
                <w:noProof/>
                <w:webHidden/>
              </w:rPr>
              <w:instrText xml:space="preserve"> PAGEREF _Toc243538514 \h </w:instrText>
            </w:r>
            <w:r>
              <w:rPr>
                <w:noProof/>
                <w:webHidden/>
              </w:rPr>
            </w:r>
            <w:r>
              <w:rPr>
                <w:noProof/>
                <w:webHidden/>
              </w:rPr>
              <w:fldChar w:fldCharType="separate"/>
            </w:r>
            <w:r>
              <w:rPr>
                <w:noProof/>
                <w:webHidden/>
              </w:rPr>
              <w:t>22</w:t>
            </w:r>
            <w:r>
              <w:rPr>
                <w:noProof/>
                <w:webHidden/>
              </w:rPr>
              <w:fldChar w:fldCharType="end"/>
            </w:r>
          </w:hyperlink>
        </w:p>
        <w:p w14:paraId="47AB441E" w14:textId="30EC186F"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5" w:history="1">
            <w:r w:rsidRPr="00287A85">
              <w:rPr>
                <w:rStyle w:val="Hyperlink"/>
                <w:noProof/>
              </w:rPr>
              <w:t>6. Security and Identity Management</w:t>
            </w:r>
            <w:r>
              <w:rPr>
                <w:noProof/>
                <w:webHidden/>
              </w:rPr>
              <w:tab/>
            </w:r>
            <w:r>
              <w:rPr>
                <w:noProof/>
                <w:webHidden/>
              </w:rPr>
              <w:fldChar w:fldCharType="begin"/>
            </w:r>
            <w:r>
              <w:rPr>
                <w:noProof/>
                <w:webHidden/>
              </w:rPr>
              <w:instrText xml:space="preserve"> PAGEREF _Toc243538515 \h </w:instrText>
            </w:r>
            <w:r>
              <w:rPr>
                <w:noProof/>
                <w:webHidden/>
              </w:rPr>
            </w:r>
            <w:r>
              <w:rPr>
                <w:noProof/>
                <w:webHidden/>
              </w:rPr>
              <w:fldChar w:fldCharType="separate"/>
            </w:r>
            <w:r>
              <w:rPr>
                <w:noProof/>
                <w:webHidden/>
              </w:rPr>
              <w:t>22</w:t>
            </w:r>
            <w:r>
              <w:rPr>
                <w:noProof/>
                <w:webHidden/>
              </w:rPr>
              <w:fldChar w:fldCharType="end"/>
            </w:r>
          </w:hyperlink>
        </w:p>
        <w:p w14:paraId="10611030" w14:textId="73A4284C"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6" w:history="1">
            <w:r w:rsidRPr="00287A85">
              <w:rPr>
                <w:rStyle w:val="Hyperlink"/>
                <w:noProof/>
              </w:rPr>
              <w:t>7. High Availability, Disaster Recovery, and Backup</w:t>
            </w:r>
            <w:r>
              <w:rPr>
                <w:noProof/>
                <w:webHidden/>
              </w:rPr>
              <w:tab/>
            </w:r>
            <w:r>
              <w:rPr>
                <w:noProof/>
                <w:webHidden/>
              </w:rPr>
              <w:fldChar w:fldCharType="begin"/>
            </w:r>
            <w:r>
              <w:rPr>
                <w:noProof/>
                <w:webHidden/>
              </w:rPr>
              <w:instrText xml:space="preserve"> PAGEREF _Toc243538516 \h </w:instrText>
            </w:r>
            <w:r>
              <w:rPr>
                <w:noProof/>
                <w:webHidden/>
              </w:rPr>
            </w:r>
            <w:r>
              <w:rPr>
                <w:noProof/>
                <w:webHidden/>
              </w:rPr>
              <w:fldChar w:fldCharType="separate"/>
            </w:r>
            <w:r>
              <w:rPr>
                <w:noProof/>
                <w:webHidden/>
              </w:rPr>
              <w:t>22</w:t>
            </w:r>
            <w:r>
              <w:rPr>
                <w:noProof/>
                <w:webHidden/>
              </w:rPr>
              <w:fldChar w:fldCharType="end"/>
            </w:r>
          </w:hyperlink>
        </w:p>
        <w:p w14:paraId="76B6BA61" w14:textId="67CC14CE"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7" w:history="1">
            <w:r w:rsidRPr="00287A85">
              <w:rPr>
                <w:rStyle w:val="Hyperlink"/>
                <w:noProof/>
              </w:rPr>
              <w:t>8. Observability, Operations, and DevOps</w:t>
            </w:r>
            <w:r>
              <w:rPr>
                <w:noProof/>
                <w:webHidden/>
              </w:rPr>
              <w:tab/>
            </w:r>
            <w:r>
              <w:rPr>
                <w:noProof/>
                <w:webHidden/>
              </w:rPr>
              <w:fldChar w:fldCharType="begin"/>
            </w:r>
            <w:r>
              <w:rPr>
                <w:noProof/>
                <w:webHidden/>
              </w:rPr>
              <w:instrText xml:space="preserve"> PAGEREF _Toc243538517 \h </w:instrText>
            </w:r>
            <w:r>
              <w:rPr>
                <w:noProof/>
                <w:webHidden/>
              </w:rPr>
            </w:r>
            <w:r>
              <w:rPr>
                <w:noProof/>
                <w:webHidden/>
              </w:rPr>
              <w:fldChar w:fldCharType="separate"/>
            </w:r>
            <w:r>
              <w:rPr>
                <w:noProof/>
                <w:webHidden/>
              </w:rPr>
              <w:t>22</w:t>
            </w:r>
            <w:r>
              <w:rPr>
                <w:noProof/>
                <w:webHidden/>
              </w:rPr>
              <w:fldChar w:fldCharType="end"/>
            </w:r>
          </w:hyperlink>
        </w:p>
        <w:p w14:paraId="5B191D3D" w14:textId="12C1CC30"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8" w:history="1">
            <w:r w:rsidRPr="00287A85">
              <w:rPr>
                <w:rStyle w:val="Hyperlink"/>
                <w:noProof/>
              </w:rPr>
              <w:t>9. API Management Framework</w:t>
            </w:r>
            <w:r>
              <w:rPr>
                <w:noProof/>
                <w:webHidden/>
              </w:rPr>
              <w:tab/>
            </w:r>
            <w:r>
              <w:rPr>
                <w:noProof/>
                <w:webHidden/>
              </w:rPr>
              <w:fldChar w:fldCharType="begin"/>
            </w:r>
            <w:r>
              <w:rPr>
                <w:noProof/>
                <w:webHidden/>
              </w:rPr>
              <w:instrText xml:space="preserve"> PAGEREF _Toc243538518 \h </w:instrText>
            </w:r>
            <w:r>
              <w:rPr>
                <w:noProof/>
                <w:webHidden/>
              </w:rPr>
            </w:r>
            <w:r>
              <w:rPr>
                <w:noProof/>
                <w:webHidden/>
              </w:rPr>
              <w:fldChar w:fldCharType="separate"/>
            </w:r>
            <w:r>
              <w:rPr>
                <w:noProof/>
                <w:webHidden/>
              </w:rPr>
              <w:t>22</w:t>
            </w:r>
            <w:r>
              <w:rPr>
                <w:noProof/>
                <w:webHidden/>
              </w:rPr>
              <w:fldChar w:fldCharType="end"/>
            </w:r>
          </w:hyperlink>
        </w:p>
        <w:p w14:paraId="6D838CB1" w14:textId="683D54B6"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19" w:history="1">
            <w:r w:rsidRPr="00287A85">
              <w:rPr>
                <w:rStyle w:val="Hyperlink"/>
                <w:noProof/>
              </w:rPr>
              <w:t>10. Data Consumption and Presentation</w:t>
            </w:r>
            <w:r>
              <w:rPr>
                <w:noProof/>
                <w:webHidden/>
              </w:rPr>
              <w:tab/>
            </w:r>
            <w:r>
              <w:rPr>
                <w:noProof/>
                <w:webHidden/>
              </w:rPr>
              <w:fldChar w:fldCharType="begin"/>
            </w:r>
            <w:r>
              <w:rPr>
                <w:noProof/>
                <w:webHidden/>
              </w:rPr>
              <w:instrText xml:space="preserve"> PAGEREF _Toc243538519 \h </w:instrText>
            </w:r>
            <w:r>
              <w:rPr>
                <w:noProof/>
                <w:webHidden/>
              </w:rPr>
            </w:r>
            <w:r>
              <w:rPr>
                <w:noProof/>
                <w:webHidden/>
              </w:rPr>
              <w:fldChar w:fldCharType="separate"/>
            </w:r>
            <w:r>
              <w:rPr>
                <w:noProof/>
                <w:webHidden/>
              </w:rPr>
              <w:t>23</w:t>
            </w:r>
            <w:r>
              <w:rPr>
                <w:noProof/>
                <w:webHidden/>
              </w:rPr>
              <w:fldChar w:fldCharType="end"/>
            </w:r>
          </w:hyperlink>
        </w:p>
        <w:p w14:paraId="6AB952D7" w14:textId="3AC2E612" w:rsidR="00385CE9" w:rsidRDefault="00385CE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43538520" w:history="1">
            <w:r w:rsidRPr="00287A85">
              <w:rPr>
                <w:rStyle w:val="Hyperlink"/>
                <w:noProof/>
              </w:rPr>
              <w:t>11. Cloudera Platform Baseline</w:t>
            </w:r>
            <w:r>
              <w:rPr>
                <w:noProof/>
                <w:webHidden/>
              </w:rPr>
              <w:tab/>
            </w:r>
            <w:r>
              <w:rPr>
                <w:noProof/>
                <w:webHidden/>
              </w:rPr>
              <w:fldChar w:fldCharType="begin"/>
            </w:r>
            <w:r>
              <w:rPr>
                <w:noProof/>
                <w:webHidden/>
              </w:rPr>
              <w:instrText xml:space="preserve"> PAGEREF _Toc243538520 \h </w:instrText>
            </w:r>
            <w:r>
              <w:rPr>
                <w:noProof/>
                <w:webHidden/>
              </w:rPr>
            </w:r>
            <w:r>
              <w:rPr>
                <w:noProof/>
                <w:webHidden/>
              </w:rPr>
              <w:fldChar w:fldCharType="separate"/>
            </w:r>
            <w:r>
              <w:rPr>
                <w:noProof/>
                <w:webHidden/>
              </w:rPr>
              <w:t>23</w:t>
            </w:r>
            <w:r>
              <w:rPr>
                <w:noProof/>
                <w:webHidden/>
              </w:rPr>
              <w:fldChar w:fldCharType="end"/>
            </w:r>
          </w:hyperlink>
        </w:p>
        <w:p w14:paraId="62ABFBB6" w14:textId="5DBFDF88" w:rsidR="00385CE9" w:rsidRDefault="00385CE9">
          <w:pPr>
            <w:pStyle w:val="TOC1"/>
            <w:tabs>
              <w:tab w:val="left" w:pos="420"/>
              <w:tab w:val="right" w:leader="dot" w:pos="10070"/>
            </w:tabs>
            <w:rPr>
              <w:rFonts w:asciiTheme="minorHAnsi" w:eastAsiaTheme="minorEastAsia" w:hAnsiTheme="minorHAnsi" w:cstheme="minorBidi"/>
              <w:noProof/>
              <w:kern w:val="2"/>
              <w:sz w:val="24"/>
              <w:szCs w:val="24"/>
              <w14:ligatures w14:val="standardContextual"/>
            </w:rPr>
          </w:pPr>
          <w:hyperlink w:anchor="_Toc243538521" w:history="1">
            <w:r w:rsidRPr="00287A85">
              <w:rPr>
                <w:rStyle w:val="Hyperlink"/>
                <w:b/>
                <w:bCs/>
                <w:noProof/>
              </w:rPr>
              <w:t>6.</w:t>
            </w:r>
            <w:r>
              <w:rPr>
                <w:rFonts w:asciiTheme="minorHAnsi" w:eastAsiaTheme="minorEastAsia" w:hAnsiTheme="minorHAnsi" w:cstheme="minorBidi"/>
                <w:noProof/>
                <w:kern w:val="2"/>
                <w:sz w:val="24"/>
                <w:szCs w:val="24"/>
                <w14:ligatures w14:val="standardContextual"/>
              </w:rPr>
              <w:tab/>
            </w:r>
            <w:r w:rsidRPr="00287A85">
              <w:rPr>
                <w:rStyle w:val="Hyperlink"/>
                <w:b/>
                <w:bCs/>
                <w:noProof/>
              </w:rPr>
              <w:t>Conclusion</w:t>
            </w:r>
            <w:r>
              <w:rPr>
                <w:noProof/>
                <w:webHidden/>
              </w:rPr>
              <w:tab/>
            </w:r>
            <w:r>
              <w:rPr>
                <w:noProof/>
                <w:webHidden/>
              </w:rPr>
              <w:fldChar w:fldCharType="begin"/>
            </w:r>
            <w:r>
              <w:rPr>
                <w:noProof/>
                <w:webHidden/>
              </w:rPr>
              <w:instrText xml:space="preserve"> PAGEREF _Toc243538521 \h </w:instrText>
            </w:r>
            <w:r>
              <w:rPr>
                <w:noProof/>
                <w:webHidden/>
              </w:rPr>
            </w:r>
            <w:r>
              <w:rPr>
                <w:noProof/>
                <w:webHidden/>
              </w:rPr>
              <w:fldChar w:fldCharType="separate"/>
            </w:r>
            <w:r>
              <w:rPr>
                <w:noProof/>
                <w:webHidden/>
              </w:rPr>
              <w:t>24</w:t>
            </w:r>
            <w:r>
              <w:rPr>
                <w:noProof/>
                <w:webHidden/>
              </w:rPr>
              <w:fldChar w:fldCharType="end"/>
            </w:r>
          </w:hyperlink>
        </w:p>
        <w:p w14:paraId="7E6CE5F7" w14:textId="7AE46DC0" w:rsidR="009449D6" w:rsidRDefault="009449D6" w:rsidP="00CB742D">
          <w:pPr>
            <w:jc w:val="both"/>
          </w:pPr>
          <w:r>
            <w:rPr>
              <w:b/>
              <w:bCs/>
              <w:noProof/>
            </w:rPr>
            <w:fldChar w:fldCharType="end"/>
          </w:r>
        </w:p>
      </w:sdtContent>
    </w:sdt>
    <w:p w14:paraId="1FBB5631" w14:textId="70E665BF" w:rsidR="009449D6" w:rsidRDefault="009449D6" w:rsidP="00CB742D">
      <w:pPr>
        <w:jc w:val="both"/>
        <w:rPr>
          <w:b/>
          <w:bCs/>
          <w:color w:val="1F3864"/>
          <w:sz w:val="30"/>
          <w:szCs w:val="30"/>
        </w:rPr>
      </w:pPr>
      <w:r>
        <w:rPr>
          <w:b/>
          <w:bCs/>
          <w:color w:val="1F3864"/>
          <w:sz w:val="30"/>
          <w:szCs w:val="30"/>
        </w:rPr>
        <w:br w:type="page"/>
      </w:r>
    </w:p>
    <w:p w14:paraId="51DA4952" w14:textId="6AF0D4AF" w:rsidR="009449D6" w:rsidRDefault="00405CB4" w:rsidP="00CB742D">
      <w:pPr>
        <w:pStyle w:val="Heading1"/>
        <w:pBdr>
          <w:bottom w:val="single" w:sz="8" w:space="4" w:color="1F3864"/>
        </w:pBdr>
        <w:spacing w:before="360" w:after="180"/>
        <w:jc w:val="both"/>
        <w:rPr>
          <w:b/>
          <w:bCs/>
          <w:color w:val="1F3864"/>
          <w:sz w:val="30"/>
          <w:szCs w:val="30"/>
        </w:rPr>
      </w:pPr>
      <w:bookmarkStart w:id="0" w:name="_Toc243538491"/>
      <w:r>
        <w:rPr>
          <w:b/>
          <w:bCs/>
          <w:color w:val="2E5FA3"/>
          <w:sz w:val="30"/>
          <w:szCs w:val="30"/>
        </w:rPr>
        <w:lastRenderedPageBreak/>
        <w:t>Reference Architecture</w:t>
      </w:r>
      <w:bookmarkEnd w:id="0"/>
    </w:p>
    <w:p w14:paraId="4E692A9E" w14:textId="1C034AA8" w:rsidR="00C15A4B" w:rsidRPr="00355BFB" w:rsidRDefault="00673469" w:rsidP="00355BFB">
      <w:pPr>
        <w:pStyle w:val="Heading1"/>
        <w:numPr>
          <w:ilvl w:val="0"/>
          <w:numId w:val="3"/>
        </w:numPr>
        <w:pBdr>
          <w:bottom w:val="single" w:sz="8" w:space="4" w:color="1F3864"/>
        </w:pBdr>
        <w:spacing w:after="180"/>
        <w:ind w:left="270"/>
        <w:jc w:val="both"/>
        <w:rPr>
          <w:b/>
          <w:bCs/>
          <w:color w:val="2E5FA3"/>
          <w:sz w:val="30"/>
          <w:szCs w:val="30"/>
        </w:rPr>
      </w:pPr>
      <w:bookmarkStart w:id="1" w:name="_Toc243538492"/>
      <w:r w:rsidRPr="00355BFB">
        <w:rPr>
          <w:b/>
          <w:bCs/>
          <w:color w:val="2E5FA3"/>
          <w:sz w:val="30"/>
          <w:szCs w:val="30"/>
        </w:rPr>
        <w:t>Executive Summary</w:t>
      </w:r>
      <w:bookmarkEnd w:id="1"/>
    </w:p>
    <w:p w14:paraId="3394D6BA" w14:textId="77777777" w:rsidR="00C15A4B" w:rsidRDefault="00673469" w:rsidP="00CB742D">
      <w:pPr>
        <w:spacing w:after="160" w:line="276" w:lineRule="auto"/>
        <w:jc w:val="both"/>
      </w:pPr>
      <w:r>
        <w:t xml:space="preserve">This document presents a detailed, layer-by-layer technical write-up of the proposed Central Data Hub (CDH) Reference Architecture for the Federal Board of Revenue (FBR), delivered through Pakistan Revenue Automation (Pvt.) Limited (PRAL). The architecture is designed as a single, unified, fully on-premises data and analytics platform that consolidates transactional data from FBR's core systems — including IRIS, </w:t>
      </w:r>
      <w:proofErr w:type="spellStart"/>
      <w:r>
        <w:t>eFBR</w:t>
      </w:r>
      <w:proofErr w:type="spellEnd"/>
      <w:r>
        <w:t xml:space="preserve">, </w:t>
      </w:r>
      <w:proofErr w:type="spellStart"/>
      <w:r>
        <w:t>RegSys</w:t>
      </w:r>
      <w:proofErr w:type="spellEnd"/>
      <w:r>
        <w:t xml:space="preserve"> and TAMS — into a governed, secure, and high-performance environment capable of serving operational reporting, statutory compliance, executive decision-making, and advanced AI/ML-driven risk and compliance use cases.</w:t>
      </w:r>
    </w:p>
    <w:p w14:paraId="6FFE638D" w14:textId="6C131168" w:rsidR="00C15A4B" w:rsidRPr="00F704C3" w:rsidRDefault="00673469" w:rsidP="00CB742D">
      <w:pPr>
        <w:spacing w:after="160" w:line="276" w:lineRule="auto"/>
        <w:jc w:val="both"/>
        <w:rPr>
          <w:b/>
          <w:bCs/>
        </w:rPr>
      </w:pPr>
      <w:r>
        <w:t>The solution combines Oracle's engineered database and integration technologies (</w:t>
      </w:r>
      <w:proofErr w:type="spellStart"/>
      <w:r>
        <w:t>GoldenGate</w:t>
      </w:r>
      <w:proofErr w:type="spellEnd"/>
      <w:r>
        <w:t xml:space="preserve"> 26ai, Oracle AI Database 26ai on Exadata, Oracle Data Integrator) with HPE </w:t>
      </w:r>
      <w:proofErr w:type="spellStart"/>
      <w:r>
        <w:t>Alletra</w:t>
      </w:r>
      <w:proofErr w:type="spellEnd"/>
      <w:r>
        <w:t xml:space="preserve"> Storage MP X10000 as the S3-compatible object storage tier, Redis Enterprise as the enterprise in-memory serving store, and Cloudera's open data </w:t>
      </w:r>
      <w:proofErr w:type="spellStart"/>
      <w:r>
        <w:t>lakehouse</w:t>
      </w:r>
      <w:proofErr w:type="spellEnd"/>
      <w:r>
        <w:t xml:space="preserve"> and streaming/AI processing stack (Kafka, Flink, Cloudera Data Engineering, Cloudera AI) alongside Apache </w:t>
      </w:r>
      <w:proofErr w:type="spellStart"/>
      <w:r>
        <w:t>NiFi</w:t>
      </w:r>
      <w:proofErr w:type="spellEnd"/>
      <w:r>
        <w:t xml:space="preserve"> for heterogeneous ingestion. The platform is governed end-to-end by </w:t>
      </w:r>
      <w:proofErr w:type="spellStart"/>
      <w:r w:rsidR="00F704C3" w:rsidRPr="00F704C3">
        <w:t>Semarchy</w:t>
      </w:r>
      <w:proofErr w:type="spellEnd"/>
      <w:r w:rsidR="00F704C3" w:rsidRPr="00F704C3">
        <w:t xml:space="preserve"> Data Platform</w:t>
      </w:r>
      <w:r>
        <w:t>, which delivers data governance and catalog, data quality, and Master and Reference Data Management (MDM + RDM) from a single product, and is consumed through Tableau Server and Oracle Analytics Server. All data products are exposed to internal and external consumers through the WSO2 API Manager, and the entire platform is wrapped in cross-cutting security, high availability/disaster recovery, and observability layers that operate uniformly across every tier.</w:t>
      </w:r>
    </w:p>
    <w:p w14:paraId="0D3E0B17" w14:textId="5D5E0207" w:rsidR="00C15A4B" w:rsidRDefault="00673469" w:rsidP="00CB742D">
      <w:pPr>
        <w:spacing w:after="160" w:line="276" w:lineRule="auto"/>
        <w:jc w:val="both"/>
      </w:pPr>
      <w:r>
        <w:t>The write-up below follows the eleven functional zones depicted in the Reference Architecture Diagram: Data Sources, Ingestion &amp; Integration, the Central Data Hub itself (Object Storage, MPP Database, Enterprise In-Memory Store, Bronze/Silver/Gold/Cache layers), Data Science &amp; Analytics, Data Processing &amp; Orchestration, Data Governance &amp; Master Data, Security &amp; Management, High Availability/DR &amp; Backup, Observability/Operations/DevOps, the API Framework, and Data Consumers — followed by a consolidated end-to-end data flow narrative describing how a single record moves from a source transactional system through to a taxpayer-facing insight or officer dashboard. Components marked with a star in the diagram are licensed by PRAL.</w:t>
      </w:r>
    </w:p>
    <w:p w14:paraId="55EC605D" w14:textId="03320FB4" w:rsidR="006940BD" w:rsidRPr="006940BD" w:rsidRDefault="00AB6C03" w:rsidP="006940BD">
      <w:pPr>
        <w:spacing w:after="160" w:line="276" w:lineRule="auto"/>
        <w:jc w:val="both"/>
      </w:pPr>
      <w:r>
        <w:rPr>
          <w:noProof/>
        </w:rPr>
        <w:lastRenderedPageBreak/>
        <w:drawing>
          <wp:inline distT="0" distB="0" distL="0" distR="0" wp14:anchorId="492289E8" wp14:editId="602193DB">
            <wp:extent cx="6391275" cy="4257675"/>
            <wp:effectExtent l="0" t="0" r="9525" b="9525"/>
            <wp:docPr id="16364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4257675"/>
                    </a:xfrm>
                    <a:prstGeom prst="rect">
                      <a:avLst/>
                    </a:prstGeom>
                    <a:noFill/>
                    <a:ln>
                      <a:noFill/>
                    </a:ln>
                  </pic:spPr>
                </pic:pic>
              </a:graphicData>
            </a:graphic>
          </wp:inline>
        </w:drawing>
      </w:r>
    </w:p>
    <w:p w14:paraId="506FFB9B" w14:textId="3CCA9D70" w:rsidR="009C2C7E" w:rsidRDefault="009C2C7E" w:rsidP="00CB742D">
      <w:pPr>
        <w:spacing w:after="160" w:line="276" w:lineRule="auto"/>
        <w:jc w:val="both"/>
      </w:pPr>
    </w:p>
    <w:p w14:paraId="3639730B" w14:textId="77777777" w:rsidR="006940BD" w:rsidRDefault="006940BD" w:rsidP="00CB742D">
      <w:pPr>
        <w:spacing w:after="160" w:line="276" w:lineRule="auto"/>
        <w:jc w:val="both"/>
      </w:pPr>
    </w:p>
    <w:p w14:paraId="60FF94DC" w14:textId="211EFC87" w:rsidR="006940BD" w:rsidRDefault="006940BD" w:rsidP="00CB742D">
      <w:pPr>
        <w:spacing w:after="160" w:line="276" w:lineRule="auto"/>
        <w:jc w:val="both"/>
      </w:pPr>
    </w:p>
    <w:p w14:paraId="67091B97" w14:textId="2B4F6D40" w:rsidR="008F2996" w:rsidRDefault="008F2996" w:rsidP="00CB742D">
      <w:pPr>
        <w:spacing w:after="160" w:line="276" w:lineRule="auto"/>
        <w:jc w:val="both"/>
      </w:pPr>
    </w:p>
    <w:p w14:paraId="203C365E" w14:textId="4BFC6C1C" w:rsidR="00C15A4B" w:rsidRDefault="009C2C7E" w:rsidP="00355BFB">
      <w:pPr>
        <w:pStyle w:val="Heading1"/>
        <w:numPr>
          <w:ilvl w:val="0"/>
          <w:numId w:val="3"/>
        </w:numPr>
        <w:pBdr>
          <w:bottom w:val="single" w:sz="8" w:space="4" w:color="1F3864"/>
        </w:pBdr>
        <w:spacing w:after="180"/>
        <w:ind w:left="270"/>
        <w:jc w:val="both"/>
      </w:pPr>
      <w:r>
        <w:rPr>
          <w:b/>
          <w:bCs/>
          <w:color w:val="1F3864"/>
          <w:sz w:val="30"/>
          <w:szCs w:val="30"/>
        </w:rPr>
        <w:br w:type="page"/>
      </w:r>
      <w:bookmarkStart w:id="2" w:name="_Toc243538493"/>
      <w:r w:rsidRPr="00355BFB">
        <w:rPr>
          <w:b/>
          <w:bCs/>
          <w:color w:val="2E5FA3"/>
          <w:sz w:val="30"/>
          <w:szCs w:val="30"/>
        </w:rPr>
        <w:lastRenderedPageBreak/>
        <w:t>Guiding Design Principles</w:t>
      </w:r>
      <w:bookmarkEnd w:id="2"/>
    </w:p>
    <w:p w14:paraId="40FE72CA" w14:textId="77777777" w:rsidR="00C15A4B" w:rsidRDefault="00673469" w:rsidP="00CB742D">
      <w:pPr>
        <w:pStyle w:val="ListParagraph"/>
        <w:numPr>
          <w:ilvl w:val="0"/>
          <w:numId w:val="2"/>
        </w:numPr>
        <w:spacing w:after="90" w:line="270" w:lineRule="auto"/>
        <w:jc w:val="both"/>
      </w:pPr>
      <w:r>
        <w:rPr>
          <w:b/>
          <w:bCs/>
        </w:rPr>
        <w:t xml:space="preserve">Full On-Premises / Air-Gapped Operation: </w:t>
      </w:r>
      <w:r>
        <w:t>every component of the stack — compute, storage, in-memory serving, governance, AI/ML, API management, security, and monitoring — is licensed and deployed exclusively within FBR's designated on-premises network perimeter, with no dependency on public cloud or external network connectivity at any point in the pipeline.</w:t>
      </w:r>
    </w:p>
    <w:p w14:paraId="7C868386" w14:textId="77777777" w:rsidR="00C15A4B" w:rsidRDefault="00673469" w:rsidP="00CB742D">
      <w:pPr>
        <w:pStyle w:val="ListParagraph"/>
        <w:numPr>
          <w:ilvl w:val="0"/>
          <w:numId w:val="2"/>
        </w:numPr>
        <w:spacing w:after="90" w:line="270" w:lineRule="auto"/>
        <w:jc w:val="both"/>
      </w:pPr>
      <w:r>
        <w:rPr>
          <w:b/>
          <w:bCs/>
        </w:rPr>
        <w:t xml:space="preserve">Oracle as the Central Data Hub, Open Engines for Processing &amp; Lakehouse: </w:t>
      </w:r>
      <w:r>
        <w:t xml:space="preserve">Oracle AI Database 26ai and Oracle Exadata form the authoritative, high-performance MPP core and system of record for governed data products, while HPE </w:t>
      </w:r>
      <w:proofErr w:type="spellStart"/>
      <w:r>
        <w:t>Alletra</w:t>
      </w:r>
      <w:proofErr w:type="spellEnd"/>
      <w:r>
        <w:t xml:space="preserve"> Storage MP X10000 provides the scalable object-storage data lake, and open-source-based engines (Apache </w:t>
      </w:r>
      <w:proofErr w:type="spellStart"/>
      <w:r>
        <w:t>NiFi</w:t>
      </w:r>
      <w:proofErr w:type="spellEnd"/>
      <w:r>
        <w:t>, Kafka, Flink, Spark, Cloudera AI) provide ingestion, streaming, orchestration and AI/ML processing over the same open table formats (Apache Iceberg, Parquet).</w:t>
      </w:r>
    </w:p>
    <w:p w14:paraId="4F70AB35" w14:textId="77777777" w:rsidR="00C15A4B" w:rsidRDefault="00673469" w:rsidP="00CB742D">
      <w:pPr>
        <w:pStyle w:val="ListParagraph"/>
        <w:numPr>
          <w:ilvl w:val="0"/>
          <w:numId w:val="2"/>
        </w:numPr>
        <w:spacing w:after="90" w:line="270" w:lineRule="auto"/>
        <w:jc w:val="both"/>
      </w:pPr>
      <w:r>
        <w:rPr>
          <w:b/>
          <w:bCs/>
        </w:rPr>
        <w:t xml:space="preserve">Medallion Data Architecture: </w:t>
      </w:r>
      <w:r>
        <w:t>data progresses through clearly defined Bronze (raw), Silver (conformed/historized) and Gold (dimensional/analytical) layers, with a dedicated Redis Enterprise in-memory Cache layer for sub-millisecond serving — ensuring traceability, auditability and reprocessing capability at every stage.</w:t>
      </w:r>
    </w:p>
    <w:p w14:paraId="3064F017" w14:textId="73E28689" w:rsidR="00C15A4B" w:rsidRDefault="00673469" w:rsidP="00CB742D">
      <w:pPr>
        <w:pStyle w:val="ListParagraph"/>
        <w:numPr>
          <w:ilvl w:val="0"/>
          <w:numId w:val="2"/>
        </w:numPr>
        <w:spacing w:after="90" w:line="270" w:lineRule="auto"/>
        <w:jc w:val="both"/>
      </w:pPr>
      <w:r>
        <w:rPr>
          <w:b/>
          <w:bCs/>
        </w:rPr>
        <w:t xml:space="preserve">Governance-by-Design: </w:t>
      </w:r>
      <w:proofErr w:type="spellStart"/>
      <w:r w:rsidR="005D56D1">
        <w:t>Semarchy</w:t>
      </w:r>
      <w:proofErr w:type="spellEnd"/>
      <w:r w:rsidR="005D56D1">
        <w:t xml:space="preserve"> Data </w:t>
      </w:r>
      <w:proofErr w:type="spellStart"/>
      <w:r w:rsidR="005D56D1">
        <w:t>Plarform</w:t>
      </w:r>
      <w:proofErr w:type="spellEnd"/>
      <w:r w:rsidR="00F704C3">
        <w:t xml:space="preserve"> </w:t>
      </w:r>
      <w:r>
        <w:t>is woven into ingestion, transformation and publication checkpoints as the single platform for governance, catalog, data quality and master/reference data, so that no dataset reaches a business consumer without lineage, classification, quality certification and stewardship sign-off.</w:t>
      </w:r>
    </w:p>
    <w:p w14:paraId="2B5B620C" w14:textId="77777777" w:rsidR="00C15A4B" w:rsidRDefault="00673469" w:rsidP="00CB742D">
      <w:pPr>
        <w:pStyle w:val="ListParagraph"/>
        <w:numPr>
          <w:ilvl w:val="0"/>
          <w:numId w:val="2"/>
        </w:numPr>
        <w:spacing w:after="90" w:line="270" w:lineRule="auto"/>
        <w:jc w:val="both"/>
      </w:pPr>
      <w:r>
        <w:rPr>
          <w:b/>
          <w:bCs/>
        </w:rPr>
        <w:t xml:space="preserve">Security and Compliance as a Cross-Cutting Fabric: </w:t>
      </w:r>
      <w:r>
        <w:t>identity, encryption, masking, auditing and SIEM integration are applied uniformly across every layer — including the API gateway and the in-memory tier — rather than bolted onto individual components, satisfying FBR's regulatory and legal-defensibility requirements for tax data.</w:t>
      </w:r>
    </w:p>
    <w:p w14:paraId="6BCD28F8" w14:textId="31FECAC2" w:rsidR="00C15A4B" w:rsidRDefault="00673469" w:rsidP="00CB742D">
      <w:pPr>
        <w:pStyle w:val="ListParagraph"/>
        <w:numPr>
          <w:ilvl w:val="0"/>
          <w:numId w:val="2"/>
        </w:numPr>
        <w:spacing w:after="90" w:line="270" w:lineRule="auto"/>
        <w:jc w:val="both"/>
      </w:pPr>
      <w:r>
        <w:rPr>
          <w:b/>
          <w:bCs/>
        </w:rPr>
        <w:t xml:space="preserve">High Availability and Zero Data Loss: </w:t>
      </w:r>
      <w:r>
        <w:t xml:space="preserve">clustered, redundant infrastructure at every tier (RAC + Active Data Guard + </w:t>
      </w:r>
      <w:proofErr w:type="spellStart"/>
      <w:r>
        <w:t>GoldenGate</w:t>
      </w:r>
      <w:proofErr w:type="spellEnd"/>
      <w:r>
        <w:t xml:space="preserve">, Exadata HA, erasure-coded </w:t>
      </w:r>
      <w:proofErr w:type="spellStart"/>
      <w:r>
        <w:t>Alletra</w:t>
      </w:r>
      <w:proofErr w:type="spellEnd"/>
      <w:r>
        <w:t xml:space="preserve"> object storage, Redis Enterprise clustering and replication, Cloudera clustering, </w:t>
      </w:r>
      <w:r w:rsidR="00AB6C03">
        <w:t>Cohesity NetBackup</w:t>
      </w:r>
      <w:r>
        <w:t xml:space="preserve"> immutable backup, and an active DR site) removes single points of failure and bounds recovery time and recovery point objectives.</w:t>
      </w:r>
    </w:p>
    <w:p w14:paraId="54949962" w14:textId="77777777" w:rsidR="009C2C7E" w:rsidRDefault="009C2C7E" w:rsidP="00CB742D">
      <w:pPr>
        <w:jc w:val="both"/>
        <w:rPr>
          <w:b/>
          <w:bCs/>
          <w:color w:val="1F3864"/>
          <w:sz w:val="30"/>
          <w:szCs w:val="30"/>
        </w:rPr>
      </w:pPr>
      <w:r>
        <w:rPr>
          <w:b/>
          <w:bCs/>
          <w:color w:val="1F3864"/>
          <w:sz w:val="30"/>
          <w:szCs w:val="30"/>
        </w:rPr>
        <w:br w:type="page"/>
      </w:r>
    </w:p>
    <w:p w14:paraId="38A99E4A" w14:textId="3897CDE9" w:rsidR="00C15A4B" w:rsidRPr="00355BFB" w:rsidRDefault="00673469" w:rsidP="00355BFB">
      <w:pPr>
        <w:pStyle w:val="Heading1"/>
        <w:numPr>
          <w:ilvl w:val="0"/>
          <w:numId w:val="3"/>
        </w:numPr>
        <w:pBdr>
          <w:bottom w:val="single" w:sz="8" w:space="4" w:color="1F3864"/>
        </w:pBdr>
        <w:spacing w:after="180"/>
        <w:ind w:left="270"/>
        <w:jc w:val="both"/>
        <w:rPr>
          <w:b/>
          <w:bCs/>
          <w:color w:val="2E5FA3"/>
          <w:sz w:val="30"/>
          <w:szCs w:val="30"/>
        </w:rPr>
      </w:pPr>
      <w:bookmarkStart w:id="3" w:name="_Toc243538494"/>
      <w:r w:rsidRPr="00355BFB">
        <w:rPr>
          <w:b/>
          <w:bCs/>
          <w:color w:val="2E5FA3"/>
          <w:sz w:val="30"/>
          <w:szCs w:val="30"/>
        </w:rPr>
        <w:lastRenderedPageBreak/>
        <w:t>Architecture at a Glance</w:t>
      </w:r>
      <w:bookmarkEnd w:id="3"/>
    </w:p>
    <w:p w14:paraId="5E2A61CF" w14:textId="77777777" w:rsidR="00C15A4B" w:rsidRDefault="00673469" w:rsidP="00CB742D">
      <w:pPr>
        <w:spacing w:after="160" w:line="276" w:lineRule="auto"/>
        <w:jc w:val="both"/>
      </w:pPr>
      <w:r>
        <w:t>The Reference Architecture Diagram organizes the platform into eleven functional zones, numbered 1 through 11, spanning the full journey of data from source system to consumer, plus four cross-cutting horizontal layers (Governance, Security, HA/DR, and Observability) that operate across every zone. The table below summarizes each zone before the detailed component-level description in Section 4.</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C15A4B" w14:paraId="6A660D58" w14:textId="77777777">
        <w:trPr>
          <w:tblHeader/>
        </w:trPr>
        <w:tc>
          <w:tcPr>
            <w:tcW w:w="2600" w:type="dxa"/>
            <w:shd w:val="clear" w:color="auto" w:fill="1F3864"/>
            <w:tcMar>
              <w:top w:w="80" w:type="dxa"/>
              <w:left w:w="100" w:type="dxa"/>
              <w:bottom w:w="80" w:type="dxa"/>
              <w:right w:w="100" w:type="dxa"/>
            </w:tcMar>
            <w:vAlign w:val="center"/>
          </w:tcPr>
          <w:p w14:paraId="1AF735BE" w14:textId="77777777" w:rsidR="00C15A4B" w:rsidRDefault="00673469" w:rsidP="00CB742D">
            <w:pPr>
              <w:jc w:val="both"/>
            </w:pPr>
            <w:r>
              <w:rPr>
                <w:b/>
                <w:bCs/>
                <w:color w:val="FFFFFF"/>
                <w:sz w:val="19"/>
                <w:szCs w:val="19"/>
              </w:rPr>
              <w:t>Component</w:t>
            </w:r>
          </w:p>
        </w:tc>
        <w:tc>
          <w:tcPr>
            <w:tcW w:w="3400" w:type="dxa"/>
            <w:shd w:val="clear" w:color="auto" w:fill="1F3864"/>
            <w:tcMar>
              <w:top w:w="80" w:type="dxa"/>
              <w:left w:w="100" w:type="dxa"/>
              <w:bottom w:w="80" w:type="dxa"/>
              <w:right w:w="100" w:type="dxa"/>
            </w:tcMar>
            <w:vAlign w:val="center"/>
          </w:tcPr>
          <w:p w14:paraId="18D570F3" w14:textId="77777777" w:rsidR="00C15A4B" w:rsidRDefault="00673469" w:rsidP="00CB742D">
            <w:pPr>
              <w:jc w:val="both"/>
            </w:pPr>
            <w:r>
              <w:rPr>
                <w:b/>
                <w:bCs/>
                <w:color w:val="FFFFFF"/>
                <w:sz w:val="19"/>
                <w:szCs w:val="19"/>
              </w:rPr>
              <w:t>Technology / Product</w:t>
            </w:r>
          </w:p>
        </w:tc>
        <w:tc>
          <w:tcPr>
            <w:tcW w:w="3600" w:type="dxa"/>
            <w:shd w:val="clear" w:color="auto" w:fill="1F3864"/>
            <w:tcMar>
              <w:top w:w="80" w:type="dxa"/>
              <w:left w:w="100" w:type="dxa"/>
              <w:bottom w:w="80" w:type="dxa"/>
              <w:right w:w="100" w:type="dxa"/>
            </w:tcMar>
            <w:vAlign w:val="center"/>
          </w:tcPr>
          <w:p w14:paraId="4F5AD339" w14:textId="77777777" w:rsidR="00C15A4B" w:rsidRDefault="00673469" w:rsidP="00CB742D">
            <w:pPr>
              <w:jc w:val="both"/>
            </w:pPr>
            <w:r>
              <w:rPr>
                <w:b/>
                <w:bCs/>
                <w:color w:val="FFFFFF"/>
                <w:sz w:val="19"/>
                <w:szCs w:val="19"/>
              </w:rPr>
              <w:t>Role &amp; Function</w:t>
            </w:r>
          </w:p>
        </w:tc>
      </w:tr>
      <w:tr w:rsidR="00C15A4B" w14:paraId="02DD40DB" w14:textId="77777777">
        <w:tc>
          <w:tcPr>
            <w:tcW w:w="2600" w:type="dxa"/>
            <w:shd w:val="clear" w:color="auto" w:fill="FFFFFF"/>
            <w:tcMar>
              <w:top w:w="80" w:type="dxa"/>
              <w:left w:w="100" w:type="dxa"/>
              <w:bottom w:w="80" w:type="dxa"/>
              <w:right w:w="100" w:type="dxa"/>
            </w:tcMar>
            <w:vAlign w:val="center"/>
          </w:tcPr>
          <w:p w14:paraId="681AC86D" w14:textId="77777777" w:rsidR="00C15A4B" w:rsidRDefault="00673469" w:rsidP="00CB742D">
            <w:pPr>
              <w:jc w:val="both"/>
            </w:pPr>
            <w:r>
              <w:rPr>
                <w:b/>
                <w:bCs/>
                <w:color w:val="000000"/>
                <w:sz w:val="19"/>
                <w:szCs w:val="19"/>
              </w:rPr>
              <w:t>1. Data Sources</w:t>
            </w:r>
          </w:p>
        </w:tc>
        <w:tc>
          <w:tcPr>
            <w:tcW w:w="3400" w:type="dxa"/>
            <w:shd w:val="clear" w:color="auto" w:fill="FFFFFF"/>
            <w:tcMar>
              <w:top w:w="80" w:type="dxa"/>
              <w:left w:w="100" w:type="dxa"/>
              <w:bottom w:w="80" w:type="dxa"/>
              <w:right w:w="100" w:type="dxa"/>
            </w:tcMar>
            <w:vAlign w:val="center"/>
          </w:tcPr>
          <w:p w14:paraId="6687E72B" w14:textId="77777777" w:rsidR="00C15A4B" w:rsidRDefault="00673469" w:rsidP="00CB742D">
            <w:pPr>
              <w:jc w:val="both"/>
            </w:pPr>
            <w:r>
              <w:rPr>
                <w:color w:val="000000"/>
                <w:sz w:val="19"/>
                <w:szCs w:val="19"/>
              </w:rPr>
              <w:t>Oracle, SQL Server, PostgreSQL, third-party/commercial systems, REST/SOAP APIs, flat files, future IoT/event sources</w:t>
            </w:r>
          </w:p>
        </w:tc>
        <w:tc>
          <w:tcPr>
            <w:tcW w:w="3600" w:type="dxa"/>
            <w:shd w:val="clear" w:color="auto" w:fill="FFFFFF"/>
            <w:tcMar>
              <w:top w:w="80" w:type="dxa"/>
              <w:left w:w="100" w:type="dxa"/>
              <w:bottom w:w="80" w:type="dxa"/>
              <w:right w:w="100" w:type="dxa"/>
            </w:tcMar>
            <w:vAlign w:val="center"/>
          </w:tcPr>
          <w:p w14:paraId="06BC5A34" w14:textId="77777777" w:rsidR="00C15A4B" w:rsidRDefault="00673469" w:rsidP="00CB742D">
            <w:pPr>
              <w:jc w:val="both"/>
            </w:pPr>
            <w:r>
              <w:rPr>
                <w:color w:val="000000"/>
                <w:sz w:val="19"/>
                <w:szCs w:val="19"/>
              </w:rPr>
              <w:t>Originating systems of record that feed the platform — transactional tax systems, external partner feeds and future real-time sensors.</w:t>
            </w:r>
          </w:p>
        </w:tc>
      </w:tr>
      <w:tr w:rsidR="00C15A4B" w14:paraId="35CA2AEB" w14:textId="77777777">
        <w:tc>
          <w:tcPr>
            <w:tcW w:w="2600" w:type="dxa"/>
            <w:shd w:val="clear" w:color="auto" w:fill="F2F2F2"/>
            <w:tcMar>
              <w:top w:w="80" w:type="dxa"/>
              <w:left w:w="100" w:type="dxa"/>
              <w:bottom w:w="80" w:type="dxa"/>
              <w:right w:w="100" w:type="dxa"/>
            </w:tcMar>
            <w:vAlign w:val="center"/>
          </w:tcPr>
          <w:p w14:paraId="7D0DBB5D" w14:textId="77777777" w:rsidR="00C15A4B" w:rsidRDefault="00673469" w:rsidP="00CB742D">
            <w:pPr>
              <w:jc w:val="both"/>
            </w:pPr>
            <w:r>
              <w:rPr>
                <w:b/>
                <w:bCs/>
                <w:color w:val="000000"/>
                <w:sz w:val="19"/>
                <w:szCs w:val="19"/>
              </w:rPr>
              <w:t>2. Ingestion &amp; Integration</w:t>
            </w:r>
          </w:p>
        </w:tc>
        <w:tc>
          <w:tcPr>
            <w:tcW w:w="3400" w:type="dxa"/>
            <w:shd w:val="clear" w:color="auto" w:fill="F2F2F2"/>
            <w:tcMar>
              <w:top w:w="80" w:type="dxa"/>
              <w:left w:w="100" w:type="dxa"/>
              <w:bottom w:w="80" w:type="dxa"/>
              <w:right w:w="100" w:type="dxa"/>
            </w:tcMar>
            <w:vAlign w:val="center"/>
          </w:tcPr>
          <w:p w14:paraId="12D9ECA1" w14:textId="77777777" w:rsidR="00C15A4B" w:rsidRDefault="00673469" w:rsidP="00CB742D">
            <w:pPr>
              <w:jc w:val="both"/>
            </w:pPr>
            <w:r>
              <w:rPr>
                <w:color w:val="000000"/>
                <w:sz w:val="19"/>
                <w:szCs w:val="19"/>
              </w:rPr>
              <w:t xml:space="preserve">Oracle </w:t>
            </w:r>
            <w:proofErr w:type="spellStart"/>
            <w:r>
              <w:rPr>
                <w:color w:val="000000"/>
                <w:sz w:val="19"/>
                <w:szCs w:val="19"/>
              </w:rPr>
              <w:t>GoldenGate</w:t>
            </w:r>
            <w:proofErr w:type="spellEnd"/>
            <w:r>
              <w:rPr>
                <w:color w:val="000000"/>
                <w:sz w:val="19"/>
                <w:szCs w:val="19"/>
              </w:rPr>
              <w:t xml:space="preserve"> 26ai, Apache </w:t>
            </w:r>
            <w:proofErr w:type="spellStart"/>
            <w:r>
              <w:rPr>
                <w:color w:val="000000"/>
                <w:sz w:val="19"/>
                <w:szCs w:val="19"/>
              </w:rPr>
              <w:t>NiFi</w:t>
            </w:r>
            <w:proofErr w:type="spellEnd"/>
            <w:r>
              <w:rPr>
                <w:color w:val="000000"/>
                <w:sz w:val="19"/>
                <w:szCs w:val="19"/>
              </w:rPr>
              <w:t>, Cloudera Streams/Kafka, Oracle ODI</w:t>
            </w:r>
          </w:p>
        </w:tc>
        <w:tc>
          <w:tcPr>
            <w:tcW w:w="3600" w:type="dxa"/>
            <w:shd w:val="clear" w:color="auto" w:fill="F2F2F2"/>
            <w:tcMar>
              <w:top w:w="80" w:type="dxa"/>
              <w:left w:w="100" w:type="dxa"/>
              <w:bottom w:w="80" w:type="dxa"/>
              <w:right w:w="100" w:type="dxa"/>
            </w:tcMar>
            <w:vAlign w:val="center"/>
          </w:tcPr>
          <w:p w14:paraId="4D57A10C" w14:textId="77777777" w:rsidR="00C15A4B" w:rsidRDefault="00673469" w:rsidP="00CB742D">
            <w:pPr>
              <w:jc w:val="both"/>
            </w:pPr>
            <w:r>
              <w:rPr>
                <w:color w:val="000000"/>
                <w:sz w:val="19"/>
                <w:szCs w:val="19"/>
              </w:rPr>
              <w:t>Captures and moves data from sources into the hub via log-based CDC, batch/API/file ingestion, streaming and ELT orchestration.</w:t>
            </w:r>
          </w:p>
        </w:tc>
      </w:tr>
      <w:tr w:rsidR="00C15A4B" w14:paraId="511B376A" w14:textId="77777777">
        <w:tc>
          <w:tcPr>
            <w:tcW w:w="2600" w:type="dxa"/>
            <w:shd w:val="clear" w:color="auto" w:fill="FFFFFF"/>
            <w:tcMar>
              <w:top w:w="80" w:type="dxa"/>
              <w:left w:w="100" w:type="dxa"/>
              <w:bottom w:w="80" w:type="dxa"/>
              <w:right w:w="100" w:type="dxa"/>
            </w:tcMar>
            <w:vAlign w:val="center"/>
          </w:tcPr>
          <w:p w14:paraId="27DD3FE1" w14:textId="77777777" w:rsidR="00C15A4B" w:rsidRDefault="00673469" w:rsidP="00CB742D">
            <w:pPr>
              <w:jc w:val="both"/>
            </w:pPr>
            <w:r>
              <w:rPr>
                <w:b/>
                <w:bCs/>
                <w:color w:val="000000"/>
                <w:sz w:val="19"/>
                <w:szCs w:val="19"/>
              </w:rPr>
              <w:t>3. Central Data Hub</w:t>
            </w:r>
          </w:p>
        </w:tc>
        <w:tc>
          <w:tcPr>
            <w:tcW w:w="3400" w:type="dxa"/>
            <w:shd w:val="clear" w:color="auto" w:fill="FFFFFF"/>
            <w:tcMar>
              <w:top w:w="80" w:type="dxa"/>
              <w:left w:w="100" w:type="dxa"/>
              <w:bottom w:w="80" w:type="dxa"/>
              <w:right w:w="100" w:type="dxa"/>
            </w:tcMar>
            <w:vAlign w:val="center"/>
          </w:tcPr>
          <w:p w14:paraId="6DE871A7" w14:textId="77777777" w:rsidR="00C15A4B" w:rsidRDefault="00673469" w:rsidP="00CB742D">
            <w:pPr>
              <w:jc w:val="both"/>
            </w:pPr>
            <w:r>
              <w:rPr>
                <w:color w:val="000000"/>
                <w:sz w:val="19"/>
                <w:szCs w:val="19"/>
              </w:rPr>
              <w:t xml:space="preserve">HPE </w:t>
            </w:r>
            <w:proofErr w:type="spellStart"/>
            <w:r>
              <w:rPr>
                <w:color w:val="000000"/>
                <w:sz w:val="19"/>
                <w:szCs w:val="19"/>
              </w:rPr>
              <w:t>Alletra</w:t>
            </w:r>
            <w:proofErr w:type="spellEnd"/>
            <w:r>
              <w:rPr>
                <w:color w:val="000000"/>
                <w:sz w:val="19"/>
                <w:szCs w:val="19"/>
              </w:rPr>
              <w:t xml:space="preserve"> Storage MP X10000 (Object Storage), Oracle Exadata / AI Database 26ai (MPP), Redis Enterprise, Bronze/Silver/Gold/Cache layers, Iceberg + Parquet</w:t>
            </w:r>
          </w:p>
        </w:tc>
        <w:tc>
          <w:tcPr>
            <w:tcW w:w="3600" w:type="dxa"/>
            <w:shd w:val="clear" w:color="auto" w:fill="FFFFFF"/>
            <w:tcMar>
              <w:top w:w="80" w:type="dxa"/>
              <w:left w:w="100" w:type="dxa"/>
              <w:bottom w:w="80" w:type="dxa"/>
              <w:right w:w="100" w:type="dxa"/>
            </w:tcMar>
            <w:vAlign w:val="center"/>
          </w:tcPr>
          <w:p w14:paraId="095D087C" w14:textId="77777777" w:rsidR="00C15A4B" w:rsidRDefault="00673469" w:rsidP="00CB742D">
            <w:pPr>
              <w:jc w:val="both"/>
            </w:pPr>
            <w:r>
              <w:rPr>
                <w:color w:val="000000"/>
                <w:sz w:val="19"/>
                <w:szCs w:val="19"/>
              </w:rPr>
              <w:t xml:space="preserve">The unified </w:t>
            </w:r>
            <w:proofErr w:type="spellStart"/>
            <w:r>
              <w:rPr>
                <w:color w:val="000000"/>
                <w:sz w:val="19"/>
                <w:szCs w:val="19"/>
              </w:rPr>
              <w:t>lakehouse</w:t>
            </w:r>
            <w:proofErr w:type="spellEnd"/>
            <w:r>
              <w:rPr>
                <w:color w:val="000000"/>
                <w:sz w:val="19"/>
                <w:szCs w:val="19"/>
              </w:rPr>
              <w:t xml:space="preserve"> core: raw, curated, dimensional and serving layers, with federated query across open formats and in-memory serving.</w:t>
            </w:r>
          </w:p>
        </w:tc>
      </w:tr>
      <w:tr w:rsidR="00C15A4B" w14:paraId="0D9A3C0C" w14:textId="77777777">
        <w:tc>
          <w:tcPr>
            <w:tcW w:w="2600" w:type="dxa"/>
            <w:shd w:val="clear" w:color="auto" w:fill="F2F2F2"/>
            <w:tcMar>
              <w:top w:w="80" w:type="dxa"/>
              <w:left w:w="100" w:type="dxa"/>
              <w:bottom w:w="80" w:type="dxa"/>
              <w:right w:w="100" w:type="dxa"/>
            </w:tcMar>
            <w:vAlign w:val="center"/>
          </w:tcPr>
          <w:p w14:paraId="1C29CA75" w14:textId="77777777" w:rsidR="00C15A4B" w:rsidRDefault="00673469" w:rsidP="00CB742D">
            <w:pPr>
              <w:jc w:val="both"/>
            </w:pPr>
            <w:r>
              <w:rPr>
                <w:b/>
                <w:bCs/>
                <w:color w:val="000000"/>
                <w:sz w:val="19"/>
                <w:szCs w:val="19"/>
              </w:rPr>
              <w:t>4. Data Science &amp; Analytics</w:t>
            </w:r>
          </w:p>
        </w:tc>
        <w:tc>
          <w:tcPr>
            <w:tcW w:w="3400" w:type="dxa"/>
            <w:shd w:val="clear" w:color="auto" w:fill="F2F2F2"/>
            <w:tcMar>
              <w:top w:w="80" w:type="dxa"/>
              <w:left w:w="100" w:type="dxa"/>
              <w:bottom w:w="80" w:type="dxa"/>
              <w:right w:w="100" w:type="dxa"/>
            </w:tcMar>
            <w:vAlign w:val="center"/>
          </w:tcPr>
          <w:p w14:paraId="0A48A208" w14:textId="77777777" w:rsidR="00C15A4B" w:rsidRDefault="00673469" w:rsidP="00CB742D">
            <w:pPr>
              <w:jc w:val="both"/>
            </w:pPr>
            <w:r>
              <w:rPr>
                <w:color w:val="000000"/>
                <w:sz w:val="19"/>
                <w:szCs w:val="19"/>
              </w:rPr>
              <w:t>Cloudera AI (Feature Store, Model Training/Inference), Tableau Advanced Analytics &amp; Visualization</w:t>
            </w:r>
          </w:p>
        </w:tc>
        <w:tc>
          <w:tcPr>
            <w:tcW w:w="3600" w:type="dxa"/>
            <w:shd w:val="clear" w:color="auto" w:fill="F2F2F2"/>
            <w:tcMar>
              <w:top w:w="80" w:type="dxa"/>
              <w:left w:w="100" w:type="dxa"/>
              <w:bottom w:w="80" w:type="dxa"/>
              <w:right w:w="100" w:type="dxa"/>
            </w:tcMar>
            <w:vAlign w:val="center"/>
          </w:tcPr>
          <w:p w14:paraId="1F7CB0E0" w14:textId="77777777" w:rsidR="00C15A4B" w:rsidRDefault="00673469" w:rsidP="00CB742D">
            <w:pPr>
              <w:jc w:val="both"/>
            </w:pPr>
            <w:r>
              <w:rPr>
                <w:color w:val="000000"/>
                <w:sz w:val="19"/>
                <w:szCs w:val="19"/>
              </w:rPr>
              <w:t>Model training, feature serving and advanced statistical/visual analytics.</w:t>
            </w:r>
          </w:p>
        </w:tc>
      </w:tr>
      <w:tr w:rsidR="00C15A4B" w14:paraId="3B10CDF8" w14:textId="77777777">
        <w:tc>
          <w:tcPr>
            <w:tcW w:w="2600" w:type="dxa"/>
            <w:shd w:val="clear" w:color="auto" w:fill="FFFFFF"/>
            <w:tcMar>
              <w:top w:w="80" w:type="dxa"/>
              <w:left w:w="100" w:type="dxa"/>
              <w:bottom w:w="80" w:type="dxa"/>
              <w:right w:w="100" w:type="dxa"/>
            </w:tcMar>
            <w:vAlign w:val="center"/>
          </w:tcPr>
          <w:p w14:paraId="70FE5473" w14:textId="77777777" w:rsidR="00C15A4B" w:rsidRDefault="00673469" w:rsidP="00CB742D">
            <w:pPr>
              <w:jc w:val="both"/>
            </w:pPr>
            <w:r>
              <w:rPr>
                <w:b/>
                <w:bCs/>
                <w:color w:val="000000"/>
                <w:sz w:val="19"/>
                <w:szCs w:val="19"/>
              </w:rPr>
              <w:t>5. Data Processing &amp; Orchestration</w:t>
            </w:r>
          </w:p>
        </w:tc>
        <w:tc>
          <w:tcPr>
            <w:tcW w:w="3400" w:type="dxa"/>
            <w:shd w:val="clear" w:color="auto" w:fill="FFFFFF"/>
            <w:tcMar>
              <w:top w:w="80" w:type="dxa"/>
              <w:left w:w="100" w:type="dxa"/>
              <w:bottom w:w="80" w:type="dxa"/>
              <w:right w:w="100" w:type="dxa"/>
            </w:tcMar>
            <w:vAlign w:val="center"/>
          </w:tcPr>
          <w:p w14:paraId="67FAB38A" w14:textId="77777777" w:rsidR="00C15A4B" w:rsidRDefault="00673469" w:rsidP="00CB742D">
            <w:pPr>
              <w:jc w:val="both"/>
            </w:pPr>
            <w:r>
              <w:rPr>
                <w:color w:val="000000"/>
                <w:sz w:val="19"/>
                <w:szCs w:val="19"/>
              </w:rPr>
              <w:t>ODI, Cloudera Data Engineering (Airflow + Spark), Cloudera Streaming Analytics (Flink), Cloudera AI</w:t>
            </w:r>
          </w:p>
        </w:tc>
        <w:tc>
          <w:tcPr>
            <w:tcW w:w="3600" w:type="dxa"/>
            <w:shd w:val="clear" w:color="auto" w:fill="FFFFFF"/>
            <w:tcMar>
              <w:top w:w="80" w:type="dxa"/>
              <w:left w:w="100" w:type="dxa"/>
              <w:bottom w:w="80" w:type="dxa"/>
              <w:right w:w="100" w:type="dxa"/>
            </w:tcMar>
            <w:vAlign w:val="center"/>
          </w:tcPr>
          <w:p w14:paraId="17C6A767" w14:textId="77777777" w:rsidR="00C15A4B" w:rsidRDefault="00673469" w:rsidP="00CB742D">
            <w:pPr>
              <w:jc w:val="both"/>
            </w:pPr>
            <w:r>
              <w:rPr>
                <w:color w:val="000000"/>
                <w:sz w:val="19"/>
                <w:szCs w:val="19"/>
              </w:rPr>
              <w:t>Batch ELT, DAG-based orchestration, real-time stream processing and AI/ML pipeline execution.</w:t>
            </w:r>
          </w:p>
        </w:tc>
      </w:tr>
      <w:tr w:rsidR="00C15A4B" w14:paraId="49A46106" w14:textId="77777777">
        <w:tc>
          <w:tcPr>
            <w:tcW w:w="2600" w:type="dxa"/>
            <w:shd w:val="clear" w:color="auto" w:fill="F2F2F2"/>
            <w:tcMar>
              <w:top w:w="80" w:type="dxa"/>
              <w:left w:w="100" w:type="dxa"/>
              <w:bottom w:w="80" w:type="dxa"/>
              <w:right w:w="100" w:type="dxa"/>
            </w:tcMar>
            <w:vAlign w:val="center"/>
          </w:tcPr>
          <w:p w14:paraId="0EBA7BBD" w14:textId="77777777" w:rsidR="00C15A4B" w:rsidRDefault="00673469" w:rsidP="00CB742D">
            <w:pPr>
              <w:jc w:val="both"/>
            </w:pPr>
            <w:r>
              <w:rPr>
                <w:b/>
                <w:bCs/>
                <w:color w:val="000000"/>
                <w:sz w:val="19"/>
                <w:szCs w:val="19"/>
              </w:rPr>
              <w:t>6. Data Governance &amp; Master Data</w:t>
            </w:r>
          </w:p>
        </w:tc>
        <w:tc>
          <w:tcPr>
            <w:tcW w:w="3400" w:type="dxa"/>
            <w:shd w:val="clear" w:color="auto" w:fill="F2F2F2"/>
            <w:tcMar>
              <w:top w:w="80" w:type="dxa"/>
              <w:left w:w="100" w:type="dxa"/>
              <w:bottom w:w="80" w:type="dxa"/>
              <w:right w:w="100" w:type="dxa"/>
            </w:tcMar>
            <w:vAlign w:val="center"/>
          </w:tcPr>
          <w:p w14:paraId="2329B091" w14:textId="305A98B6" w:rsidR="00C15A4B" w:rsidRDefault="00F704C3" w:rsidP="00CB742D">
            <w:pPr>
              <w:jc w:val="both"/>
            </w:pPr>
            <w:r>
              <w:rPr>
                <w:color w:val="000000"/>
                <w:sz w:val="19"/>
                <w:szCs w:val="19"/>
              </w:rPr>
              <w:t>SEMARCHY DATA PLATFORM</w:t>
            </w:r>
            <w:r w:rsidR="00474015">
              <w:rPr>
                <w:color w:val="000000"/>
                <w:sz w:val="19"/>
                <w:szCs w:val="19"/>
              </w:rPr>
              <w:t xml:space="preserve"> </w:t>
            </w:r>
            <w:r w:rsidR="00673469">
              <w:rPr>
                <w:color w:val="000000"/>
                <w:sz w:val="19"/>
                <w:szCs w:val="19"/>
              </w:rPr>
              <w:t>(Governance &amp; Catalog, Data Quality, MDM + RDM, Metadata/Lineage)</w:t>
            </w:r>
          </w:p>
        </w:tc>
        <w:tc>
          <w:tcPr>
            <w:tcW w:w="3600" w:type="dxa"/>
            <w:shd w:val="clear" w:color="auto" w:fill="F2F2F2"/>
            <w:tcMar>
              <w:top w:w="80" w:type="dxa"/>
              <w:left w:w="100" w:type="dxa"/>
              <w:bottom w:w="80" w:type="dxa"/>
              <w:right w:w="100" w:type="dxa"/>
            </w:tcMar>
            <w:vAlign w:val="center"/>
          </w:tcPr>
          <w:p w14:paraId="11677947" w14:textId="77777777" w:rsidR="00C15A4B" w:rsidRDefault="00673469" w:rsidP="00CB742D">
            <w:pPr>
              <w:jc w:val="both"/>
            </w:pPr>
            <w:r>
              <w:rPr>
                <w:color w:val="000000"/>
                <w:sz w:val="19"/>
                <w:szCs w:val="19"/>
              </w:rPr>
              <w:t>One product delivering glossary, lineage, stewardship, data quality, and golden-record master/reference data.</w:t>
            </w:r>
          </w:p>
        </w:tc>
      </w:tr>
      <w:tr w:rsidR="00C15A4B" w14:paraId="294F5F3E" w14:textId="77777777">
        <w:tc>
          <w:tcPr>
            <w:tcW w:w="2600" w:type="dxa"/>
            <w:shd w:val="clear" w:color="auto" w:fill="FFFFFF"/>
            <w:tcMar>
              <w:top w:w="80" w:type="dxa"/>
              <w:left w:w="100" w:type="dxa"/>
              <w:bottom w:w="80" w:type="dxa"/>
              <w:right w:w="100" w:type="dxa"/>
            </w:tcMar>
            <w:vAlign w:val="center"/>
          </w:tcPr>
          <w:p w14:paraId="422B00EA" w14:textId="77777777" w:rsidR="00C15A4B" w:rsidRDefault="00673469" w:rsidP="00CB742D">
            <w:pPr>
              <w:jc w:val="both"/>
            </w:pPr>
            <w:r>
              <w:rPr>
                <w:b/>
                <w:bCs/>
                <w:color w:val="000000"/>
                <w:sz w:val="19"/>
                <w:szCs w:val="19"/>
              </w:rPr>
              <w:t>7. Security &amp; Management</w:t>
            </w:r>
          </w:p>
        </w:tc>
        <w:tc>
          <w:tcPr>
            <w:tcW w:w="3400" w:type="dxa"/>
            <w:shd w:val="clear" w:color="auto" w:fill="FFFFFF"/>
            <w:tcMar>
              <w:top w:w="80" w:type="dxa"/>
              <w:left w:w="100" w:type="dxa"/>
              <w:bottom w:w="80" w:type="dxa"/>
              <w:right w:w="100" w:type="dxa"/>
            </w:tcMar>
            <w:vAlign w:val="center"/>
          </w:tcPr>
          <w:p w14:paraId="06CEF3C4" w14:textId="77777777" w:rsidR="00C15A4B" w:rsidRDefault="00673469" w:rsidP="00CB742D">
            <w:pPr>
              <w:jc w:val="both"/>
            </w:pPr>
            <w:proofErr w:type="spellStart"/>
            <w:r>
              <w:rPr>
                <w:color w:val="000000"/>
                <w:sz w:val="19"/>
                <w:szCs w:val="19"/>
              </w:rPr>
              <w:t>Keycloak</w:t>
            </w:r>
            <w:proofErr w:type="spellEnd"/>
            <w:r>
              <w:rPr>
                <w:color w:val="000000"/>
                <w:sz w:val="19"/>
                <w:szCs w:val="19"/>
              </w:rPr>
              <w:t xml:space="preserve"> + AD/LDAP, Cloudera Advanced Security, Audit/DAM/SIEM, TLS 1.2/HTTPS, RBAC/ABAC, Encryption at Rest, Secrets/Key </w:t>
            </w:r>
            <w:proofErr w:type="spellStart"/>
            <w:r>
              <w:rPr>
                <w:color w:val="000000"/>
                <w:sz w:val="19"/>
                <w:szCs w:val="19"/>
              </w:rPr>
              <w:t>Mgmt</w:t>
            </w:r>
            <w:proofErr w:type="spellEnd"/>
          </w:p>
        </w:tc>
        <w:tc>
          <w:tcPr>
            <w:tcW w:w="3600" w:type="dxa"/>
            <w:shd w:val="clear" w:color="auto" w:fill="FFFFFF"/>
            <w:tcMar>
              <w:top w:w="80" w:type="dxa"/>
              <w:left w:w="100" w:type="dxa"/>
              <w:bottom w:w="80" w:type="dxa"/>
              <w:right w:w="100" w:type="dxa"/>
            </w:tcMar>
            <w:vAlign w:val="center"/>
          </w:tcPr>
          <w:p w14:paraId="4C6A691D" w14:textId="77777777" w:rsidR="00C15A4B" w:rsidRDefault="00673469" w:rsidP="00CB742D">
            <w:pPr>
              <w:jc w:val="both"/>
            </w:pPr>
            <w:r>
              <w:rPr>
                <w:color w:val="000000"/>
                <w:sz w:val="19"/>
                <w:szCs w:val="19"/>
              </w:rPr>
              <w:t>Identity, encryption, masking, access control, auditing and secrets management applied across all layers.</w:t>
            </w:r>
          </w:p>
        </w:tc>
      </w:tr>
      <w:tr w:rsidR="00C15A4B" w14:paraId="1A3A99D2" w14:textId="77777777">
        <w:tc>
          <w:tcPr>
            <w:tcW w:w="2600" w:type="dxa"/>
            <w:shd w:val="clear" w:color="auto" w:fill="F2F2F2"/>
            <w:tcMar>
              <w:top w:w="80" w:type="dxa"/>
              <w:left w:w="100" w:type="dxa"/>
              <w:bottom w:w="80" w:type="dxa"/>
              <w:right w:w="100" w:type="dxa"/>
            </w:tcMar>
            <w:vAlign w:val="center"/>
          </w:tcPr>
          <w:p w14:paraId="6505A1F7" w14:textId="77777777" w:rsidR="00C15A4B" w:rsidRDefault="00673469" w:rsidP="00CB742D">
            <w:pPr>
              <w:jc w:val="both"/>
            </w:pPr>
            <w:r>
              <w:rPr>
                <w:b/>
                <w:bCs/>
                <w:color w:val="000000"/>
                <w:sz w:val="19"/>
                <w:szCs w:val="19"/>
              </w:rPr>
              <w:t>8. High Availability, DR &amp; Backup</w:t>
            </w:r>
          </w:p>
        </w:tc>
        <w:tc>
          <w:tcPr>
            <w:tcW w:w="3400" w:type="dxa"/>
            <w:shd w:val="clear" w:color="auto" w:fill="F2F2F2"/>
            <w:tcMar>
              <w:top w:w="80" w:type="dxa"/>
              <w:left w:w="100" w:type="dxa"/>
              <w:bottom w:w="80" w:type="dxa"/>
              <w:right w:w="100" w:type="dxa"/>
            </w:tcMar>
            <w:vAlign w:val="center"/>
          </w:tcPr>
          <w:p w14:paraId="242375C5" w14:textId="43DDD2DB" w:rsidR="00C15A4B" w:rsidRDefault="00673469" w:rsidP="00CB742D">
            <w:pPr>
              <w:jc w:val="both"/>
            </w:pPr>
            <w:r>
              <w:rPr>
                <w:color w:val="000000"/>
                <w:sz w:val="19"/>
                <w:szCs w:val="19"/>
              </w:rPr>
              <w:t xml:space="preserve">Oracle RAC + Active Data Guard + </w:t>
            </w:r>
            <w:proofErr w:type="spellStart"/>
            <w:r>
              <w:rPr>
                <w:color w:val="000000"/>
                <w:sz w:val="19"/>
                <w:szCs w:val="19"/>
              </w:rPr>
              <w:t>GoldenGate</w:t>
            </w:r>
            <w:proofErr w:type="spellEnd"/>
            <w:r>
              <w:rPr>
                <w:color w:val="000000"/>
                <w:sz w:val="19"/>
                <w:szCs w:val="19"/>
              </w:rPr>
              <w:t xml:space="preserve">, Exadata/AI Database HA, Cloudera HA/Scalability, </w:t>
            </w:r>
            <w:r w:rsidR="00AB6C03">
              <w:rPr>
                <w:color w:val="000000"/>
                <w:sz w:val="19"/>
                <w:szCs w:val="19"/>
              </w:rPr>
              <w:t>Cohesity NetBackup</w:t>
            </w:r>
            <w:r>
              <w:rPr>
                <w:color w:val="000000"/>
                <w:sz w:val="19"/>
                <w:szCs w:val="19"/>
              </w:rPr>
              <w:t>, Primary/DR sites</w:t>
            </w:r>
          </w:p>
        </w:tc>
        <w:tc>
          <w:tcPr>
            <w:tcW w:w="3600" w:type="dxa"/>
            <w:shd w:val="clear" w:color="auto" w:fill="F2F2F2"/>
            <w:tcMar>
              <w:top w:w="80" w:type="dxa"/>
              <w:left w:w="100" w:type="dxa"/>
              <w:bottom w:w="80" w:type="dxa"/>
              <w:right w:w="100" w:type="dxa"/>
            </w:tcMar>
            <w:vAlign w:val="center"/>
          </w:tcPr>
          <w:p w14:paraId="7F69D5C3" w14:textId="77777777" w:rsidR="00C15A4B" w:rsidRDefault="00673469" w:rsidP="00CB742D">
            <w:pPr>
              <w:jc w:val="both"/>
            </w:pPr>
            <w:r>
              <w:rPr>
                <w:color w:val="000000"/>
                <w:sz w:val="19"/>
                <w:szCs w:val="19"/>
              </w:rPr>
              <w:t>Clustering, replication, failover and immutable backup ensuring continuity and disaster recovery.</w:t>
            </w:r>
          </w:p>
        </w:tc>
      </w:tr>
      <w:tr w:rsidR="00C15A4B" w14:paraId="5923F892" w14:textId="77777777">
        <w:tc>
          <w:tcPr>
            <w:tcW w:w="2600" w:type="dxa"/>
            <w:shd w:val="clear" w:color="auto" w:fill="FFFFFF"/>
            <w:tcMar>
              <w:top w:w="80" w:type="dxa"/>
              <w:left w:w="100" w:type="dxa"/>
              <w:bottom w:w="80" w:type="dxa"/>
              <w:right w:w="100" w:type="dxa"/>
            </w:tcMar>
            <w:vAlign w:val="center"/>
          </w:tcPr>
          <w:p w14:paraId="552BCA0E" w14:textId="77777777" w:rsidR="00C15A4B" w:rsidRDefault="00673469" w:rsidP="00CB742D">
            <w:pPr>
              <w:jc w:val="both"/>
            </w:pPr>
            <w:r>
              <w:rPr>
                <w:b/>
                <w:bCs/>
                <w:color w:val="000000"/>
                <w:sz w:val="19"/>
                <w:szCs w:val="19"/>
              </w:rPr>
              <w:t>9. Observability, Operations &amp; DevOps</w:t>
            </w:r>
          </w:p>
        </w:tc>
        <w:tc>
          <w:tcPr>
            <w:tcW w:w="3400" w:type="dxa"/>
            <w:shd w:val="clear" w:color="auto" w:fill="FFFFFF"/>
            <w:tcMar>
              <w:top w:w="80" w:type="dxa"/>
              <w:left w:w="100" w:type="dxa"/>
              <w:bottom w:w="80" w:type="dxa"/>
              <w:right w:w="100" w:type="dxa"/>
            </w:tcMar>
            <w:vAlign w:val="center"/>
          </w:tcPr>
          <w:p w14:paraId="0BF360D8" w14:textId="77777777" w:rsidR="00C15A4B" w:rsidRDefault="00673469" w:rsidP="00CB742D">
            <w:pPr>
              <w:jc w:val="both"/>
            </w:pPr>
            <w:r>
              <w:rPr>
                <w:color w:val="000000"/>
                <w:sz w:val="19"/>
                <w:szCs w:val="19"/>
              </w:rPr>
              <w:t>Oracle Enterprise Manager, Cloudera Manager, Prometheus/Grafana/Loki, Splunk, GitLab + Argo CD, CI/CD</w:t>
            </w:r>
          </w:p>
        </w:tc>
        <w:tc>
          <w:tcPr>
            <w:tcW w:w="3600" w:type="dxa"/>
            <w:shd w:val="clear" w:color="auto" w:fill="FFFFFF"/>
            <w:tcMar>
              <w:top w:w="80" w:type="dxa"/>
              <w:left w:w="100" w:type="dxa"/>
              <w:bottom w:w="80" w:type="dxa"/>
              <w:right w:w="100" w:type="dxa"/>
            </w:tcMar>
            <w:vAlign w:val="center"/>
          </w:tcPr>
          <w:p w14:paraId="12D6E536" w14:textId="77777777" w:rsidR="00C15A4B" w:rsidRDefault="00673469" w:rsidP="00CB742D">
            <w:pPr>
              <w:jc w:val="both"/>
            </w:pPr>
            <w:r>
              <w:rPr>
                <w:color w:val="000000"/>
                <w:sz w:val="19"/>
                <w:szCs w:val="19"/>
              </w:rPr>
              <w:t xml:space="preserve">Infrastructure and platform monitoring, log aggregation, SIEM, and </w:t>
            </w:r>
            <w:proofErr w:type="spellStart"/>
            <w:r>
              <w:rPr>
                <w:color w:val="000000"/>
                <w:sz w:val="19"/>
                <w:szCs w:val="19"/>
              </w:rPr>
              <w:t>GitOps</w:t>
            </w:r>
            <w:proofErr w:type="spellEnd"/>
            <w:r>
              <w:rPr>
                <w:color w:val="000000"/>
                <w:sz w:val="19"/>
                <w:szCs w:val="19"/>
              </w:rPr>
              <w:t xml:space="preserve"> deployment pipelines.</w:t>
            </w:r>
          </w:p>
        </w:tc>
      </w:tr>
      <w:tr w:rsidR="00C15A4B" w14:paraId="789B3BF2" w14:textId="77777777">
        <w:tc>
          <w:tcPr>
            <w:tcW w:w="2600" w:type="dxa"/>
            <w:shd w:val="clear" w:color="auto" w:fill="F2F2F2"/>
            <w:tcMar>
              <w:top w:w="80" w:type="dxa"/>
              <w:left w:w="100" w:type="dxa"/>
              <w:bottom w:w="80" w:type="dxa"/>
              <w:right w:w="100" w:type="dxa"/>
            </w:tcMar>
            <w:vAlign w:val="center"/>
          </w:tcPr>
          <w:p w14:paraId="5403DC78" w14:textId="77777777" w:rsidR="00C15A4B" w:rsidRDefault="00673469" w:rsidP="00CB742D">
            <w:pPr>
              <w:jc w:val="both"/>
            </w:pPr>
            <w:r>
              <w:rPr>
                <w:b/>
                <w:bCs/>
                <w:color w:val="000000"/>
                <w:sz w:val="19"/>
                <w:szCs w:val="19"/>
              </w:rPr>
              <w:t>10. API Framework</w:t>
            </w:r>
          </w:p>
        </w:tc>
        <w:tc>
          <w:tcPr>
            <w:tcW w:w="3400" w:type="dxa"/>
            <w:shd w:val="clear" w:color="auto" w:fill="F2F2F2"/>
            <w:tcMar>
              <w:top w:w="80" w:type="dxa"/>
              <w:left w:w="100" w:type="dxa"/>
              <w:bottom w:w="80" w:type="dxa"/>
              <w:right w:w="100" w:type="dxa"/>
            </w:tcMar>
            <w:vAlign w:val="center"/>
          </w:tcPr>
          <w:p w14:paraId="332DC2DC" w14:textId="77777777" w:rsidR="00C15A4B" w:rsidRDefault="00673469" w:rsidP="00CB742D">
            <w:pPr>
              <w:jc w:val="both"/>
            </w:pPr>
            <w:r>
              <w:rPr>
                <w:color w:val="000000"/>
                <w:sz w:val="19"/>
                <w:szCs w:val="19"/>
              </w:rPr>
              <w:t>WSO2 API Manager</w:t>
            </w:r>
          </w:p>
        </w:tc>
        <w:tc>
          <w:tcPr>
            <w:tcW w:w="3600" w:type="dxa"/>
            <w:shd w:val="clear" w:color="auto" w:fill="F2F2F2"/>
            <w:tcMar>
              <w:top w:w="80" w:type="dxa"/>
              <w:left w:w="100" w:type="dxa"/>
              <w:bottom w:w="80" w:type="dxa"/>
              <w:right w:w="100" w:type="dxa"/>
            </w:tcMar>
            <w:vAlign w:val="center"/>
          </w:tcPr>
          <w:p w14:paraId="7D992E89" w14:textId="77777777" w:rsidR="00C15A4B" w:rsidRDefault="00673469" w:rsidP="00CB742D">
            <w:pPr>
              <w:jc w:val="both"/>
            </w:pPr>
            <w:r>
              <w:rPr>
                <w:color w:val="000000"/>
                <w:sz w:val="19"/>
                <w:szCs w:val="19"/>
              </w:rPr>
              <w:t>REST/SOAP API gateway providing security, throttling, versioning, audit and governed data-product exposure.</w:t>
            </w:r>
          </w:p>
        </w:tc>
      </w:tr>
      <w:tr w:rsidR="00C15A4B" w14:paraId="5BF3A8C8" w14:textId="77777777">
        <w:tc>
          <w:tcPr>
            <w:tcW w:w="2600" w:type="dxa"/>
            <w:shd w:val="clear" w:color="auto" w:fill="FFFFFF"/>
            <w:tcMar>
              <w:top w:w="80" w:type="dxa"/>
              <w:left w:w="100" w:type="dxa"/>
              <w:bottom w:w="80" w:type="dxa"/>
              <w:right w:w="100" w:type="dxa"/>
            </w:tcMar>
            <w:vAlign w:val="center"/>
          </w:tcPr>
          <w:p w14:paraId="7657AE9E" w14:textId="77777777" w:rsidR="00C15A4B" w:rsidRDefault="00673469" w:rsidP="00CB742D">
            <w:pPr>
              <w:jc w:val="both"/>
            </w:pPr>
            <w:r>
              <w:rPr>
                <w:b/>
                <w:bCs/>
                <w:color w:val="000000"/>
                <w:sz w:val="19"/>
                <w:szCs w:val="19"/>
              </w:rPr>
              <w:t>11. Data Consumers</w:t>
            </w:r>
          </w:p>
        </w:tc>
        <w:tc>
          <w:tcPr>
            <w:tcW w:w="3400" w:type="dxa"/>
            <w:shd w:val="clear" w:color="auto" w:fill="FFFFFF"/>
            <w:tcMar>
              <w:top w:w="80" w:type="dxa"/>
              <w:left w:w="100" w:type="dxa"/>
              <w:bottom w:w="80" w:type="dxa"/>
              <w:right w:w="100" w:type="dxa"/>
            </w:tcMar>
            <w:vAlign w:val="center"/>
          </w:tcPr>
          <w:p w14:paraId="1CD2DF68" w14:textId="77777777" w:rsidR="00C15A4B" w:rsidRDefault="00673469" w:rsidP="00CB742D">
            <w:pPr>
              <w:jc w:val="both"/>
            </w:pPr>
            <w:r>
              <w:rPr>
                <w:color w:val="000000"/>
                <w:sz w:val="19"/>
                <w:szCs w:val="19"/>
              </w:rPr>
              <w:t>Tableau Server, Oracle Analytics Server (OAS), Cloudera AI, in-house applications, third-party/partner systems</w:t>
            </w:r>
          </w:p>
        </w:tc>
        <w:tc>
          <w:tcPr>
            <w:tcW w:w="3600" w:type="dxa"/>
            <w:shd w:val="clear" w:color="auto" w:fill="FFFFFF"/>
            <w:tcMar>
              <w:top w:w="80" w:type="dxa"/>
              <w:left w:w="100" w:type="dxa"/>
              <w:bottom w:w="80" w:type="dxa"/>
              <w:right w:w="100" w:type="dxa"/>
            </w:tcMar>
            <w:vAlign w:val="center"/>
          </w:tcPr>
          <w:p w14:paraId="60D163EF" w14:textId="77777777" w:rsidR="00C15A4B" w:rsidRDefault="00673469" w:rsidP="00CB742D">
            <w:pPr>
              <w:jc w:val="both"/>
            </w:pPr>
            <w:r>
              <w:rPr>
                <w:color w:val="000000"/>
                <w:sz w:val="19"/>
                <w:szCs w:val="19"/>
              </w:rPr>
              <w:t>Business intelligence, reporting, AI/ML consumption, and application/partner integration.</w:t>
            </w:r>
          </w:p>
        </w:tc>
      </w:tr>
    </w:tbl>
    <w:p w14:paraId="2D9EDC25" w14:textId="77777777" w:rsidR="00C15A4B" w:rsidRDefault="00673469" w:rsidP="00CB742D">
      <w:pPr>
        <w:jc w:val="both"/>
      </w:pPr>
      <w:r>
        <w:br w:type="page"/>
      </w:r>
    </w:p>
    <w:p w14:paraId="427048F7" w14:textId="77CFB180" w:rsidR="00C15A4B" w:rsidRPr="00355BFB" w:rsidRDefault="00673469" w:rsidP="00355BFB">
      <w:pPr>
        <w:pStyle w:val="Heading1"/>
        <w:numPr>
          <w:ilvl w:val="0"/>
          <w:numId w:val="3"/>
        </w:numPr>
        <w:pBdr>
          <w:bottom w:val="single" w:sz="8" w:space="4" w:color="1F3864"/>
        </w:pBdr>
        <w:spacing w:after="180"/>
        <w:ind w:left="270"/>
        <w:jc w:val="both"/>
        <w:rPr>
          <w:b/>
          <w:bCs/>
          <w:color w:val="2E5FA3"/>
          <w:sz w:val="30"/>
          <w:szCs w:val="30"/>
        </w:rPr>
      </w:pPr>
      <w:bookmarkStart w:id="4" w:name="_Toc243538495"/>
      <w:r w:rsidRPr="00355BFB">
        <w:rPr>
          <w:b/>
          <w:bCs/>
          <w:color w:val="2E5FA3"/>
          <w:sz w:val="30"/>
          <w:szCs w:val="30"/>
        </w:rPr>
        <w:lastRenderedPageBreak/>
        <w:t>Detailed Layer &amp; Component Description</w:t>
      </w:r>
      <w:bookmarkEnd w:id="4"/>
    </w:p>
    <w:p w14:paraId="68ABF72E" w14:textId="77777777" w:rsidR="00C15A4B" w:rsidRDefault="00673469" w:rsidP="00B53FA3">
      <w:pPr>
        <w:spacing w:after="160" w:line="276" w:lineRule="auto"/>
        <w:jc w:val="both"/>
      </w:pPr>
      <w:r>
        <w:t>This section describes each numbered zone of the Reference Architecture in the sequence data moves through the platform, detailing the purpose, technology, and operating characteristics of every component.</w:t>
      </w:r>
    </w:p>
    <w:p w14:paraId="28369C8B" w14:textId="77777777" w:rsidR="00C15A4B" w:rsidRDefault="00673469" w:rsidP="00B53FA3">
      <w:pPr>
        <w:shd w:val="clear" w:color="auto" w:fill="1F3864"/>
        <w:spacing w:before="400" w:after="160"/>
        <w:jc w:val="both"/>
      </w:pPr>
      <w:r>
        <w:rPr>
          <w:b/>
          <w:bCs/>
          <w:color w:val="FFD966"/>
          <w:sz w:val="26"/>
          <w:szCs w:val="26"/>
        </w:rPr>
        <w:t xml:space="preserve">  1   </w:t>
      </w:r>
      <w:r>
        <w:rPr>
          <w:b/>
          <w:bCs/>
          <w:color w:val="FFFFFF"/>
          <w:sz w:val="26"/>
          <w:szCs w:val="26"/>
        </w:rPr>
        <w:t>DATA SOURCES</w:t>
      </w:r>
    </w:p>
    <w:p w14:paraId="52204B80" w14:textId="77777777" w:rsidR="00C15A4B" w:rsidRDefault="00673469" w:rsidP="00B53FA3">
      <w:pPr>
        <w:spacing w:after="160" w:line="276" w:lineRule="auto"/>
        <w:jc w:val="both"/>
      </w:pPr>
      <w:r>
        <w:t>The first zone represents the full universe of systems that generate or hold data relevant to FBR's tax administration mandate. These are the systems of origin — the CDH does not own or modify this data at source; it only reads and replicates it under governed, auditable pipelines.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00"/>
      </w:tblGrid>
      <w:tr w:rsidR="00C15A4B" w14:paraId="16701600" w14:textId="77777777">
        <w:trPr>
          <w:tblHeader/>
        </w:trPr>
        <w:tc>
          <w:tcPr>
            <w:tcW w:w="2800" w:type="dxa"/>
            <w:shd w:val="clear" w:color="auto" w:fill="1F3864"/>
            <w:tcMar>
              <w:top w:w="80" w:type="dxa"/>
              <w:left w:w="100" w:type="dxa"/>
              <w:bottom w:w="80" w:type="dxa"/>
              <w:right w:w="100" w:type="dxa"/>
            </w:tcMar>
            <w:vAlign w:val="center"/>
          </w:tcPr>
          <w:p w14:paraId="3BFD4085" w14:textId="77777777" w:rsidR="00C15A4B" w:rsidRDefault="00673469" w:rsidP="00B53FA3">
            <w:pPr>
              <w:jc w:val="both"/>
            </w:pPr>
            <w:r>
              <w:rPr>
                <w:b/>
                <w:bCs/>
                <w:color w:val="FFFFFF"/>
                <w:sz w:val="19"/>
                <w:szCs w:val="19"/>
              </w:rPr>
              <w:t>Component</w:t>
            </w:r>
          </w:p>
        </w:tc>
        <w:tc>
          <w:tcPr>
            <w:tcW w:w="3200" w:type="dxa"/>
            <w:shd w:val="clear" w:color="auto" w:fill="1F3864"/>
            <w:tcMar>
              <w:top w:w="80" w:type="dxa"/>
              <w:left w:w="100" w:type="dxa"/>
              <w:bottom w:w="80" w:type="dxa"/>
              <w:right w:w="100" w:type="dxa"/>
            </w:tcMar>
            <w:vAlign w:val="center"/>
          </w:tcPr>
          <w:p w14:paraId="7DA1120B" w14:textId="77777777" w:rsidR="00C15A4B" w:rsidRDefault="00673469" w:rsidP="00B53FA3">
            <w:pPr>
              <w:jc w:val="both"/>
            </w:pPr>
            <w:r>
              <w:rPr>
                <w:b/>
                <w:bCs/>
                <w:color w:val="FFFFFF"/>
                <w:sz w:val="19"/>
                <w:szCs w:val="19"/>
              </w:rPr>
              <w:t>Technology / Product</w:t>
            </w:r>
          </w:p>
        </w:tc>
        <w:tc>
          <w:tcPr>
            <w:tcW w:w="3600" w:type="dxa"/>
            <w:shd w:val="clear" w:color="auto" w:fill="1F3864"/>
            <w:tcMar>
              <w:top w:w="80" w:type="dxa"/>
              <w:left w:w="100" w:type="dxa"/>
              <w:bottom w:w="80" w:type="dxa"/>
              <w:right w:w="100" w:type="dxa"/>
            </w:tcMar>
            <w:vAlign w:val="center"/>
          </w:tcPr>
          <w:p w14:paraId="273E2722" w14:textId="77777777" w:rsidR="00C15A4B" w:rsidRDefault="00673469" w:rsidP="00B53FA3">
            <w:pPr>
              <w:jc w:val="both"/>
            </w:pPr>
            <w:r>
              <w:rPr>
                <w:b/>
                <w:bCs/>
                <w:color w:val="FFFFFF"/>
                <w:sz w:val="19"/>
                <w:szCs w:val="19"/>
              </w:rPr>
              <w:t>Role &amp; Function</w:t>
            </w:r>
          </w:p>
        </w:tc>
      </w:tr>
      <w:tr w:rsidR="00C15A4B" w14:paraId="67EA1747" w14:textId="77777777">
        <w:tc>
          <w:tcPr>
            <w:tcW w:w="2800" w:type="dxa"/>
            <w:shd w:val="clear" w:color="auto" w:fill="FFFFFF"/>
            <w:tcMar>
              <w:top w:w="80" w:type="dxa"/>
              <w:left w:w="100" w:type="dxa"/>
              <w:bottom w:w="80" w:type="dxa"/>
              <w:right w:w="100" w:type="dxa"/>
            </w:tcMar>
            <w:vAlign w:val="center"/>
          </w:tcPr>
          <w:p w14:paraId="6508BEE3" w14:textId="77777777" w:rsidR="00C15A4B" w:rsidRDefault="00673469" w:rsidP="00B53FA3">
            <w:pPr>
              <w:jc w:val="both"/>
            </w:pPr>
            <w:r>
              <w:rPr>
                <w:b/>
                <w:bCs/>
                <w:color w:val="000000"/>
                <w:sz w:val="19"/>
                <w:szCs w:val="19"/>
              </w:rPr>
              <w:t>Oracle Transactional Systems</w:t>
            </w:r>
          </w:p>
        </w:tc>
        <w:tc>
          <w:tcPr>
            <w:tcW w:w="3200" w:type="dxa"/>
            <w:shd w:val="clear" w:color="auto" w:fill="FFFFFF"/>
            <w:tcMar>
              <w:top w:w="80" w:type="dxa"/>
              <w:left w:w="100" w:type="dxa"/>
              <w:bottom w:w="80" w:type="dxa"/>
              <w:right w:w="100" w:type="dxa"/>
            </w:tcMar>
            <w:vAlign w:val="center"/>
          </w:tcPr>
          <w:p w14:paraId="1B8FEFD8" w14:textId="77777777" w:rsidR="00C15A4B" w:rsidRDefault="00673469" w:rsidP="00B53FA3">
            <w:pPr>
              <w:jc w:val="both"/>
            </w:pPr>
            <w:r>
              <w:rPr>
                <w:color w:val="000000"/>
                <w:sz w:val="19"/>
                <w:szCs w:val="19"/>
              </w:rPr>
              <w:t>Oracle EBS, ERP and other Oracle-based OLTP systems</w:t>
            </w:r>
          </w:p>
        </w:tc>
        <w:tc>
          <w:tcPr>
            <w:tcW w:w="3600" w:type="dxa"/>
            <w:shd w:val="clear" w:color="auto" w:fill="FFFFFF"/>
            <w:tcMar>
              <w:top w:w="80" w:type="dxa"/>
              <w:left w:w="100" w:type="dxa"/>
              <w:bottom w:w="80" w:type="dxa"/>
              <w:right w:w="100" w:type="dxa"/>
            </w:tcMar>
            <w:vAlign w:val="center"/>
          </w:tcPr>
          <w:p w14:paraId="7BF10217" w14:textId="77777777" w:rsidR="00C15A4B" w:rsidRDefault="00673469" w:rsidP="00B53FA3">
            <w:pPr>
              <w:jc w:val="both"/>
            </w:pPr>
            <w:r>
              <w:rPr>
                <w:color w:val="000000"/>
                <w:sz w:val="19"/>
                <w:szCs w:val="19"/>
              </w:rPr>
              <w:t>Core financial, registration and case-management systems generating high-volume structured transactional records.</w:t>
            </w:r>
          </w:p>
        </w:tc>
      </w:tr>
      <w:tr w:rsidR="00C15A4B" w14:paraId="18AD9BDB" w14:textId="77777777">
        <w:tc>
          <w:tcPr>
            <w:tcW w:w="2800" w:type="dxa"/>
            <w:shd w:val="clear" w:color="auto" w:fill="F2F2F2"/>
            <w:tcMar>
              <w:top w:w="80" w:type="dxa"/>
              <w:left w:w="100" w:type="dxa"/>
              <w:bottom w:w="80" w:type="dxa"/>
              <w:right w:w="100" w:type="dxa"/>
            </w:tcMar>
            <w:vAlign w:val="center"/>
          </w:tcPr>
          <w:p w14:paraId="1A8BE06D" w14:textId="77777777" w:rsidR="00C15A4B" w:rsidRDefault="00673469" w:rsidP="00B53FA3">
            <w:pPr>
              <w:jc w:val="both"/>
            </w:pPr>
            <w:r>
              <w:rPr>
                <w:b/>
                <w:bCs/>
                <w:color w:val="000000"/>
                <w:sz w:val="19"/>
                <w:szCs w:val="19"/>
              </w:rPr>
              <w:t>Microsoft SQL Server</w:t>
            </w:r>
          </w:p>
        </w:tc>
        <w:tc>
          <w:tcPr>
            <w:tcW w:w="3200" w:type="dxa"/>
            <w:shd w:val="clear" w:color="auto" w:fill="F2F2F2"/>
            <w:tcMar>
              <w:top w:w="80" w:type="dxa"/>
              <w:left w:w="100" w:type="dxa"/>
              <w:bottom w:w="80" w:type="dxa"/>
              <w:right w:w="100" w:type="dxa"/>
            </w:tcMar>
            <w:vAlign w:val="center"/>
          </w:tcPr>
          <w:p w14:paraId="032D8314" w14:textId="77777777" w:rsidR="00C15A4B" w:rsidRDefault="00673469" w:rsidP="00B53FA3">
            <w:pPr>
              <w:jc w:val="both"/>
            </w:pPr>
            <w:r>
              <w:rPr>
                <w:color w:val="000000"/>
                <w:sz w:val="19"/>
                <w:szCs w:val="19"/>
              </w:rPr>
              <w:t>SQL Server-based line-of-business applications</w:t>
            </w:r>
          </w:p>
        </w:tc>
        <w:tc>
          <w:tcPr>
            <w:tcW w:w="3600" w:type="dxa"/>
            <w:shd w:val="clear" w:color="auto" w:fill="F2F2F2"/>
            <w:tcMar>
              <w:top w:w="80" w:type="dxa"/>
              <w:left w:w="100" w:type="dxa"/>
              <w:bottom w:w="80" w:type="dxa"/>
              <w:right w:w="100" w:type="dxa"/>
            </w:tcMar>
            <w:vAlign w:val="center"/>
          </w:tcPr>
          <w:p w14:paraId="040A42B4" w14:textId="77777777" w:rsidR="00C15A4B" w:rsidRDefault="00673469" w:rsidP="00B53FA3">
            <w:pPr>
              <w:jc w:val="both"/>
            </w:pPr>
            <w:r>
              <w:rPr>
                <w:color w:val="000000"/>
                <w:sz w:val="19"/>
                <w:szCs w:val="19"/>
              </w:rPr>
              <w:t>Departmental and legacy applications requiring log-based CDC replication into the hub.</w:t>
            </w:r>
          </w:p>
        </w:tc>
      </w:tr>
      <w:tr w:rsidR="00C15A4B" w14:paraId="22833260" w14:textId="77777777">
        <w:tc>
          <w:tcPr>
            <w:tcW w:w="2800" w:type="dxa"/>
            <w:shd w:val="clear" w:color="auto" w:fill="FFFFFF"/>
            <w:tcMar>
              <w:top w:w="80" w:type="dxa"/>
              <w:left w:w="100" w:type="dxa"/>
              <w:bottom w:w="80" w:type="dxa"/>
              <w:right w:w="100" w:type="dxa"/>
            </w:tcMar>
            <w:vAlign w:val="center"/>
          </w:tcPr>
          <w:p w14:paraId="5740EE53" w14:textId="77777777" w:rsidR="00C15A4B" w:rsidRDefault="00673469" w:rsidP="00B53FA3">
            <w:pPr>
              <w:jc w:val="both"/>
            </w:pPr>
            <w:r>
              <w:rPr>
                <w:b/>
                <w:bCs/>
                <w:color w:val="000000"/>
                <w:sz w:val="19"/>
                <w:szCs w:val="19"/>
              </w:rPr>
              <w:t>PostgreSQL / Other Relational Sources</w:t>
            </w:r>
          </w:p>
        </w:tc>
        <w:tc>
          <w:tcPr>
            <w:tcW w:w="3200" w:type="dxa"/>
            <w:shd w:val="clear" w:color="auto" w:fill="FFFFFF"/>
            <w:tcMar>
              <w:top w:w="80" w:type="dxa"/>
              <w:left w:w="100" w:type="dxa"/>
              <w:bottom w:w="80" w:type="dxa"/>
              <w:right w:w="100" w:type="dxa"/>
            </w:tcMar>
            <w:vAlign w:val="center"/>
          </w:tcPr>
          <w:p w14:paraId="7103C592" w14:textId="77777777" w:rsidR="00C15A4B" w:rsidRDefault="00673469" w:rsidP="00B53FA3">
            <w:pPr>
              <w:jc w:val="both"/>
            </w:pPr>
            <w:r>
              <w:rPr>
                <w:color w:val="000000"/>
                <w:sz w:val="19"/>
                <w:szCs w:val="19"/>
              </w:rPr>
              <w:t>PostgreSQL, DB2, MySQL, etc.</w:t>
            </w:r>
          </w:p>
        </w:tc>
        <w:tc>
          <w:tcPr>
            <w:tcW w:w="3600" w:type="dxa"/>
            <w:shd w:val="clear" w:color="auto" w:fill="FFFFFF"/>
            <w:tcMar>
              <w:top w:w="80" w:type="dxa"/>
              <w:left w:w="100" w:type="dxa"/>
              <w:bottom w:w="80" w:type="dxa"/>
              <w:right w:w="100" w:type="dxa"/>
            </w:tcMar>
            <w:vAlign w:val="center"/>
          </w:tcPr>
          <w:p w14:paraId="38BF6B46" w14:textId="77777777" w:rsidR="00C15A4B" w:rsidRDefault="00673469" w:rsidP="00B53FA3">
            <w:pPr>
              <w:jc w:val="both"/>
            </w:pPr>
            <w:r>
              <w:rPr>
                <w:color w:val="000000"/>
                <w:sz w:val="19"/>
                <w:szCs w:val="19"/>
              </w:rPr>
              <w:t>Additional relational systems across FBR/PRAL's application landscape.</w:t>
            </w:r>
          </w:p>
        </w:tc>
      </w:tr>
      <w:tr w:rsidR="00C15A4B" w14:paraId="22BDA0D8" w14:textId="77777777">
        <w:tc>
          <w:tcPr>
            <w:tcW w:w="2800" w:type="dxa"/>
            <w:shd w:val="clear" w:color="auto" w:fill="F2F2F2"/>
            <w:tcMar>
              <w:top w:w="80" w:type="dxa"/>
              <w:left w:w="100" w:type="dxa"/>
              <w:bottom w:w="80" w:type="dxa"/>
              <w:right w:w="100" w:type="dxa"/>
            </w:tcMar>
            <w:vAlign w:val="center"/>
          </w:tcPr>
          <w:p w14:paraId="1E304D77" w14:textId="77777777" w:rsidR="00C15A4B" w:rsidRDefault="00673469" w:rsidP="00B53FA3">
            <w:pPr>
              <w:jc w:val="both"/>
            </w:pPr>
            <w:r>
              <w:rPr>
                <w:b/>
                <w:bCs/>
                <w:color w:val="000000"/>
                <w:sz w:val="19"/>
                <w:szCs w:val="19"/>
              </w:rPr>
              <w:t>Third-Party Systems &amp; Commercial Projects</w:t>
            </w:r>
          </w:p>
        </w:tc>
        <w:tc>
          <w:tcPr>
            <w:tcW w:w="3200" w:type="dxa"/>
            <w:shd w:val="clear" w:color="auto" w:fill="F2F2F2"/>
            <w:tcMar>
              <w:top w:w="80" w:type="dxa"/>
              <w:left w:w="100" w:type="dxa"/>
              <w:bottom w:w="80" w:type="dxa"/>
              <w:right w:w="100" w:type="dxa"/>
            </w:tcMar>
            <w:vAlign w:val="center"/>
          </w:tcPr>
          <w:p w14:paraId="3E1897BC" w14:textId="77777777" w:rsidR="00C15A4B" w:rsidRDefault="00673469" w:rsidP="00B53FA3">
            <w:pPr>
              <w:jc w:val="both"/>
            </w:pPr>
            <w:r>
              <w:rPr>
                <w:color w:val="000000"/>
                <w:sz w:val="19"/>
                <w:szCs w:val="19"/>
              </w:rPr>
              <w:t>SAP, Salesforce and other commercial/partner platforms</w:t>
            </w:r>
          </w:p>
        </w:tc>
        <w:tc>
          <w:tcPr>
            <w:tcW w:w="3600" w:type="dxa"/>
            <w:shd w:val="clear" w:color="auto" w:fill="F2F2F2"/>
            <w:tcMar>
              <w:top w:w="80" w:type="dxa"/>
              <w:left w:w="100" w:type="dxa"/>
              <w:bottom w:w="80" w:type="dxa"/>
              <w:right w:w="100" w:type="dxa"/>
            </w:tcMar>
            <w:vAlign w:val="center"/>
          </w:tcPr>
          <w:p w14:paraId="5081E867" w14:textId="77777777" w:rsidR="00C15A4B" w:rsidRDefault="00673469" w:rsidP="00B53FA3">
            <w:pPr>
              <w:jc w:val="both"/>
            </w:pPr>
            <w:r>
              <w:rPr>
                <w:color w:val="000000"/>
                <w:sz w:val="19"/>
                <w:szCs w:val="19"/>
              </w:rPr>
              <w:t>External or commercial applications integrated with FBR business processes (e.g., banking, customs partners).</w:t>
            </w:r>
          </w:p>
        </w:tc>
      </w:tr>
      <w:tr w:rsidR="00C15A4B" w14:paraId="1E787056" w14:textId="77777777">
        <w:tc>
          <w:tcPr>
            <w:tcW w:w="2800" w:type="dxa"/>
            <w:shd w:val="clear" w:color="auto" w:fill="FFFFFF"/>
            <w:tcMar>
              <w:top w:w="80" w:type="dxa"/>
              <w:left w:w="100" w:type="dxa"/>
              <w:bottom w:w="80" w:type="dxa"/>
              <w:right w:w="100" w:type="dxa"/>
            </w:tcMar>
            <w:vAlign w:val="center"/>
          </w:tcPr>
          <w:p w14:paraId="5FD047BF" w14:textId="77777777" w:rsidR="00C15A4B" w:rsidRDefault="00673469" w:rsidP="00B53FA3">
            <w:pPr>
              <w:jc w:val="both"/>
            </w:pPr>
            <w:r>
              <w:rPr>
                <w:b/>
                <w:bCs/>
                <w:color w:val="000000"/>
                <w:sz w:val="19"/>
                <w:szCs w:val="19"/>
              </w:rPr>
              <w:t>REST / SOAP APIs</w:t>
            </w:r>
          </w:p>
        </w:tc>
        <w:tc>
          <w:tcPr>
            <w:tcW w:w="3200" w:type="dxa"/>
            <w:shd w:val="clear" w:color="auto" w:fill="FFFFFF"/>
            <w:tcMar>
              <w:top w:w="80" w:type="dxa"/>
              <w:left w:w="100" w:type="dxa"/>
              <w:bottom w:w="80" w:type="dxa"/>
              <w:right w:w="100" w:type="dxa"/>
            </w:tcMar>
            <w:vAlign w:val="center"/>
          </w:tcPr>
          <w:p w14:paraId="545D5CF3" w14:textId="77777777" w:rsidR="00C15A4B" w:rsidRDefault="00673469" w:rsidP="00B53FA3">
            <w:pPr>
              <w:jc w:val="both"/>
            </w:pPr>
            <w:r>
              <w:rPr>
                <w:color w:val="000000"/>
                <w:sz w:val="19"/>
                <w:szCs w:val="19"/>
              </w:rPr>
              <w:t>Web services exposed by internal or external systems</w:t>
            </w:r>
          </w:p>
        </w:tc>
        <w:tc>
          <w:tcPr>
            <w:tcW w:w="3600" w:type="dxa"/>
            <w:shd w:val="clear" w:color="auto" w:fill="FFFFFF"/>
            <w:tcMar>
              <w:top w:w="80" w:type="dxa"/>
              <w:left w:w="100" w:type="dxa"/>
              <w:bottom w:w="80" w:type="dxa"/>
              <w:right w:w="100" w:type="dxa"/>
            </w:tcMar>
            <w:vAlign w:val="center"/>
          </w:tcPr>
          <w:p w14:paraId="1CC3CC11" w14:textId="77777777" w:rsidR="00C15A4B" w:rsidRDefault="00673469" w:rsidP="00B53FA3">
            <w:pPr>
              <w:jc w:val="both"/>
            </w:pPr>
            <w:r>
              <w:rPr>
                <w:color w:val="000000"/>
                <w:sz w:val="19"/>
                <w:szCs w:val="19"/>
              </w:rPr>
              <w:t>Programmatic interfaces for near-real-time and on-demand data exchange, secured via OAuth 2.0, API keys or mutual TLS.</w:t>
            </w:r>
          </w:p>
        </w:tc>
      </w:tr>
      <w:tr w:rsidR="00C15A4B" w14:paraId="033F84E2" w14:textId="77777777">
        <w:tc>
          <w:tcPr>
            <w:tcW w:w="2800" w:type="dxa"/>
            <w:shd w:val="clear" w:color="auto" w:fill="F2F2F2"/>
            <w:tcMar>
              <w:top w:w="80" w:type="dxa"/>
              <w:left w:w="100" w:type="dxa"/>
              <w:bottom w:w="80" w:type="dxa"/>
              <w:right w:w="100" w:type="dxa"/>
            </w:tcMar>
            <w:vAlign w:val="center"/>
          </w:tcPr>
          <w:p w14:paraId="0D7A43A6" w14:textId="77777777" w:rsidR="00C15A4B" w:rsidRDefault="00673469" w:rsidP="00B53FA3">
            <w:pPr>
              <w:jc w:val="both"/>
            </w:pPr>
            <w:r>
              <w:rPr>
                <w:b/>
                <w:bCs/>
                <w:color w:val="000000"/>
                <w:sz w:val="19"/>
                <w:szCs w:val="19"/>
              </w:rPr>
              <w:t>Files / Logs / JSON / XML</w:t>
            </w:r>
          </w:p>
        </w:tc>
        <w:tc>
          <w:tcPr>
            <w:tcW w:w="3200" w:type="dxa"/>
            <w:shd w:val="clear" w:color="auto" w:fill="F2F2F2"/>
            <w:tcMar>
              <w:top w:w="80" w:type="dxa"/>
              <w:left w:w="100" w:type="dxa"/>
              <w:bottom w:w="80" w:type="dxa"/>
              <w:right w:w="100" w:type="dxa"/>
            </w:tcMar>
            <w:vAlign w:val="center"/>
          </w:tcPr>
          <w:p w14:paraId="2681F7D2" w14:textId="77777777" w:rsidR="00C15A4B" w:rsidRDefault="00673469" w:rsidP="00B53FA3">
            <w:pPr>
              <w:jc w:val="both"/>
            </w:pPr>
            <w:r>
              <w:rPr>
                <w:color w:val="000000"/>
                <w:sz w:val="19"/>
                <w:szCs w:val="19"/>
              </w:rPr>
              <w:t>Flat files, delimited files, semi-structured documents</w:t>
            </w:r>
          </w:p>
        </w:tc>
        <w:tc>
          <w:tcPr>
            <w:tcW w:w="3600" w:type="dxa"/>
            <w:shd w:val="clear" w:color="auto" w:fill="F2F2F2"/>
            <w:tcMar>
              <w:top w:w="80" w:type="dxa"/>
              <w:left w:w="100" w:type="dxa"/>
              <w:bottom w:w="80" w:type="dxa"/>
              <w:right w:w="100" w:type="dxa"/>
            </w:tcMar>
            <w:vAlign w:val="center"/>
          </w:tcPr>
          <w:p w14:paraId="630CF5D3" w14:textId="77777777" w:rsidR="00C15A4B" w:rsidRDefault="00673469" w:rsidP="00B53FA3">
            <w:pPr>
              <w:jc w:val="both"/>
            </w:pPr>
            <w:r>
              <w:rPr>
                <w:color w:val="000000"/>
                <w:sz w:val="19"/>
                <w:szCs w:val="19"/>
              </w:rPr>
              <w:t>Batch file drops, log files and document-based feeds ingested via SFTP or shared paths.</w:t>
            </w:r>
          </w:p>
        </w:tc>
      </w:tr>
      <w:tr w:rsidR="00C15A4B" w14:paraId="02BA88F4" w14:textId="77777777">
        <w:tc>
          <w:tcPr>
            <w:tcW w:w="2800" w:type="dxa"/>
            <w:shd w:val="clear" w:color="auto" w:fill="FFFFFF"/>
            <w:tcMar>
              <w:top w:w="80" w:type="dxa"/>
              <w:left w:w="100" w:type="dxa"/>
              <w:bottom w:w="80" w:type="dxa"/>
              <w:right w:w="100" w:type="dxa"/>
            </w:tcMar>
            <w:vAlign w:val="center"/>
          </w:tcPr>
          <w:p w14:paraId="36D994CA" w14:textId="77777777" w:rsidR="00C15A4B" w:rsidRDefault="00673469" w:rsidP="00B53FA3">
            <w:pPr>
              <w:jc w:val="both"/>
            </w:pPr>
            <w:r>
              <w:rPr>
                <w:b/>
                <w:bCs/>
                <w:color w:val="000000"/>
                <w:sz w:val="19"/>
                <w:szCs w:val="19"/>
              </w:rPr>
              <w:t>Future IoT / Real-Time Event Sources</w:t>
            </w:r>
          </w:p>
        </w:tc>
        <w:tc>
          <w:tcPr>
            <w:tcW w:w="3200" w:type="dxa"/>
            <w:shd w:val="clear" w:color="auto" w:fill="FFFFFF"/>
            <w:tcMar>
              <w:top w:w="80" w:type="dxa"/>
              <w:left w:w="100" w:type="dxa"/>
              <w:bottom w:w="80" w:type="dxa"/>
              <w:right w:w="100" w:type="dxa"/>
            </w:tcMar>
            <w:vAlign w:val="center"/>
          </w:tcPr>
          <w:p w14:paraId="542DD630" w14:textId="77777777" w:rsidR="00C15A4B" w:rsidRDefault="00673469" w:rsidP="00B53FA3">
            <w:pPr>
              <w:jc w:val="both"/>
            </w:pPr>
            <w:r>
              <w:rPr>
                <w:color w:val="000000"/>
                <w:sz w:val="19"/>
                <w:szCs w:val="19"/>
              </w:rPr>
              <w:t>Sensors, devices, POS/track-and-trace terminals</w:t>
            </w:r>
          </w:p>
        </w:tc>
        <w:tc>
          <w:tcPr>
            <w:tcW w:w="3600" w:type="dxa"/>
            <w:shd w:val="clear" w:color="auto" w:fill="FFFFFF"/>
            <w:tcMar>
              <w:top w:w="80" w:type="dxa"/>
              <w:left w:w="100" w:type="dxa"/>
              <w:bottom w:w="80" w:type="dxa"/>
              <w:right w:w="100" w:type="dxa"/>
            </w:tcMar>
            <w:vAlign w:val="center"/>
          </w:tcPr>
          <w:p w14:paraId="7D7EC0E2" w14:textId="77777777" w:rsidR="00C15A4B" w:rsidRDefault="00673469" w:rsidP="00B53FA3">
            <w:pPr>
              <w:jc w:val="both"/>
            </w:pPr>
            <w:r>
              <w:rPr>
                <w:color w:val="000000"/>
                <w:sz w:val="19"/>
                <w:szCs w:val="19"/>
              </w:rPr>
              <w:t>Forward-looking real-time telemetry sources (e.g., Track &amp; Trace, POS monitoring) that will stream directly into the Kafka/Flink pipeline.</w:t>
            </w:r>
          </w:p>
        </w:tc>
      </w:tr>
    </w:tbl>
    <w:p w14:paraId="4924AD04" w14:textId="699AD48E" w:rsidR="00C15A4B" w:rsidRDefault="00673469" w:rsidP="00B53FA3">
      <w:pPr>
        <w:spacing w:after="160" w:line="276" w:lineRule="auto"/>
        <w:jc w:val="both"/>
      </w:pPr>
      <w:r>
        <w:t xml:space="preserve">Every source is registered in the </w:t>
      </w:r>
      <w:r w:rsidR="00F704C3">
        <w:t>SEMARCHY DATA PLATFORM</w:t>
      </w:r>
      <w:r w:rsidR="00474015">
        <w:t xml:space="preserve"> </w:t>
      </w:r>
      <w:r>
        <w:t>metadata catalog prior to onboarding, and every ingestion pipeline is scoped to read-only, non-intrusive extraction so that source-system performance is never degraded by the CDH's data collection activity.</w:t>
      </w:r>
    </w:p>
    <w:p w14:paraId="523D6262" w14:textId="77777777" w:rsidR="009C2C7E" w:rsidRDefault="009C2C7E" w:rsidP="00B53FA3">
      <w:pPr>
        <w:jc w:val="both"/>
        <w:rPr>
          <w:b/>
          <w:bCs/>
          <w:color w:val="FFD966"/>
          <w:sz w:val="26"/>
          <w:szCs w:val="26"/>
        </w:rPr>
      </w:pPr>
      <w:r>
        <w:rPr>
          <w:b/>
          <w:bCs/>
          <w:color w:val="FFD966"/>
          <w:sz w:val="26"/>
          <w:szCs w:val="26"/>
        </w:rPr>
        <w:br w:type="page"/>
      </w:r>
    </w:p>
    <w:p w14:paraId="1F0E4B06" w14:textId="63CD337E" w:rsidR="00C15A4B" w:rsidRDefault="00673469" w:rsidP="00B53FA3">
      <w:pPr>
        <w:shd w:val="clear" w:color="auto" w:fill="1F3864"/>
        <w:spacing w:before="400" w:after="160"/>
        <w:jc w:val="both"/>
      </w:pPr>
      <w:r>
        <w:rPr>
          <w:b/>
          <w:bCs/>
          <w:color w:val="FFD966"/>
          <w:sz w:val="26"/>
          <w:szCs w:val="26"/>
        </w:rPr>
        <w:lastRenderedPageBreak/>
        <w:t xml:space="preserve">  2   </w:t>
      </w:r>
      <w:r>
        <w:rPr>
          <w:b/>
          <w:bCs/>
          <w:color w:val="FFFFFF"/>
          <w:sz w:val="26"/>
          <w:szCs w:val="26"/>
        </w:rPr>
        <w:t>INGESTION &amp; INTEGRATION</w:t>
      </w:r>
    </w:p>
    <w:p w14:paraId="0260E420" w14:textId="77777777" w:rsidR="00C15A4B" w:rsidRDefault="00673469" w:rsidP="00B53FA3">
      <w:pPr>
        <w:spacing w:after="160" w:line="276" w:lineRule="auto"/>
        <w:jc w:val="both"/>
      </w:pPr>
      <w:r>
        <w:t>This zone is the entry gate of the platform, responsible for reliably and securely moving data out of source systems and into the Central Data Hub, using the ingestion pattern appropriate to each source's latency and volume profile.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2938"/>
        <w:gridCol w:w="3926"/>
      </w:tblGrid>
      <w:tr w:rsidR="00C15A4B" w14:paraId="2B23F79C" w14:textId="77777777">
        <w:trPr>
          <w:tblHeader/>
        </w:trPr>
        <w:tc>
          <w:tcPr>
            <w:tcW w:w="2800" w:type="dxa"/>
            <w:shd w:val="clear" w:color="auto" w:fill="1F3864"/>
            <w:tcMar>
              <w:top w:w="80" w:type="dxa"/>
              <w:left w:w="100" w:type="dxa"/>
              <w:bottom w:w="80" w:type="dxa"/>
              <w:right w:w="100" w:type="dxa"/>
            </w:tcMar>
            <w:vAlign w:val="center"/>
          </w:tcPr>
          <w:p w14:paraId="5A1C42EA" w14:textId="77777777" w:rsidR="00C15A4B" w:rsidRDefault="00673469" w:rsidP="00B53FA3">
            <w:pPr>
              <w:jc w:val="both"/>
            </w:pPr>
            <w:r>
              <w:rPr>
                <w:b/>
                <w:bCs/>
                <w:color w:val="FFFFFF"/>
                <w:sz w:val="19"/>
                <w:szCs w:val="19"/>
              </w:rPr>
              <w:t>Component</w:t>
            </w:r>
          </w:p>
        </w:tc>
        <w:tc>
          <w:tcPr>
            <w:tcW w:w="3000" w:type="dxa"/>
            <w:shd w:val="clear" w:color="auto" w:fill="1F3864"/>
            <w:tcMar>
              <w:top w:w="80" w:type="dxa"/>
              <w:left w:w="100" w:type="dxa"/>
              <w:bottom w:w="80" w:type="dxa"/>
              <w:right w:w="100" w:type="dxa"/>
            </w:tcMar>
            <w:vAlign w:val="center"/>
          </w:tcPr>
          <w:p w14:paraId="093FFA0F" w14:textId="77777777" w:rsidR="00C15A4B" w:rsidRDefault="00673469" w:rsidP="00B53FA3">
            <w:pPr>
              <w:jc w:val="both"/>
            </w:pPr>
            <w:r>
              <w:rPr>
                <w:b/>
                <w:bCs/>
                <w:color w:val="FFFFFF"/>
                <w:sz w:val="19"/>
                <w:szCs w:val="19"/>
              </w:rPr>
              <w:t>Technology / Product</w:t>
            </w:r>
          </w:p>
        </w:tc>
        <w:tc>
          <w:tcPr>
            <w:tcW w:w="4000" w:type="dxa"/>
            <w:shd w:val="clear" w:color="auto" w:fill="1F3864"/>
            <w:tcMar>
              <w:top w:w="80" w:type="dxa"/>
              <w:left w:w="100" w:type="dxa"/>
              <w:bottom w:w="80" w:type="dxa"/>
              <w:right w:w="100" w:type="dxa"/>
            </w:tcMar>
            <w:vAlign w:val="center"/>
          </w:tcPr>
          <w:p w14:paraId="7668BCE8" w14:textId="77777777" w:rsidR="00C15A4B" w:rsidRDefault="00673469" w:rsidP="00B53FA3">
            <w:pPr>
              <w:jc w:val="both"/>
            </w:pPr>
            <w:r>
              <w:rPr>
                <w:b/>
                <w:bCs/>
                <w:color w:val="FFFFFF"/>
                <w:sz w:val="19"/>
                <w:szCs w:val="19"/>
              </w:rPr>
              <w:t>Role &amp; Function</w:t>
            </w:r>
          </w:p>
        </w:tc>
      </w:tr>
      <w:tr w:rsidR="00C15A4B" w14:paraId="339CA9A1" w14:textId="77777777">
        <w:tc>
          <w:tcPr>
            <w:tcW w:w="2800" w:type="dxa"/>
            <w:shd w:val="clear" w:color="auto" w:fill="FFFFFF"/>
            <w:tcMar>
              <w:top w:w="80" w:type="dxa"/>
              <w:left w:w="100" w:type="dxa"/>
              <w:bottom w:w="80" w:type="dxa"/>
              <w:right w:w="100" w:type="dxa"/>
            </w:tcMar>
            <w:vAlign w:val="center"/>
          </w:tcPr>
          <w:p w14:paraId="1DDEE1BB" w14:textId="77777777" w:rsidR="00C15A4B" w:rsidRDefault="00673469" w:rsidP="00B53FA3">
            <w:pPr>
              <w:jc w:val="both"/>
            </w:pPr>
            <w:r>
              <w:rPr>
                <w:b/>
                <w:bCs/>
                <w:color w:val="000000"/>
                <w:sz w:val="19"/>
                <w:szCs w:val="19"/>
              </w:rPr>
              <w:t xml:space="preserve">Oracle </w:t>
            </w:r>
            <w:proofErr w:type="spellStart"/>
            <w:r>
              <w:rPr>
                <w:b/>
                <w:bCs/>
                <w:color w:val="000000"/>
                <w:sz w:val="19"/>
                <w:szCs w:val="19"/>
              </w:rPr>
              <w:t>GoldenGate</w:t>
            </w:r>
            <w:proofErr w:type="spellEnd"/>
            <w:r>
              <w:rPr>
                <w:b/>
                <w:bCs/>
                <w:color w:val="000000"/>
                <w:sz w:val="19"/>
                <w:szCs w:val="19"/>
              </w:rPr>
              <w:t xml:space="preserve"> 26ai</w:t>
            </w:r>
          </w:p>
        </w:tc>
        <w:tc>
          <w:tcPr>
            <w:tcW w:w="3000" w:type="dxa"/>
            <w:shd w:val="clear" w:color="auto" w:fill="FFFFFF"/>
            <w:tcMar>
              <w:top w:w="80" w:type="dxa"/>
              <w:left w:w="100" w:type="dxa"/>
              <w:bottom w:w="80" w:type="dxa"/>
              <w:right w:w="100" w:type="dxa"/>
            </w:tcMar>
            <w:vAlign w:val="center"/>
          </w:tcPr>
          <w:p w14:paraId="0A869668" w14:textId="77777777" w:rsidR="00C15A4B" w:rsidRDefault="00673469" w:rsidP="00B53FA3">
            <w:pPr>
              <w:jc w:val="both"/>
            </w:pPr>
            <w:r>
              <w:rPr>
                <w:color w:val="000000"/>
                <w:sz w:val="19"/>
                <w:szCs w:val="19"/>
              </w:rPr>
              <w:t>Log-based Change Data Capture &amp; Replication</w:t>
            </w:r>
          </w:p>
        </w:tc>
        <w:tc>
          <w:tcPr>
            <w:tcW w:w="4000" w:type="dxa"/>
            <w:shd w:val="clear" w:color="auto" w:fill="FFFFFF"/>
            <w:tcMar>
              <w:top w:w="80" w:type="dxa"/>
              <w:left w:w="100" w:type="dxa"/>
              <w:bottom w:w="80" w:type="dxa"/>
              <w:right w:w="100" w:type="dxa"/>
            </w:tcMar>
            <w:vAlign w:val="center"/>
          </w:tcPr>
          <w:p w14:paraId="6844D498" w14:textId="77777777" w:rsidR="00C15A4B" w:rsidRDefault="00673469" w:rsidP="00B53FA3">
            <w:pPr>
              <w:jc w:val="both"/>
            </w:pPr>
            <w:r>
              <w:rPr>
                <w:color w:val="000000"/>
                <w:sz w:val="19"/>
                <w:szCs w:val="19"/>
              </w:rPr>
              <w:t>Performs redo-log/transaction-log mining against Oracle and SQL Server sources with sub-second capture latency and zero source-system performance impact; delivers INSERT/UPDATE/DELETE events continuously to the object store and streaming layer, with automatic schema-evolution handling.</w:t>
            </w:r>
          </w:p>
        </w:tc>
      </w:tr>
      <w:tr w:rsidR="00C15A4B" w14:paraId="6F536A73" w14:textId="77777777">
        <w:tc>
          <w:tcPr>
            <w:tcW w:w="2800" w:type="dxa"/>
            <w:shd w:val="clear" w:color="auto" w:fill="F2F2F2"/>
            <w:tcMar>
              <w:top w:w="80" w:type="dxa"/>
              <w:left w:w="100" w:type="dxa"/>
              <w:bottom w:w="80" w:type="dxa"/>
              <w:right w:w="100" w:type="dxa"/>
            </w:tcMar>
            <w:vAlign w:val="center"/>
          </w:tcPr>
          <w:p w14:paraId="1C245A3C" w14:textId="77777777" w:rsidR="00C15A4B" w:rsidRDefault="00673469" w:rsidP="00B53FA3">
            <w:pPr>
              <w:jc w:val="both"/>
            </w:pPr>
            <w:r>
              <w:rPr>
                <w:b/>
                <w:bCs/>
                <w:color w:val="000000"/>
                <w:sz w:val="19"/>
                <w:szCs w:val="19"/>
              </w:rPr>
              <w:t xml:space="preserve">Apache </w:t>
            </w:r>
            <w:proofErr w:type="spellStart"/>
            <w:r>
              <w:rPr>
                <w:b/>
                <w:bCs/>
                <w:color w:val="000000"/>
                <w:sz w:val="19"/>
                <w:szCs w:val="19"/>
              </w:rPr>
              <w:t>NiFi</w:t>
            </w:r>
            <w:proofErr w:type="spellEnd"/>
          </w:p>
        </w:tc>
        <w:tc>
          <w:tcPr>
            <w:tcW w:w="3000" w:type="dxa"/>
            <w:shd w:val="clear" w:color="auto" w:fill="F2F2F2"/>
            <w:tcMar>
              <w:top w:w="80" w:type="dxa"/>
              <w:left w:w="100" w:type="dxa"/>
              <w:bottom w:w="80" w:type="dxa"/>
              <w:right w:w="100" w:type="dxa"/>
            </w:tcMar>
            <w:vAlign w:val="center"/>
          </w:tcPr>
          <w:p w14:paraId="39A673FB" w14:textId="77777777" w:rsidR="00C15A4B" w:rsidRDefault="00673469" w:rsidP="00B53FA3">
            <w:pPr>
              <w:jc w:val="both"/>
            </w:pPr>
            <w:r>
              <w:rPr>
                <w:color w:val="000000"/>
                <w:sz w:val="19"/>
                <w:szCs w:val="19"/>
              </w:rPr>
              <w:t>Batch, API, file and heterogeneous ingestion</w:t>
            </w:r>
          </w:p>
        </w:tc>
        <w:tc>
          <w:tcPr>
            <w:tcW w:w="4000" w:type="dxa"/>
            <w:shd w:val="clear" w:color="auto" w:fill="F2F2F2"/>
            <w:tcMar>
              <w:top w:w="80" w:type="dxa"/>
              <w:left w:w="100" w:type="dxa"/>
              <w:bottom w:w="80" w:type="dxa"/>
              <w:right w:w="100" w:type="dxa"/>
            </w:tcMar>
            <w:vAlign w:val="center"/>
          </w:tcPr>
          <w:p w14:paraId="41BC4943" w14:textId="77777777" w:rsidR="00C15A4B" w:rsidRDefault="00673469" w:rsidP="00B53FA3">
            <w:pPr>
              <w:jc w:val="both"/>
            </w:pPr>
            <w:r>
              <w:rPr>
                <w:color w:val="000000"/>
                <w:sz w:val="19"/>
                <w:szCs w:val="19"/>
              </w:rPr>
              <w:t xml:space="preserve">Visual, flow-based ingestion engine handling REST/SOAP API pulls (OAuth 2.0, API key, </w:t>
            </w:r>
            <w:proofErr w:type="spellStart"/>
            <w:r>
              <w:rPr>
                <w:color w:val="000000"/>
                <w:sz w:val="19"/>
                <w:szCs w:val="19"/>
              </w:rPr>
              <w:t>mTLS</w:t>
            </w:r>
            <w:proofErr w:type="spellEnd"/>
            <w:r>
              <w:rPr>
                <w:color w:val="000000"/>
                <w:sz w:val="19"/>
                <w:szCs w:val="19"/>
              </w:rPr>
              <w:t>), flat-file and SFTP ingestion, schema-on-read for semi-structured data, and native read/write to the S3-compatible object store in Parquet, ORC, Avro, JSON and Iceberg formats.</w:t>
            </w:r>
          </w:p>
        </w:tc>
      </w:tr>
      <w:tr w:rsidR="00C15A4B" w14:paraId="7E764649" w14:textId="77777777">
        <w:tc>
          <w:tcPr>
            <w:tcW w:w="2800" w:type="dxa"/>
            <w:shd w:val="clear" w:color="auto" w:fill="FFFFFF"/>
            <w:tcMar>
              <w:top w:w="80" w:type="dxa"/>
              <w:left w:w="100" w:type="dxa"/>
              <w:bottom w:w="80" w:type="dxa"/>
              <w:right w:w="100" w:type="dxa"/>
            </w:tcMar>
            <w:vAlign w:val="center"/>
          </w:tcPr>
          <w:p w14:paraId="6E27B92F" w14:textId="77777777" w:rsidR="00C15A4B" w:rsidRDefault="00673469" w:rsidP="00B53FA3">
            <w:pPr>
              <w:jc w:val="both"/>
            </w:pPr>
            <w:r>
              <w:rPr>
                <w:b/>
                <w:bCs/>
                <w:color w:val="000000"/>
                <w:sz w:val="19"/>
                <w:szCs w:val="19"/>
              </w:rPr>
              <w:t>Cloudera Streams / Apache Kafka</w:t>
            </w:r>
          </w:p>
        </w:tc>
        <w:tc>
          <w:tcPr>
            <w:tcW w:w="3000" w:type="dxa"/>
            <w:shd w:val="clear" w:color="auto" w:fill="FFFFFF"/>
            <w:tcMar>
              <w:top w:w="80" w:type="dxa"/>
              <w:left w:w="100" w:type="dxa"/>
              <w:bottom w:w="80" w:type="dxa"/>
              <w:right w:w="100" w:type="dxa"/>
            </w:tcMar>
            <w:vAlign w:val="center"/>
          </w:tcPr>
          <w:p w14:paraId="04F82036" w14:textId="77777777" w:rsidR="00C15A4B" w:rsidRDefault="00673469" w:rsidP="00B53FA3">
            <w:pPr>
              <w:jc w:val="both"/>
            </w:pPr>
            <w:r>
              <w:rPr>
                <w:color w:val="000000"/>
                <w:sz w:val="19"/>
                <w:szCs w:val="19"/>
              </w:rPr>
              <w:t>Distributed streaming / message broker</w:t>
            </w:r>
          </w:p>
        </w:tc>
        <w:tc>
          <w:tcPr>
            <w:tcW w:w="4000" w:type="dxa"/>
            <w:shd w:val="clear" w:color="auto" w:fill="FFFFFF"/>
            <w:tcMar>
              <w:top w:w="80" w:type="dxa"/>
              <w:left w:w="100" w:type="dxa"/>
              <w:bottom w:w="80" w:type="dxa"/>
              <w:right w:w="100" w:type="dxa"/>
            </w:tcMar>
            <w:vAlign w:val="center"/>
          </w:tcPr>
          <w:p w14:paraId="3DF86CE4" w14:textId="77777777" w:rsidR="00C15A4B" w:rsidRDefault="00673469" w:rsidP="00B53FA3">
            <w:pPr>
              <w:jc w:val="both"/>
            </w:pPr>
            <w:r>
              <w:rPr>
                <w:color w:val="000000"/>
                <w:sz w:val="19"/>
                <w:szCs w:val="19"/>
              </w:rPr>
              <w:t>Fault-tolerant message broker providing at-least-once/exactly-once delivery semantics, configurable retention and consumer-group management — the backbone for all real-time and near-real-time event flows, including future IoT/Track &amp; Trace sources.</w:t>
            </w:r>
          </w:p>
        </w:tc>
      </w:tr>
      <w:tr w:rsidR="00C15A4B" w14:paraId="452969DE" w14:textId="77777777">
        <w:tc>
          <w:tcPr>
            <w:tcW w:w="2800" w:type="dxa"/>
            <w:shd w:val="clear" w:color="auto" w:fill="F2F2F2"/>
            <w:tcMar>
              <w:top w:w="80" w:type="dxa"/>
              <w:left w:w="100" w:type="dxa"/>
              <w:bottom w:w="80" w:type="dxa"/>
              <w:right w:w="100" w:type="dxa"/>
            </w:tcMar>
            <w:vAlign w:val="center"/>
          </w:tcPr>
          <w:p w14:paraId="1A734819" w14:textId="77777777" w:rsidR="00C15A4B" w:rsidRDefault="00673469" w:rsidP="00B53FA3">
            <w:pPr>
              <w:jc w:val="both"/>
            </w:pPr>
            <w:r>
              <w:rPr>
                <w:b/>
                <w:bCs/>
                <w:color w:val="000000"/>
                <w:sz w:val="19"/>
                <w:szCs w:val="19"/>
              </w:rPr>
              <w:t>Oracle Data Integrator (ODI)</w:t>
            </w:r>
          </w:p>
        </w:tc>
        <w:tc>
          <w:tcPr>
            <w:tcW w:w="3000" w:type="dxa"/>
            <w:shd w:val="clear" w:color="auto" w:fill="F2F2F2"/>
            <w:tcMar>
              <w:top w:w="80" w:type="dxa"/>
              <w:left w:w="100" w:type="dxa"/>
              <w:bottom w:w="80" w:type="dxa"/>
              <w:right w:w="100" w:type="dxa"/>
            </w:tcMar>
            <w:vAlign w:val="center"/>
          </w:tcPr>
          <w:p w14:paraId="53A19802" w14:textId="77777777" w:rsidR="00C15A4B" w:rsidRDefault="00673469" w:rsidP="00B53FA3">
            <w:pPr>
              <w:jc w:val="both"/>
            </w:pPr>
            <w:r>
              <w:rPr>
                <w:color w:val="000000"/>
                <w:sz w:val="19"/>
                <w:szCs w:val="19"/>
              </w:rPr>
              <w:t>ELT, transformation, scheduling &amp; orchestration</w:t>
            </w:r>
          </w:p>
        </w:tc>
        <w:tc>
          <w:tcPr>
            <w:tcW w:w="4000" w:type="dxa"/>
            <w:shd w:val="clear" w:color="auto" w:fill="F2F2F2"/>
            <w:tcMar>
              <w:top w:w="80" w:type="dxa"/>
              <w:left w:w="100" w:type="dxa"/>
              <w:bottom w:w="80" w:type="dxa"/>
              <w:right w:w="100" w:type="dxa"/>
            </w:tcMar>
            <w:vAlign w:val="center"/>
          </w:tcPr>
          <w:p w14:paraId="79517604" w14:textId="77777777" w:rsidR="00C15A4B" w:rsidRDefault="00673469" w:rsidP="00B53FA3">
            <w:pPr>
              <w:jc w:val="both"/>
            </w:pPr>
            <w:r>
              <w:rPr>
                <w:color w:val="000000"/>
                <w:sz w:val="19"/>
                <w:szCs w:val="19"/>
              </w:rPr>
              <w:t xml:space="preserve">Performs set-based ELT transformation, staging and scheduling for batch pipelines feeding the </w:t>
            </w:r>
            <w:proofErr w:type="gramStart"/>
            <w:r>
              <w:rPr>
                <w:color w:val="000000"/>
                <w:sz w:val="19"/>
                <w:szCs w:val="19"/>
              </w:rPr>
              <w:t>Silver and Gold</w:t>
            </w:r>
            <w:proofErr w:type="gramEnd"/>
            <w:r>
              <w:rPr>
                <w:color w:val="000000"/>
                <w:sz w:val="19"/>
                <w:szCs w:val="19"/>
              </w:rPr>
              <w:t xml:space="preserve"> layers, and orchestrates jobs in coordination with Cloudera Data Engineering (Airflow).</w:t>
            </w:r>
          </w:p>
        </w:tc>
      </w:tr>
    </w:tbl>
    <w:p w14:paraId="60CF5193" w14:textId="77777777" w:rsidR="00C15A4B" w:rsidRDefault="00673469" w:rsidP="00B53FA3">
      <w:pPr>
        <w:spacing w:after="160" w:line="276" w:lineRule="auto"/>
        <w:jc w:val="both"/>
      </w:pPr>
      <w:r>
        <w:t>Together, this stack natively satisfies three ingestion capabilities as first-class, independent paths rather than bolt-</w:t>
      </w:r>
      <w:proofErr w:type="spellStart"/>
      <w:r>
        <w:t>ons</w:t>
      </w:r>
      <w:proofErr w:type="spellEnd"/>
      <w:r>
        <w:t>: log-based CDC (</w:t>
      </w:r>
      <w:proofErr w:type="spellStart"/>
      <w:r>
        <w:t>GoldenGate</w:t>
      </w:r>
      <w:proofErr w:type="spellEnd"/>
      <w:r>
        <w:t>), API/file/batch ingestion (</w:t>
      </w:r>
      <w:proofErr w:type="spellStart"/>
      <w:r>
        <w:t>NiFi</w:t>
      </w:r>
      <w:proofErr w:type="spellEnd"/>
      <w:r>
        <w:t>), and continuous low-latency streaming (Kafka/Flink) — allowing each source to be onboarded through the pattern best suited to its change profile without forcing all data through a single generic pipe.</w:t>
      </w:r>
    </w:p>
    <w:p w14:paraId="0ADE24CA" w14:textId="77777777" w:rsidR="009C2C7E" w:rsidRDefault="009C2C7E" w:rsidP="00B53FA3">
      <w:pPr>
        <w:jc w:val="both"/>
        <w:rPr>
          <w:b/>
          <w:bCs/>
          <w:color w:val="FFD966"/>
          <w:sz w:val="26"/>
          <w:szCs w:val="26"/>
        </w:rPr>
      </w:pPr>
      <w:r>
        <w:rPr>
          <w:b/>
          <w:bCs/>
          <w:color w:val="FFD966"/>
          <w:sz w:val="26"/>
          <w:szCs w:val="26"/>
        </w:rPr>
        <w:br w:type="page"/>
      </w:r>
    </w:p>
    <w:p w14:paraId="0C794BC6" w14:textId="17F41BE0" w:rsidR="00C15A4B" w:rsidRDefault="00673469" w:rsidP="00B53FA3">
      <w:pPr>
        <w:shd w:val="clear" w:color="auto" w:fill="1F3864"/>
        <w:spacing w:before="400" w:after="160"/>
        <w:jc w:val="both"/>
      </w:pPr>
      <w:r>
        <w:rPr>
          <w:b/>
          <w:bCs/>
          <w:color w:val="FFD966"/>
          <w:sz w:val="26"/>
          <w:szCs w:val="26"/>
        </w:rPr>
        <w:lastRenderedPageBreak/>
        <w:t xml:space="preserve">  3   </w:t>
      </w:r>
      <w:r>
        <w:rPr>
          <w:b/>
          <w:bCs/>
          <w:color w:val="FFFFFF"/>
          <w:sz w:val="26"/>
          <w:szCs w:val="26"/>
        </w:rPr>
        <w:t>CENTRAL DATA HUB</w:t>
      </w:r>
    </w:p>
    <w:p w14:paraId="245C9677" w14:textId="77777777" w:rsidR="00C15A4B" w:rsidRDefault="00673469" w:rsidP="00B53FA3">
      <w:pPr>
        <w:spacing w:after="160" w:line="276" w:lineRule="auto"/>
        <w:jc w:val="both"/>
      </w:pPr>
      <w:r>
        <w:t xml:space="preserve">The Central Data Hub is the heart of the platform — a unified </w:t>
      </w:r>
      <w:proofErr w:type="spellStart"/>
      <w:r>
        <w:t>lakehouse</w:t>
      </w:r>
      <w:proofErr w:type="spellEnd"/>
      <w:r>
        <w:t xml:space="preserve"> combining an S3-compatible Object Storage tier and Oracle's MPP Database with an open, medallion-structured data model and an enterprise in-memory serving store. It supports Massively Parallel Processing (MPP), Hybrid Transactional/Analytical Processing (HTAP), multi-model access, partitioning, compression, in-memory acceleration and native SQL analytics, all governed under a single logical layer described in the diagram as "Oracle = Central Data Hub, HPE </w:t>
      </w:r>
      <w:proofErr w:type="spellStart"/>
      <w:r>
        <w:t>Alletra</w:t>
      </w:r>
      <w:proofErr w:type="spellEnd"/>
      <w:r>
        <w:t xml:space="preserve"> = Object Storage (Data Lake)."</w:t>
      </w:r>
    </w:p>
    <w:p w14:paraId="0F051B2A" w14:textId="77777777" w:rsidR="00C15A4B" w:rsidRDefault="00673469" w:rsidP="00B53FA3">
      <w:pPr>
        <w:pStyle w:val="Heading4"/>
        <w:spacing w:before="200" w:after="100"/>
        <w:jc w:val="both"/>
      </w:pPr>
      <w:r>
        <w:rPr>
          <w:b/>
          <w:bCs/>
          <w:color w:val="B8860B"/>
          <w:sz w:val="22"/>
          <w:szCs w:val="22"/>
        </w:rPr>
        <w:t>3.1 Object Storage (Data Lake)</w:t>
      </w:r>
    </w:p>
    <w:p w14:paraId="51EFDC1E" w14:textId="7FC73F03" w:rsidR="00C15A4B" w:rsidRDefault="00673469" w:rsidP="00B53FA3">
      <w:pPr>
        <w:spacing w:after="160" w:line="276" w:lineRule="auto"/>
        <w:jc w:val="both"/>
      </w:pPr>
      <w:r>
        <w:t xml:space="preserve">Built on HPE </w:t>
      </w:r>
      <w:proofErr w:type="spellStart"/>
      <w:r>
        <w:t>Alletra</w:t>
      </w:r>
      <w:proofErr w:type="spellEnd"/>
      <w:r>
        <w:t xml:space="preserve"> Storage MP X10000, this tier provides fully on-premises, all-flash, S3-compatible object storage on a scale-out, disaggregated </w:t>
      </w:r>
      <w:proofErr w:type="spellStart"/>
      <w:r>
        <w:t>NVMe</w:t>
      </w:r>
      <w:proofErr w:type="spellEnd"/>
      <w:r>
        <w:t xml:space="preserve"> architecture in which performance and capacity scale independently. It natively supports the S3 API (PUT/GET/DELETE, multipart upload, bucket lifecycle policies and versioning) along with open columnar formats (Parquet, ORC) and open table formats (Apache Iceberg), so compute engines can query data in place without format conversion or data movement. Data is protected through erasure coding with inline data reduction, encrypted in transit and at rest, and can be locked with object-lock immutability for ransomware protection; the platform also exposes monitoring and auditing for utilization, throughput, latency and node health, and is certified for use with </w:t>
      </w:r>
      <w:r w:rsidR="00AB6C03">
        <w:t>Cohesity NetBackup</w:t>
      </w:r>
      <w:r>
        <w:t xml:space="preserve"> as a backup target.</w:t>
      </w:r>
    </w:p>
    <w:p w14:paraId="79DC5E23" w14:textId="77777777" w:rsidR="00C15A4B" w:rsidRDefault="00673469" w:rsidP="00B53FA3">
      <w:pPr>
        <w:pStyle w:val="Heading4"/>
        <w:spacing w:before="200" w:after="100"/>
        <w:jc w:val="both"/>
      </w:pPr>
      <w:r>
        <w:rPr>
          <w:b/>
          <w:bCs/>
          <w:color w:val="B8860B"/>
          <w:sz w:val="22"/>
          <w:szCs w:val="22"/>
        </w:rPr>
        <w:t>3.2 MPP Database (Data Warehouse)</w:t>
      </w:r>
    </w:p>
    <w:p w14:paraId="16144C7E" w14:textId="77777777" w:rsidR="00C15A4B" w:rsidRDefault="00673469" w:rsidP="00B53FA3">
      <w:pPr>
        <w:spacing w:after="160" w:line="276" w:lineRule="auto"/>
        <w:jc w:val="both"/>
      </w:pPr>
      <w:r>
        <w:t>Delivered as Oracle Exadata running Oracle AI Database 26ai, this is a purpose-built, engineered database machine — not software running on commodity hardware — combining compute, storage and networking in a single, pre-integrated, benchmarked appliance. It provides a genuinely native Multi-Model / HTAP engine, serving transactional and analytical workloads concurrently against the same data with no batch replication delay, and supports multi-level parallelism (inter-query, intra-query and intra-operator), a cost-based optimizer with adaptive re-optimization, hybrid row/columnar execution, workload-aware resource management, and full ANSI SQL:2016 compliance including window functions and recursive CTEs.</w:t>
      </w:r>
    </w:p>
    <w:p w14:paraId="23C74748" w14:textId="77777777" w:rsidR="00C15A4B" w:rsidRDefault="00673469" w:rsidP="00B53FA3">
      <w:pPr>
        <w:pStyle w:val="Heading4"/>
        <w:spacing w:before="200" w:after="100"/>
        <w:jc w:val="both"/>
      </w:pPr>
      <w:r>
        <w:rPr>
          <w:b/>
          <w:bCs/>
          <w:color w:val="B8860B"/>
          <w:sz w:val="22"/>
          <w:szCs w:val="22"/>
        </w:rPr>
        <w:t>3.3 The Medallion Layers</w:t>
      </w:r>
    </w:p>
    <w:p w14:paraId="2F064FE7" w14:textId="77777777" w:rsidR="00C15A4B" w:rsidRDefault="00673469" w:rsidP="00B53FA3">
      <w:pPr>
        <w:pStyle w:val="ListParagraph"/>
        <w:numPr>
          <w:ilvl w:val="0"/>
          <w:numId w:val="2"/>
        </w:numPr>
        <w:spacing w:after="90" w:line="270" w:lineRule="auto"/>
        <w:jc w:val="both"/>
      </w:pPr>
      <w:r>
        <w:rPr>
          <w:b/>
          <w:bCs/>
        </w:rPr>
        <w:t xml:space="preserve">Bronze Layer (Raw): </w:t>
      </w:r>
      <w:r>
        <w:t>the immutable landing zone where data is persisted in source-faithful schema, with ingestion timestamp, source-system identifier and batch/event sequence appended as system columns. Schema-on-read and automatic partitioning by ingestion date, source and domain allow raw querying without prior schema registration, with retention aligned to statutory record-keeping requirements.</w:t>
      </w:r>
    </w:p>
    <w:p w14:paraId="203413FB" w14:textId="77777777" w:rsidR="00C15A4B" w:rsidRDefault="00673469" w:rsidP="00B53FA3">
      <w:pPr>
        <w:pStyle w:val="ListParagraph"/>
        <w:numPr>
          <w:ilvl w:val="0"/>
          <w:numId w:val="2"/>
        </w:numPr>
        <w:spacing w:after="90" w:line="270" w:lineRule="auto"/>
        <w:jc w:val="both"/>
      </w:pPr>
      <w:r>
        <w:rPr>
          <w:b/>
          <w:bCs/>
        </w:rPr>
        <w:t xml:space="preserve">Silver Layer (Curated / Conformed): </w:t>
      </w:r>
      <w:r>
        <w:t xml:space="preserve">structured, auditable, historized data modelling core business entities (NTN, CNIC, STRN, invoice identifiers) with cross-domain relationships. It supports identity resolution across IRIS, </w:t>
      </w:r>
      <w:proofErr w:type="spellStart"/>
      <w:r>
        <w:t>eFBR</w:t>
      </w:r>
      <w:proofErr w:type="spellEnd"/>
      <w:r>
        <w:t xml:space="preserve">, </w:t>
      </w:r>
      <w:proofErr w:type="spellStart"/>
      <w:r>
        <w:t>RegSys</w:t>
      </w:r>
      <w:proofErr w:type="spellEnd"/>
      <w:r>
        <w:t xml:space="preserve"> and TAMS, point-in-time structures for temporal joins, bridge tables for cross-domain traversal, and full ACID compliance with time-travel for legal defensibility of tax assessments.</w:t>
      </w:r>
    </w:p>
    <w:p w14:paraId="08EF4D78" w14:textId="77777777" w:rsidR="00C15A4B" w:rsidRDefault="00673469" w:rsidP="00B53FA3">
      <w:pPr>
        <w:pStyle w:val="ListParagraph"/>
        <w:numPr>
          <w:ilvl w:val="0"/>
          <w:numId w:val="2"/>
        </w:numPr>
        <w:spacing w:after="90" w:line="270" w:lineRule="auto"/>
        <w:jc w:val="both"/>
      </w:pPr>
      <w:r>
        <w:rPr>
          <w:b/>
          <w:bCs/>
        </w:rPr>
        <w:t xml:space="preserve">Gold Layer (Dimensional Model): </w:t>
      </w:r>
      <w:r>
        <w:t>star- and snowflake-schema data products aligned to tax domains — Taxpayer 360 Profile, Compliance Behavior, Revenue Performance, Audit &amp; Enforcement, and Refund Management — with fact tables carrying pre-aggregated measures, result caching and partition pruning to sustain second-level query response for executive and officer-facing dashboards.</w:t>
      </w:r>
    </w:p>
    <w:p w14:paraId="5F7B9A6E" w14:textId="77777777" w:rsidR="00C15A4B" w:rsidRDefault="00673469" w:rsidP="00B53FA3">
      <w:pPr>
        <w:pStyle w:val="ListParagraph"/>
        <w:numPr>
          <w:ilvl w:val="0"/>
          <w:numId w:val="2"/>
        </w:numPr>
        <w:spacing w:after="90" w:line="270" w:lineRule="auto"/>
        <w:jc w:val="both"/>
      </w:pPr>
      <w:r>
        <w:rPr>
          <w:b/>
          <w:bCs/>
        </w:rPr>
        <w:t xml:space="preserve">Cache Layer (Serving): </w:t>
      </w:r>
      <w:r>
        <w:t xml:space="preserve">a distributed, in-memory tier delivered by Redis Enterprise (the Enterprise In-Memory Store shown in the diagram), serving pre-computed data products — Taxpayer 360 profiles, risk scores, reference lookups — at sub-millisecond latency to the API tier, and functioning as the online feature-store interface for AI/ML inference. Redis Enterprise provides a shared-nothing clustered architecture with automatic sharding, in-memory replication with automatic failover, configurable persistence (AOF/snapshot) so the cache survives </w:t>
      </w:r>
      <w:r>
        <w:lastRenderedPageBreak/>
        <w:t>restarts, native data structures (hashes, JSON, sorted sets, streams) for profile and feature lookups, TLS-encrypted connections, and role-based access control with namespace-level isolation and ACLs enforced per key pattern.</w:t>
      </w:r>
    </w:p>
    <w:p w14:paraId="23E063C0" w14:textId="77777777" w:rsidR="00C15A4B" w:rsidRDefault="00673469" w:rsidP="00B53FA3">
      <w:pPr>
        <w:pStyle w:val="Heading4"/>
        <w:spacing w:before="200" w:after="100"/>
        <w:jc w:val="both"/>
      </w:pPr>
      <w:r>
        <w:rPr>
          <w:b/>
          <w:bCs/>
          <w:color w:val="B8860B"/>
          <w:sz w:val="22"/>
          <w:szCs w:val="22"/>
        </w:rPr>
        <w:t>3.4 Oracle AI Database 26ai (Lakehouse Capabilities) &amp; Open Formats</w:t>
      </w:r>
    </w:p>
    <w:p w14:paraId="725F84E7" w14:textId="494B3120" w:rsidR="00C15A4B" w:rsidRDefault="00673469" w:rsidP="00CB742D">
      <w:pPr>
        <w:spacing w:after="160" w:line="276" w:lineRule="auto"/>
        <w:jc w:val="both"/>
      </w:pPr>
      <w:r>
        <w:t xml:space="preserve">Oracle AI Database 26ai extends native </w:t>
      </w:r>
      <w:proofErr w:type="spellStart"/>
      <w:r>
        <w:t>lakehouse</w:t>
      </w:r>
      <w:proofErr w:type="spellEnd"/>
      <w:r>
        <w:t xml:space="preserve"> capability directly over the object store, executing federated </w:t>
      </w:r>
      <w:proofErr w:type="gramStart"/>
      <w:r>
        <w:t>queries  Iceberg</w:t>
      </w:r>
      <w:proofErr w:type="gramEnd"/>
      <w:r>
        <w:t xml:space="preserve"> tables under optimistic concurrency control. Combined with Apache Iceberg and Parquet as the platform's open table and file formats, this guarantees that data is never locked into a single proprietary engine — Spark/Flink engines and Oracle's SQL engine both read and write the same physical files on the HPE </w:t>
      </w:r>
      <w:proofErr w:type="spellStart"/>
      <w:r>
        <w:t>Alletra</w:t>
      </w:r>
      <w:proofErr w:type="spellEnd"/>
      <w:r>
        <w:t xml:space="preserve"> object store through a shared, versioned table catalog, giving the platform genuine engine-agnostic openness alongside Oracle's performance and governance.</w:t>
      </w:r>
    </w:p>
    <w:p w14:paraId="3EA99054" w14:textId="77777777" w:rsidR="009C2C7E" w:rsidRDefault="009C2C7E" w:rsidP="00CB742D">
      <w:pPr>
        <w:jc w:val="both"/>
        <w:rPr>
          <w:b/>
          <w:bCs/>
          <w:color w:val="FFD966"/>
          <w:sz w:val="26"/>
          <w:szCs w:val="26"/>
        </w:rPr>
      </w:pPr>
      <w:r>
        <w:rPr>
          <w:b/>
          <w:bCs/>
          <w:color w:val="FFD966"/>
          <w:sz w:val="26"/>
          <w:szCs w:val="26"/>
        </w:rPr>
        <w:br w:type="page"/>
      </w:r>
    </w:p>
    <w:p w14:paraId="557A8F0C" w14:textId="073606A5" w:rsidR="00C15A4B" w:rsidRDefault="00673469" w:rsidP="00CB742D">
      <w:pPr>
        <w:shd w:val="clear" w:color="auto" w:fill="1F3864"/>
        <w:spacing w:before="400" w:after="160"/>
        <w:jc w:val="both"/>
      </w:pPr>
      <w:r>
        <w:rPr>
          <w:b/>
          <w:bCs/>
          <w:color w:val="FFD966"/>
          <w:sz w:val="26"/>
          <w:szCs w:val="26"/>
        </w:rPr>
        <w:lastRenderedPageBreak/>
        <w:t xml:space="preserve">  4   </w:t>
      </w:r>
      <w:r>
        <w:rPr>
          <w:b/>
          <w:bCs/>
          <w:color w:val="FFFFFF"/>
          <w:sz w:val="26"/>
          <w:szCs w:val="26"/>
        </w:rPr>
        <w:t>DATA SCIENCE &amp; ANALYTICS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C15A4B" w14:paraId="6C663548" w14:textId="77777777">
        <w:trPr>
          <w:tblHeader/>
        </w:trPr>
        <w:tc>
          <w:tcPr>
            <w:tcW w:w="3200" w:type="dxa"/>
            <w:shd w:val="clear" w:color="auto" w:fill="1F3864"/>
            <w:tcMar>
              <w:top w:w="80" w:type="dxa"/>
              <w:left w:w="100" w:type="dxa"/>
              <w:bottom w:w="80" w:type="dxa"/>
              <w:right w:w="100" w:type="dxa"/>
            </w:tcMar>
            <w:vAlign w:val="center"/>
          </w:tcPr>
          <w:p w14:paraId="59CEA662" w14:textId="77777777" w:rsidR="00C15A4B" w:rsidRDefault="00673469" w:rsidP="00CB742D">
            <w:pPr>
              <w:jc w:val="both"/>
            </w:pPr>
            <w:r>
              <w:rPr>
                <w:b/>
                <w:bCs/>
                <w:color w:val="FFFFFF"/>
                <w:sz w:val="19"/>
                <w:szCs w:val="19"/>
              </w:rPr>
              <w:t>Component</w:t>
            </w:r>
          </w:p>
        </w:tc>
        <w:tc>
          <w:tcPr>
            <w:tcW w:w="3200" w:type="dxa"/>
            <w:shd w:val="clear" w:color="auto" w:fill="1F3864"/>
            <w:tcMar>
              <w:top w:w="80" w:type="dxa"/>
              <w:left w:w="100" w:type="dxa"/>
              <w:bottom w:w="80" w:type="dxa"/>
              <w:right w:w="100" w:type="dxa"/>
            </w:tcMar>
            <w:vAlign w:val="center"/>
          </w:tcPr>
          <w:p w14:paraId="67D1F470" w14:textId="77777777" w:rsidR="00C15A4B" w:rsidRDefault="00673469" w:rsidP="00CB742D">
            <w:pPr>
              <w:jc w:val="both"/>
            </w:pPr>
            <w:r>
              <w:rPr>
                <w:b/>
                <w:bCs/>
                <w:color w:val="FFFFFF"/>
                <w:sz w:val="19"/>
                <w:szCs w:val="19"/>
              </w:rPr>
              <w:t>Technology / Product</w:t>
            </w:r>
          </w:p>
        </w:tc>
        <w:tc>
          <w:tcPr>
            <w:tcW w:w="3200" w:type="dxa"/>
            <w:shd w:val="clear" w:color="auto" w:fill="1F3864"/>
            <w:tcMar>
              <w:top w:w="80" w:type="dxa"/>
              <w:left w:w="100" w:type="dxa"/>
              <w:bottom w:w="80" w:type="dxa"/>
              <w:right w:w="100" w:type="dxa"/>
            </w:tcMar>
            <w:vAlign w:val="center"/>
          </w:tcPr>
          <w:p w14:paraId="7C9B49AC" w14:textId="77777777" w:rsidR="00C15A4B" w:rsidRDefault="00673469" w:rsidP="00CB742D">
            <w:pPr>
              <w:jc w:val="both"/>
            </w:pPr>
            <w:r>
              <w:rPr>
                <w:b/>
                <w:bCs/>
                <w:color w:val="FFFFFF"/>
                <w:sz w:val="19"/>
                <w:szCs w:val="19"/>
              </w:rPr>
              <w:t>Role &amp; Function</w:t>
            </w:r>
          </w:p>
        </w:tc>
      </w:tr>
      <w:tr w:rsidR="00C15A4B" w14:paraId="46B6C7F2" w14:textId="77777777">
        <w:tc>
          <w:tcPr>
            <w:tcW w:w="3200" w:type="dxa"/>
            <w:shd w:val="clear" w:color="auto" w:fill="FFFFFF"/>
            <w:tcMar>
              <w:top w:w="80" w:type="dxa"/>
              <w:left w:w="100" w:type="dxa"/>
              <w:bottom w:w="80" w:type="dxa"/>
              <w:right w:w="100" w:type="dxa"/>
            </w:tcMar>
            <w:vAlign w:val="center"/>
          </w:tcPr>
          <w:p w14:paraId="2816F748" w14:textId="77777777" w:rsidR="00C15A4B" w:rsidRDefault="00673469" w:rsidP="00CB742D">
            <w:pPr>
              <w:jc w:val="both"/>
            </w:pPr>
            <w:r>
              <w:rPr>
                <w:b/>
                <w:bCs/>
                <w:color w:val="000000"/>
                <w:sz w:val="19"/>
                <w:szCs w:val="19"/>
              </w:rPr>
              <w:t>Cloudera AI — Feature Store</w:t>
            </w:r>
          </w:p>
        </w:tc>
        <w:tc>
          <w:tcPr>
            <w:tcW w:w="3200" w:type="dxa"/>
            <w:shd w:val="clear" w:color="auto" w:fill="FFFFFF"/>
            <w:tcMar>
              <w:top w:w="80" w:type="dxa"/>
              <w:left w:w="100" w:type="dxa"/>
              <w:bottom w:w="80" w:type="dxa"/>
              <w:right w:w="100" w:type="dxa"/>
            </w:tcMar>
            <w:vAlign w:val="center"/>
          </w:tcPr>
          <w:p w14:paraId="14193CD5" w14:textId="77777777" w:rsidR="00C15A4B" w:rsidRDefault="00673469" w:rsidP="00CB742D">
            <w:pPr>
              <w:jc w:val="both"/>
            </w:pPr>
            <w:r>
              <w:rPr>
                <w:color w:val="000000"/>
                <w:sz w:val="19"/>
                <w:szCs w:val="19"/>
              </w:rPr>
              <w:t>Model training &amp; inference feature management</w:t>
            </w:r>
          </w:p>
        </w:tc>
        <w:tc>
          <w:tcPr>
            <w:tcW w:w="3200" w:type="dxa"/>
            <w:shd w:val="clear" w:color="auto" w:fill="FFFFFF"/>
            <w:tcMar>
              <w:top w:w="80" w:type="dxa"/>
              <w:left w:w="100" w:type="dxa"/>
              <w:bottom w:w="80" w:type="dxa"/>
              <w:right w:w="100" w:type="dxa"/>
            </w:tcMar>
            <w:vAlign w:val="center"/>
          </w:tcPr>
          <w:p w14:paraId="273F6948" w14:textId="77777777" w:rsidR="00C15A4B" w:rsidRDefault="00673469" w:rsidP="00CB742D">
            <w:pPr>
              <w:jc w:val="both"/>
            </w:pPr>
            <w:r>
              <w:rPr>
                <w:color w:val="000000"/>
                <w:sz w:val="19"/>
                <w:szCs w:val="19"/>
              </w:rPr>
              <w:t>Curates model-ready feature sets from Gold/Silver data for consistent, governed feature values across training and scoring, with the online feature interface served from the Redis Enterprise cache for low-latency inference.</w:t>
            </w:r>
          </w:p>
        </w:tc>
      </w:tr>
      <w:tr w:rsidR="00C15A4B" w14:paraId="11041897" w14:textId="77777777">
        <w:tc>
          <w:tcPr>
            <w:tcW w:w="3200" w:type="dxa"/>
            <w:shd w:val="clear" w:color="auto" w:fill="F2F2F2"/>
            <w:tcMar>
              <w:top w:w="80" w:type="dxa"/>
              <w:left w:w="100" w:type="dxa"/>
              <w:bottom w:w="80" w:type="dxa"/>
              <w:right w:w="100" w:type="dxa"/>
            </w:tcMar>
            <w:vAlign w:val="center"/>
          </w:tcPr>
          <w:p w14:paraId="6D21721E" w14:textId="77777777" w:rsidR="00C15A4B" w:rsidRDefault="00673469" w:rsidP="00CB742D">
            <w:pPr>
              <w:jc w:val="both"/>
            </w:pPr>
            <w:r>
              <w:rPr>
                <w:b/>
                <w:bCs/>
                <w:color w:val="000000"/>
                <w:sz w:val="19"/>
                <w:szCs w:val="19"/>
              </w:rPr>
              <w:t>Tableau Advanced Analytics &amp; Visualization</w:t>
            </w:r>
          </w:p>
        </w:tc>
        <w:tc>
          <w:tcPr>
            <w:tcW w:w="3200" w:type="dxa"/>
            <w:shd w:val="clear" w:color="auto" w:fill="F2F2F2"/>
            <w:tcMar>
              <w:top w:w="80" w:type="dxa"/>
              <w:left w:w="100" w:type="dxa"/>
              <w:bottom w:w="80" w:type="dxa"/>
              <w:right w:w="100" w:type="dxa"/>
            </w:tcMar>
            <w:vAlign w:val="center"/>
          </w:tcPr>
          <w:p w14:paraId="3723D59F" w14:textId="77777777" w:rsidR="00C15A4B" w:rsidRDefault="00673469" w:rsidP="00CB742D">
            <w:pPr>
              <w:jc w:val="both"/>
            </w:pPr>
            <w:r>
              <w:rPr>
                <w:color w:val="000000"/>
                <w:sz w:val="19"/>
                <w:szCs w:val="19"/>
              </w:rPr>
              <w:t>Statistical modelling and visual analytics</w:t>
            </w:r>
          </w:p>
        </w:tc>
        <w:tc>
          <w:tcPr>
            <w:tcW w:w="3200" w:type="dxa"/>
            <w:shd w:val="clear" w:color="auto" w:fill="F2F2F2"/>
            <w:tcMar>
              <w:top w:w="80" w:type="dxa"/>
              <w:left w:w="100" w:type="dxa"/>
              <w:bottom w:w="80" w:type="dxa"/>
              <w:right w:w="100" w:type="dxa"/>
            </w:tcMar>
            <w:vAlign w:val="center"/>
          </w:tcPr>
          <w:p w14:paraId="74C6FDD0" w14:textId="77777777" w:rsidR="00C15A4B" w:rsidRDefault="00673469" w:rsidP="00CB742D">
            <w:pPr>
              <w:jc w:val="both"/>
            </w:pPr>
            <w:r>
              <w:rPr>
                <w:color w:val="000000"/>
                <w:sz w:val="19"/>
                <w:szCs w:val="19"/>
              </w:rPr>
              <w:t>Provides advanced statistical functions, forecasting and visual exploration on top of governed data products for analyst-driven investigation.</w:t>
            </w:r>
          </w:p>
        </w:tc>
      </w:tr>
    </w:tbl>
    <w:p w14:paraId="65300E6D" w14:textId="77777777" w:rsidR="00C15A4B" w:rsidRDefault="00673469" w:rsidP="00CB742D">
      <w:pPr>
        <w:spacing w:after="160" w:line="276" w:lineRule="auto"/>
        <w:jc w:val="both"/>
      </w:pPr>
      <w:r>
        <w:t xml:space="preserve">This zone works hand-in-hand with the Cloudera AI </w:t>
      </w:r>
      <w:proofErr w:type="spellStart"/>
      <w:r>
        <w:t>MLOps</w:t>
      </w:r>
      <w:proofErr w:type="spellEnd"/>
      <w:r>
        <w:t xml:space="preserve"> capabilities in Zone 5 as the analytical brain of the platform, enabling FBR to move from descriptive reporting to predictive and prescriptive analytics — risk scoring, anomaly detection, compliance-behavior forecasting and case prioritization — built on governed, quality-certified data rather than ad-hoc extracts.</w:t>
      </w:r>
    </w:p>
    <w:p w14:paraId="0BDD5B12" w14:textId="77777777" w:rsidR="009C2C7E" w:rsidRDefault="009C2C7E" w:rsidP="00CB742D">
      <w:pPr>
        <w:jc w:val="both"/>
        <w:rPr>
          <w:b/>
          <w:bCs/>
          <w:color w:val="FFD966"/>
          <w:sz w:val="26"/>
          <w:szCs w:val="26"/>
        </w:rPr>
      </w:pPr>
      <w:r>
        <w:rPr>
          <w:b/>
          <w:bCs/>
          <w:color w:val="FFD966"/>
          <w:sz w:val="26"/>
          <w:szCs w:val="26"/>
        </w:rPr>
        <w:br w:type="page"/>
      </w:r>
    </w:p>
    <w:p w14:paraId="7FA666ED" w14:textId="0A12BCB0" w:rsidR="00C15A4B" w:rsidRDefault="00673469" w:rsidP="00CB742D">
      <w:pPr>
        <w:shd w:val="clear" w:color="auto" w:fill="1F3864"/>
        <w:spacing w:before="400" w:after="160"/>
        <w:jc w:val="both"/>
      </w:pPr>
      <w:r>
        <w:rPr>
          <w:b/>
          <w:bCs/>
          <w:color w:val="FFD966"/>
          <w:sz w:val="26"/>
          <w:szCs w:val="26"/>
        </w:rPr>
        <w:lastRenderedPageBreak/>
        <w:t xml:space="preserve">  5   </w:t>
      </w:r>
      <w:r>
        <w:rPr>
          <w:b/>
          <w:bCs/>
          <w:color w:val="FFFFFF"/>
          <w:sz w:val="26"/>
          <w:szCs w:val="26"/>
        </w:rPr>
        <w:t>DATA PROCESSING &amp; ORCHESTRATION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800"/>
      </w:tblGrid>
      <w:tr w:rsidR="00C15A4B" w14:paraId="242186F8" w14:textId="77777777">
        <w:trPr>
          <w:tblHeader/>
        </w:trPr>
        <w:tc>
          <w:tcPr>
            <w:tcW w:w="3000" w:type="dxa"/>
            <w:shd w:val="clear" w:color="auto" w:fill="1F3864"/>
            <w:tcMar>
              <w:top w:w="80" w:type="dxa"/>
              <w:left w:w="100" w:type="dxa"/>
              <w:bottom w:w="80" w:type="dxa"/>
              <w:right w:w="100" w:type="dxa"/>
            </w:tcMar>
            <w:vAlign w:val="center"/>
          </w:tcPr>
          <w:p w14:paraId="2DC7918D" w14:textId="77777777" w:rsidR="00C15A4B" w:rsidRDefault="00673469" w:rsidP="00CB742D">
            <w:pPr>
              <w:jc w:val="both"/>
            </w:pPr>
            <w:r>
              <w:rPr>
                <w:b/>
                <w:bCs/>
                <w:color w:val="FFFFFF"/>
                <w:sz w:val="19"/>
                <w:szCs w:val="19"/>
              </w:rPr>
              <w:t>Component</w:t>
            </w:r>
          </w:p>
        </w:tc>
        <w:tc>
          <w:tcPr>
            <w:tcW w:w="2800" w:type="dxa"/>
            <w:shd w:val="clear" w:color="auto" w:fill="1F3864"/>
            <w:tcMar>
              <w:top w:w="80" w:type="dxa"/>
              <w:left w:w="100" w:type="dxa"/>
              <w:bottom w:w="80" w:type="dxa"/>
              <w:right w:w="100" w:type="dxa"/>
            </w:tcMar>
            <w:vAlign w:val="center"/>
          </w:tcPr>
          <w:p w14:paraId="5C27A703" w14:textId="77777777" w:rsidR="00C15A4B" w:rsidRDefault="00673469" w:rsidP="00CB742D">
            <w:pPr>
              <w:jc w:val="both"/>
            </w:pPr>
            <w:r>
              <w:rPr>
                <w:b/>
                <w:bCs/>
                <w:color w:val="FFFFFF"/>
                <w:sz w:val="19"/>
                <w:szCs w:val="19"/>
              </w:rPr>
              <w:t>Technology / Product</w:t>
            </w:r>
          </w:p>
        </w:tc>
        <w:tc>
          <w:tcPr>
            <w:tcW w:w="3800" w:type="dxa"/>
            <w:shd w:val="clear" w:color="auto" w:fill="1F3864"/>
            <w:tcMar>
              <w:top w:w="80" w:type="dxa"/>
              <w:left w:w="100" w:type="dxa"/>
              <w:bottom w:w="80" w:type="dxa"/>
              <w:right w:w="100" w:type="dxa"/>
            </w:tcMar>
            <w:vAlign w:val="center"/>
          </w:tcPr>
          <w:p w14:paraId="783F014B" w14:textId="77777777" w:rsidR="00C15A4B" w:rsidRDefault="00673469" w:rsidP="00CB742D">
            <w:pPr>
              <w:jc w:val="both"/>
            </w:pPr>
            <w:r>
              <w:rPr>
                <w:b/>
                <w:bCs/>
                <w:color w:val="FFFFFF"/>
                <w:sz w:val="19"/>
                <w:szCs w:val="19"/>
              </w:rPr>
              <w:t>Role &amp; Function</w:t>
            </w:r>
          </w:p>
        </w:tc>
      </w:tr>
      <w:tr w:rsidR="00C15A4B" w14:paraId="3CB93FED" w14:textId="77777777">
        <w:tc>
          <w:tcPr>
            <w:tcW w:w="3000" w:type="dxa"/>
            <w:shd w:val="clear" w:color="auto" w:fill="FFFFFF"/>
            <w:tcMar>
              <w:top w:w="80" w:type="dxa"/>
              <w:left w:w="100" w:type="dxa"/>
              <w:bottom w:w="80" w:type="dxa"/>
              <w:right w:w="100" w:type="dxa"/>
            </w:tcMar>
            <w:vAlign w:val="center"/>
          </w:tcPr>
          <w:p w14:paraId="3543A126" w14:textId="77777777" w:rsidR="00C15A4B" w:rsidRDefault="00673469" w:rsidP="00CB742D">
            <w:pPr>
              <w:jc w:val="both"/>
            </w:pPr>
            <w:r>
              <w:rPr>
                <w:b/>
                <w:bCs/>
                <w:color w:val="000000"/>
                <w:sz w:val="19"/>
                <w:szCs w:val="19"/>
              </w:rPr>
              <w:t>ODI (ELT / Staging)</w:t>
            </w:r>
          </w:p>
        </w:tc>
        <w:tc>
          <w:tcPr>
            <w:tcW w:w="2800" w:type="dxa"/>
            <w:shd w:val="clear" w:color="auto" w:fill="FFFFFF"/>
            <w:tcMar>
              <w:top w:w="80" w:type="dxa"/>
              <w:left w:w="100" w:type="dxa"/>
              <w:bottom w:w="80" w:type="dxa"/>
              <w:right w:w="100" w:type="dxa"/>
            </w:tcMar>
            <w:vAlign w:val="center"/>
          </w:tcPr>
          <w:p w14:paraId="7E8A0C76" w14:textId="77777777" w:rsidR="00C15A4B" w:rsidRDefault="00673469" w:rsidP="00CB742D">
            <w:pPr>
              <w:jc w:val="both"/>
            </w:pPr>
            <w:r>
              <w:rPr>
                <w:color w:val="000000"/>
                <w:sz w:val="19"/>
                <w:szCs w:val="19"/>
              </w:rPr>
              <w:t>Oracle Data Integrator</w:t>
            </w:r>
          </w:p>
        </w:tc>
        <w:tc>
          <w:tcPr>
            <w:tcW w:w="3800" w:type="dxa"/>
            <w:shd w:val="clear" w:color="auto" w:fill="FFFFFF"/>
            <w:tcMar>
              <w:top w:w="80" w:type="dxa"/>
              <w:left w:w="100" w:type="dxa"/>
              <w:bottom w:w="80" w:type="dxa"/>
              <w:right w:w="100" w:type="dxa"/>
            </w:tcMar>
            <w:vAlign w:val="center"/>
          </w:tcPr>
          <w:p w14:paraId="110D0D05" w14:textId="77777777" w:rsidR="00C15A4B" w:rsidRDefault="00673469" w:rsidP="00CB742D">
            <w:pPr>
              <w:jc w:val="both"/>
            </w:pPr>
            <w:r>
              <w:rPr>
                <w:color w:val="000000"/>
                <w:sz w:val="19"/>
                <w:szCs w:val="19"/>
              </w:rPr>
              <w:t>Executes ELT transformation logic and staging jobs feeding Bronze-to-Silver-to-</w:t>
            </w:r>
            <w:proofErr w:type="gramStart"/>
            <w:r>
              <w:rPr>
                <w:color w:val="000000"/>
                <w:sz w:val="19"/>
                <w:szCs w:val="19"/>
              </w:rPr>
              <w:t>Gold</w:t>
            </w:r>
            <w:proofErr w:type="gramEnd"/>
            <w:r>
              <w:rPr>
                <w:color w:val="000000"/>
                <w:sz w:val="19"/>
                <w:szCs w:val="19"/>
              </w:rPr>
              <w:t xml:space="preserve"> promotion, integrated with the platform's unified scheduling interface.</w:t>
            </w:r>
          </w:p>
        </w:tc>
      </w:tr>
      <w:tr w:rsidR="00C15A4B" w14:paraId="33D00F9B" w14:textId="77777777">
        <w:tc>
          <w:tcPr>
            <w:tcW w:w="3000" w:type="dxa"/>
            <w:shd w:val="clear" w:color="auto" w:fill="F2F2F2"/>
            <w:tcMar>
              <w:top w:w="80" w:type="dxa"/>
              <w:left w:w="100" w:type="dxa"/>
              <w:bottom w:w="80" w:type="dxa"/>
              <w:right w:w="100" w:type="dxa"/>
            </w:tcMar>
            <w:vAlign w:val="center"/>
          </w:tcPr>
          <w:p w14:paraId="29D62909" w14:textId="77777777" w:rsidR="00C15A4B" w:rsidRDefault="00673469" w:rsidP="00CB742D">
            <w:pPr>
              <w:jc w:val="both"/>
            </w:pPr>
            <w:r>
              <w:rPr>
                <w:b/>
                <w:bCs/>
                <w:color w:val="000000"/>
                <w:sz w:val="19"/>
                <w:szCs w:val="19"/>
              </w:rPr>
              <w:t>Cloudera Data Engineering</w:t>
            </w:r>
          </w:p>
        </w:tc>
        <w:tc>
          <w:tcPr>
            <w:tcW w:w="2800" w:type="dxa"/>
            <w:shd w:val="clear" w:color="auto" w:fill="F2F2F2"/>
            <w:tcMar>
              <w:top w:w="80" w:type="dxa"/>
              <w:left w:w="100" w:type="dxa"/>
              <w:bottom w:w="80" w:type="dxa"/>
              <w:right w:w="100" w:type="dxa"/>
            </w:tcMar>
            <w:vAlign w:val="center"/>
          </w:tcPr>
          <w:p w14:paraId="17F1121E" w14:textId="77777777" w:rsidR="00C15A4B" w:rsidRDefault="00673469" w:rsidP="00CB742D">
            <w:pPr>
              <w:jc w:val="both"/>
            </w:pPr>
            <w:r>
              <w:rPr>
                <w:color w:val="000000"/>
                <w:sz w:val="19"/>
                <w:szCs w:val="19"/>
              </w:rPr>
              <w:t>Apache Airflow + Apache Spark</w:t>
            </w:r>
          </w:p>
        </w:tc>
        <w:tc>
          <w:tcPr>
            <w:tcW w:w="3800" w:type="dxa"/>
            <w:shd w:val="clear" w:color="auto" w:fill="F2F2F2"/>
            <w:tcMar>
              <w:top w:w="80" w:type="dxa"/>
              <w:left w:w="100" w:type="dxa"/>
              <w:bottom w:w="80" w:type="dxa"/>
              <w:right w:w="100" w:type="dxa"/>
            </w:tcMar>
            <w:vAlign w:val="center"/>
          </w:tcPr>
          <w:p w14:paraId="1650C631" w14:textId="77777777" w:rsidR="00C15A4B" w:rsidRDefault="00673469" w:rsidP="00CB742D">
            <w:pPr>
              <w:jc w:val="both"/>
            </w:pPr>
            <w:r>
              <w:rPr>
                <w:color w:val="000000"/>
                <w:sz w:val="19"/>
                <w:szCs w:val="19"/>
              </w:rPr>
              <w:t>DAG-based batch orchestration and distributed data-engineering processing; expresses all pipelines as Directed Acyclic Graphs with explicit dependency declarations, configurable parallelism, and checkpoint/resume on failure.</w:t>
            </w:r>
          </w:p>
        </w:tc>
      </w:tr>
      <w:tr w:rsidR="00C15A4B" w14:paraId="460516A0" w14:textId="77777777">
        <w:tc>
          <w:tcPr>
            <w:tcW w:w="3000" w:type="dxa"/>
            <w:shd w:val="clear" w:color="auto" w:fill="FFFFFF"/>
            <w:tcMar>
              <w:top w:w="80" w:type="dxa"/>
              <w:left w:w="100" w:type="dxa"/>
              <w:bottom w:w="80" w:type="dxa"/>
              <w:right w:w="100" w:type="dxa"/>
            </w:tcMar>
            <w:vAlign w:val="center"/>
          </w:tcPr>
          <w:p w14:paraId="4FF383ED" w14:textId="77777777" w:rsidR="00C15A4B" w:rsidRDefault="00673469" w:rsidP="00CB742D">
            <w:pPr>
              <w:jc w:val="both"/>
            </w:pPr>
            <w:r>
              <w:rPr>
                <w:b/>
                <w:bCs/>
                <w:color w:val="000000"/>
                <w:sz w:val="19"/>
                <w:szCs w:val="19"/>
              </w:rPr>
              <w:t>Cloudera Streaming Analytics</w:t>
            </w:r>
          </w:p>
        </w:tc>
        <w:tc>
          <w:tcPr>
            <w:tcW w:w="2800" w:type="dxa"/>
            <w:shd w:val="clear" w:color="auto" w:fill="FFFFFF"/>
            <w:tcMar>
              <w:top w:w="80" w:type="dxa"/>
              <w:left w:w="100" w:type="dxa"/>
              <w:bottom w:w="80" w:type="dxa"/>
              <w:right w:w="100" w:type="dxa"/>
            </w:tcMar>
            <w:vAlign w:val="center"/>
          </w:tcPr>
          <w:p w14:paraId="4C18F40A" w14:textId="77777777" w:rsidR="00C15A4B" w:rsidRDefault="00673469" w:rsidP="00CB742D">
            <w:pPr>
              <w:jc w:val="both"/>
            </w:pPr>
            <w:r>
              <w:rPr>
                <w:color w:val="000000"/>
                <w:sz w:val="19"/>
                <w:szCs w:val="19"/>
              </w:rPr>
              <w:t>Apache Flink (Real-time / NRT processing)</w:t>
            </w:r>
          </w:p>
        </w:tc>
        <w:tc>
          <w:tcPr>
            <w:tcW w:w="3800" w:type="dxa"/>
            <w:shd w:val="clear" w:color="auto" w:fill="FFFFFF"/>
            <w:tcMar>
              <w:top w:w="80" w:type="dxa"/>
              <w:left w:w="100" w:type="dxa"/>
              <w:bottom w:w="80" w:type="dxa"/>
              <w:right w:w="100" w:type="dxa"/>
            </w:tcMar>
            <w:vAlign w:val="center"/>
          </w:tcPr>
          <w:p w14:paraId="7456EE69" w14:textId="77777777" w:rsidR="00C15A4B" w:rsidRDefault="00673469" w:rsidP="00CB742D">
            <w:pPr>
              <w:jc w:val="both"/>
            </w:pPr>
            <w:r>
              <w:rPr>
                <w:color w:val="000000"/>
                <w:sz w:val="19"/>
                <w:szCs w:val="19"/>
              </w:rPr>
              <w:t>Real-time and near-real-time (NRT) stream processing with stateful and stateless transformations, exactly-once processing guarantees, and continuous feature refresh for AI/ML models.</w:t>
            </w:r>
          </w:p>
        </w:tc>
      </w:tr>
      <w:tr w:rsidR="00C15A4B" w14:paraId="20494209" w14:textId="77777777">
        <w:tc>
          <w:tcPr>
            <w:tcW w:w="3000" w:type="dxa"/>
            <w:shd w:val="clear" w:color="auto" w:fill="F2F2F2"/>
            <w:tcMar>
              <w:top w:w="80" w:type="dxa"/>
              <w:left w:w="100" w:type="dxa"/>
              <w:bottom w:w="80" w:type="dxa"/>
              <w:right w:w="100" w:type="dxa"/>
            </w:tcMar>
            <w:vAlign w:val="center"/>
          </w:tcPr>
          <w:p w14:paraId="4C41C1EE" w14:textId="77777777" w:rsidR="00C15A4B" w:rsidRDefault="00673469" w:rsidP="00CB742D">
            <w:pPr>
              <w:jc w:val="both"/>
            </w:pPr>
            <w:r>
              <w:rPr>
                <w:b/>
                <w:bCs/>
                <w:color w:val="000000"/>
                <w:sz w:val="19"/>
                <w:szCs w:val="19"/>
              </w:rPr>
              <w:t>Cloudera AI</w:t>
            </w:r>
          </w:p>
        </w:tc>
        <w:tc>
          <w:tcPr>
            <w:tcW w:w="2800" w:type="dxa"/>
            <w:shd w:val="clear" w:color="auto" w:fill="F2F2F2"/>
            <w:tcMar>
              <w:top w:w="80" w:type="dxa"/>
              <w:left w:w="100" w:type="dxa"/>
              <w:bottom w:w="80" w:type="dxa"/>
              <w:right w:w="100" w:type="dxa"/>
            </w:tcMar>
            <w:vAlign w:val="center"/>
          </w:tcPr>
          <w:p w14:paraId="11B99E15" w14:textId="77777777" w:rsidR="00C15A4B" w:rsidRDefault="00673469" w:rsidP="00CB742D">
            <w:pPr>
              <w:jc w:val="both"/>
            </w:pPr>
            <w:r>
              <w:rPr>
                <w:color w:val="000000"/>
                <w:sz w:val="19"/>
                <w:szCs w:val="19"/>
              </w:rPr>
              <w:t xml:space="preserve">AI/ML platform (Feature Store, Model Registry, Inference, </w:t>
            </w:r>
            <w:proofErr w:type="spellStart"/>
            <w:r>
              <w:rPr>
                <w:color w:val="000000"/>
                <w:sz w:val="19"/>
                <w:szCs w:val="19"/>
              </w:rPr>
              <w:t>MLOps</w:t>
            </w:r>
            <w:proofErr w:type="spellEnd"/>
            <w:r>
              <w:rPr>
                <w:color w:val="000000"/>
                <w:sz w:val="19"/>
                <w:szCs w:val="19"/>
              </w:rPr>
              <w:t>)</w:t>
            </w:r>
          </w:p>
        </w:tc>
        <w:tc>
          <w:tcPr>
            <w:tcW w:w="3800" w:type="dxa"/>
            <w:shd w:val="clear" w:color="auto" w:fill="F2F2F2"/>
            <w:tcMar>
              <w:top w:w="80" w:type="dxa"/>
              <w:left w:w="100" w:type="dxa"/>
              <w:bottom w:w="80" w:type="dxa"/>
              <w:right w:w="100" w:type="dxa"/>
            </w:tcMar>
            <w:vAlign w:val="center"/>
          </w:tcPr>
          <w:p w14:paraId="18F23E35" w14:textId="77777777" w:rsidR="00C15A4B" w:rsidRDefault="00673469" w:rsidP="00CB742D">
            <w:pPr>
              <w:jc w:val="both"/>
            </w:pPr>
            <w:r>
              <w:rPr>
                <w:color w:val="000000"/>
                <w:sz w:val="19"/>
                <w:szCs w:val="19"/>
              </w:rPr>
              <w:t>Feature store, model registry, experiment tracking, and inference/</w:t>
            </w:r>
            <w:proofErr w:type="spellStart"/>
            <w:r>
              <w:rPr>
                <w:color w:val="000000"/>
                <w:sz w:val="19"/>
                <w:szCs w:val="19"/>
              </w:rPr>
              <w:t>MLOps</w:t>
            </w:r>
            <w:proofErr w:type="spellEnd"/>
            <w:r>
              <w:rPr>
                <w:color w:val="000000"/>
                <w:sz w:val="19"/>
                <w:szCs w:val="19"/>
              </w:rPr>
              <w:t xml:space="preserve"> lifecycle management, orchestrated in coordination with Airflow/Spark pipelines.</w:t>
            </w:r>
          </w:p>
        </w:tc>
      </w:tr>
    </w:tbl>
    <w:p w14:paraId="35771163" w14:textId="77777777" w:rsidR="00C15A4B" w:rsidRDefault="00673469" w:rsidP="00CB742D">
      <w:pPr>
        <w:spacing w:after="160" w:line="276" w:lineRule="auto"/>
        <w:jc w:val="both"/>
      </w:pPr>
      <w:r>
        <w:t>This layer is the workhorse orchestration fabric: a hybrid scheduling engine (interval, event-driven and on-demand) coordinates ODI, Airflow/Spark and Flink jobs through a single unified interface, with automatic workload partitioning across compute nodes and checkpointed resumption so failures never require full source reprocessing.</w:t>
      </w:r>
    </w:p>
    <w:p w14:paraId="5C37BB71" w14:textId="77777777" w:rsidR="009C2C7E" w:rsidRDefault="009C2C7E" w:rsidP="00CB742D">
      <w:pPr>
        <w:jc w:val="both"/>
        <w:rPr>
          <w:b/>
          <w:bCs/>
          <w:color w:val="FFD966"/>
          <w:sz w:val="26"/>
          <w:szCs w:val="26"/>
        </w:rPr>
      </w:pPr>
      <w:r>
        <w:rPr>
          <w:b/>
          <w:bCs/>
          <w:color w:val="FFD966"/>
          <w:sz w:val="26"/>
          <w:szCs w:val="26"/>
        </w:rPr>
        <w:br w:type="page"/>
      </w:r>
    </w:p>
    <w:p w14:paraId="33E2CCB2" w14:textId="45FB7EAE" w:rsidR="00C15A4B" w:rsidRDefault="00673469" w:rsidP="00CB742D">
      <w:pPr>
        <w:shd w:val="clear" w:color="auto" w:fill="1F3864"/>
        <w:spacing w:before="400" w:after="160"/>
        <w:jc w:val="both"/>
      </w:pPr>
      <w:r>
        <w:rPr>
          <w:b/>
          <w:bCs/>
          <w:color w:val="FFD966"/>
          <w:sz w:val="26"/>
          <w:szCs w:val="26"/>
        </w:rPr>
        <w:lastRenderedPageBreak/>
        <w:t xml:space="preserve">  6   </w:t>
      </w:r>
      <w:r>
        <w:rPr>
          <w:b/>
          <w:bCs/>
          <w:color w:val="FFFFFF"/>
          <w:sz w:val="26"/>
          <w:szCs w:val="26"/>
        </w:rPr>
        <w:t>DATA GOVERNANCE &amp; MASTER DATA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00"/>
      </w:tblGrid>
      <w:tr w:rsidR="00C15A4B" w14:paraId="030C948C" w14:textId="77777777">
        <w:trPr>
          <w:tblHeader/>
        </w:trPr>
        <w:tc>
          <w:tcPr>
            <w:tcW w:w="3000" w:type="dxa"/>
            <w:shd w:val="clear" w:color="auto" w:fill="1F3864"/>
            <w:tcMar>
              <w:top w:w="80" w:type="dxa"/>
              <w:left w:w="100" w:type="dxa"/>
              <w:bottom w:w="80" w:type="dxa"/>
              <w:right w:w="100" w:type="dxa"/>
            </w:tcMar>
            <w:vAlign w:val="center"/>
          </w:tcPr>
          <w:p w14:paraId="1ED39851" w14:textId="77777777" w:rsidR="00C15A4B" w:rsidRDefault="00673469" w:rsidP="00CB742D">
            <w:pPr>
              <w:jc w:val="both"/>
            </w:pPr>
            <w:r>
              <w:rPr>
                <w:b/>
                <w:bCs/>
                <w:color w:val="FFFFFF"/>
                <w:sz w:val="19"/>
                <w:szCs w:val="19"/>
              </w:rPr>
              <w:t>Component</w:t>
            </w:r>
          </w:p>
        </w:tc>
        <w:tc>
          <w:tcPr>
            <w:tcW w:w="3000" w:type="dxa"/>
            <w:shd w:val="clear" w:color="auto" w:fill="1F3864"/>
            <w:tcMar>
              <w:top w:w="80" w:type="dxa"/>
              <w:left w:w="100" w:type="dxa"/>
              <w:bottom w:w="80" w:type="dxa"/>
              <w:right w:w="100" w:type="dxa"/>
            </w:tcMar>
            <w:vAlign w:val="center"/>
          </w:tcPr>
          <w:p w14:paraId="36871220" w14:textId="77777777" w:rsidR="00C15A4B" w:rsidRDefault="00673469" w:rsidP="00CB742D">
            <w:pPr>
              <w:jc w:val="both"/>
            </w:pPr>
            <w:r>
              <w:rPr>
                <w:b/>
                <w:bCs/>
                <w:color w:val="FFFFFF"/>
                <w:sz w:val="19"/>
                <w:szCs w:val="19"/>
              </w:rPr>
              <w:t>Technology / Product</w:t>
            </w:r>
          </w:p>
        </w:tc>
        <w:tc>
          <w:tcPr>
            <w:tcW w:w="3600" w:type="dxa"/>
            <w:shd w:val="clear" w:color="auto" w:fill="1F3864"/>
            <w:tcMar>
              <w:top w:w="80" w:type="dxa"/>
              <w:left w:w="100" w:type="dxa"/>
              <w:bottom w:w="80" w:type="dxa"/>
              <w:right w:w="100" w:type="dxa"/>
            </w:tcMar>
            <w:vAlign w:val="center"/>
          </w:tcPr>
          <w:p w14:paraId="76CF2007" w14:textId="77777777" w:rsidR="00C15A4B" w:rsidRDefault="00673469" w:rsidP="00CB742D">
            <w:pPr>
              <w:jc w:val="both"/>
            </w:pPr>
            <w:r>
              <w:rPr>
                <w:b/>
                <w:bCs/>
                <w:color w:val="FFFFFF"/>
                <w:sz w:val="19"/>
                <w:szCs w:val="19"/>
              </w:rPr>
              <w:t>Role &amp; Function</w:t>
            </w:r>
          </w:p>
        </w:tc>
      </w:tr>
      <w:tr w:rsidR="00C15A4B" w14:paraId="3D10EBBE" w14:textId="77777777">
        <w:tc>
          <w:tcPr>
            <w:tcW w:w="3000" w:type="dxa"/>
            <w:shd w:val="clear" w:color="auto" w:fill="FFFFFF"/>
            <w:tcMar>
              <w:top w:w="80" w:type="dxa"/>
              <w:left w:w="100" w:type="dxa"/>
              <w:bottom w:w="80" w:type="dxa"/>
              <w:right w:w="100" w:type="dxa"/>
            </w:tcMar>
            <w:vAlign w:val="center"/>
          </w:tcPr>
          <w:p w14:paraId="14AB76D5" w14:textId="168A7E3F" w:rsidR="00C15A4B" w:rsidRDefault="00F704C3" w:rsidP="00CB742D">
            <w:pPr>
              <w:jc w:val="both"/>
            </w:pPr>
            <w:r>
              <w:rPr>
                <w:b/>
                <w:bCs/>
                <w:color w:val="000000"/>
                <w:sz w:val="19"/>
                <w:szCs w:val="19"/>
              </w:rPr>
              <w:t>SEMARCHY DATA PLATFORM</w:t>
            </w:r>
            <w:r w:rsidR="00673469">
              <w:rPr>
                <w:b/>
                <w:bCs/>
                <w:color w:val="000000"/>
                <w:sz w:val="19"/>
                <w:szCs w:val="19"/>
              </w:rPr>
              <w:t>— Data Governance &amp; Catalog</w:t>
            </w:r>
          </w:p>
        </w:tc>
        <w:tc>
          <w:tcPr>
            <w:tcW w:w="3000" w:type="dxa"/>
            <w:shd w:val="clear" w:color="auto" w:fill="FFFFFF"/>
            <w:tcMar>
              <w:top w:w="80" w:type="dxa"/>
              <w:left w:w="100" w:type="dxa"/>
              <w:bottom w:w="80" w:type="dxa"/>
              <w:right w:w="100" w:type="dxa"/>
            </w:tcMar>
            <w:vAlign w:val="center"/>
          </w:tcPr>
          <w:p w14:paraId="10FA9729" w14:textId="77777777" w:rsidR="00C15A4B" w:rsidRDefault="00673469" w:rsidP="00CB742D">
            <w:pPr>
              <w:jc w:val="both"/>
            </w:pPr>
            <w:r>
              <w:rPr>
                <w:color w:val="000000"/>
                <w:sz w:val="19"/>
                <w:szCs w:val="19"/>
              </w:rPr>
              <w:t>Business Glossary, Metadata Catalog, Lineage, Stewardship</w:t>
            </w:r>
          </w:p>
        </w:tc>
        <w:tc>
          <w:tcPr>
            <w:tcW w:w="3600" w:type="dxa"/>
            <w:shd w:val="clear" w:color="auto" w:fill="FFFFFF"/>
            <w:tcMar>
              <w:top w:w="80" w:type="dxa"/>
              <w:left w:w="100" w:type="dxa"/>
              <w:bottom w:w="80" w:type="dxa"/>
              <w:right w:w="100" w:type="dxa"/>
            </w:tcMar>
            <w:vAlign w:val="center"/>
          </w:tcPr>
          <w:p w14:paraId="7885B8D6" w14:textId="1AB58482" w:rsidR="00C15A4B" w:rsidRDefault="00673469" w:rsidP="00CB742D">
            <w:pPr>
              <w:jc w:val="both"/>
            </w:pPr>
            <w:r>
              <w:rPr>
                <w:color w:val="000000"/>
                <w:sz w:val="19"/>
                <w:szCs w:val="19"/>
              </w:rPr>
              <w:t xml:space="preserve">Centralized, DAMA-DMBOK-aligned governance </w:t>
            </w:r>
            <w:proofErr w:type="gramStart"/>
            <w:r>
              <w:rPr>
                <w:color w:val="000000"/>
                <w:sz w:val="19"/>
                <w:szCs w:val="19"/>
              </w:rPr>
              <w:t>within :</w:t>
            </w:r>
            <w:proofErr w:type="gramEnd"/>
            <w:r>
              <w:rPr>
                <w:color w:val="000000"/>
                <w:sz w:val="19"/>
                <w:szCs w:val="19"/>
              </w:rPr>
              <w:t xml:space="preserve"> business/technical/operational metadata, a three-tier stewardship model (Executive Steward, Domain Data Owner, Data Custodian) enforced </w:t>
            </w:r>
            <w:proofErr w:type="gramStart"/>
            <w:r>
              <w:rPr>
                <w:color w:val="000000"/>
                <w:sz w:val="19"/>
                <w:szCs w:val="19"/>
              </w:rPr>
              <w:t>through  roles</w:t>
            </w:r>
            <w:proofErr w:type="gramEnd"/>
            <w:r>
              <w:rPr>
                <w:color w:val="000000"/>
                <w:sz w:val="19"/>
                <w:szCs w:val="19"/>
              </w:rPr>
              <w:t xml:space="preserve"> and workflows, policy and glossary versioning with five-year audit retention </w:t>
            </w:r>
            <w:proofErr w:type="gramStart"/>
            <w:r>
              <w:rPr>
                <w:color w:val="000000"/>
                <w:sz w:val="19"/>
                <w:szCs w:val="19"/>
              </w:rPr>
              <w:t>( data</w:t>
            </w:r>
            <w:proofErr w:type="gramEnd"/>
            <w:r>
              <w:rPr>
                <w:color w:val="000000"/>
                <w:sz w:val="19"/>
                <w:szCs w:val="19"/>
              </w:rPr>
              <w:t xml:space="preserve"> spaces, snapshots and history), and lineage from source to report.</w:t>
            </w:r>
          </w:p>
        </w:tc>
      </w:tr>
      <w:tr w:rsidR="00C15A4B" w14:paraId="52E42C53" w14:textId="77777777">
        <w:tc>
          <w:tcPr>
            <w:tcW w:w="3000" w:type="dxa"/>
            <w:shd w:val="clear" w:color="auto" w:fill="F2F2F2"/>
            <w:tcMar>
              <w:top w:w="80" w:type="dxa"/>
              <w:left w:w="100" w:type="dxa"/>
              <w:bottom w:w="80" w:type="dxa"/>
              <w:right w:w="100" w:type="dxa"/>
            </w:tcMar>
            <w:vAlign w:val="center"/>
          </w:tcPr>
          <w:p w14:paraId="4D30B78E" w14:textId="3312177D" w:rsidR="00C15A4B" w:rsidRDefault="00F704C3" w:rsidP="00CB742D">
            <w:pPr>
              <w:jc w:val="both"/>
            </w:pPr>
            <w:r>
              <w:rPr>
                <w:b/>
                <w:bCs/>
                <w:color w:val="000000"/>
                <w:sz w:val="19"/>
                <w:szCs w:val="19"/>
              </w:rPr>
              <w:t>SEMARCHY DATA PLATFORM</w:t>
            </w:r>
            <w:r w:rsidR="00673469">
              <w:rPr>
                <w:b/>
                <w:bCs/>
                <w:color w:val="000000"/>
                <w:sz w:val="19"/>
                <w:szCs w:val="19"/>
              </w:rPr>
              <w:t>— Data Quality</w:t>
            </w:r>
          </w:p>
        </w:tc>
        <w:tc>
          <w:tcPr>
            <w:tcW w:w="3000" w:type="dxa"/>
            <w:shd w:val="clear" w:color="auto" w:fill="F2F2F2"/>
            <w:tcMar>
              <w:top w:w="80" w:type="dxa"/>
              <w:left w:w="100" w:type="dxa"/>
              <w:bottom w:w="80" w:type="dxa"/>
              <w:right w:w="100" w:type="dxa"/>
            </w:tcMar>
            <w:vAlign w:val="center"/>
          </w:tcPr>
          <w:p w14:paraId="60FEB320" w14:textId="77777777" w:rsidR="00C15A4B" w:rsidRDefault="00673469" w:rsidP="00CB742D">
            <w:pPr>
              <w:jc w:val="both"/>
            </w:pPr>
            <w:r>
              <w:rPr>
                <w:color w:val="000000"/>
                <w:sz w:val="19"/>
                <w:szCs w:val="19"/>
              </w:rPr>
              <w:t>Profiling, DQ Rules, Monitoring</w:t>
            </w:r>
          </w:p>
        </w:tc>
        <w:tc>
          <w:tcPr>
            <w:tcW w:w="3600" w:type="dxa"/>
            <w:shd w:val="clear" w:color="auto" w:fill="F2F2F2"/>
            <w:tcMar>
              <w:top w:w="80" w:type="dxa"/>
              <w:left w:w="100" w:type="dxa"/>
              <w:bottom w:w="80" w:type="dxa"/>
              <w:right w:w="100" w:type="dxa"/>
            </w:tcMar>
            <w:vAlign w:val="center"/>
          </w:tcPr>
          <w:p w14:paraId="262ACC16" w14:textId="40A9276C" w:rsidR="00C15A4B" w:rsidRDefault="00673469" w:rsidP="00CB742D">
            <w:pPr>
              <w:jc w:val="both"/>
            </w:pPr>
            <w:r>
              <w:rPr>
                <w:color w:val="000000"/>
                <w:sz w:val="19"/>
                <w:szCs w:val="19"/>
              </w:rPr>
              <w:t xml:space="preserve">A centralized rules engine covering completeness, accuracy, consistency, uniqueness, timeliness and reasonability checks, enforced at ingestion, transformation and publication; computes a composite Data Quality Score per dataset and gates publication below a configurable threshold </w:t>
            </w:r>
            <w:proofErr w:type="gramStart"/>
            <w:r>
              <w:rPr>
                <w:color w:val="000000"/>
                <w:sz w:val="19"/>
                <w:szCs w:val="19"/>
              </w:rPr>
              <w:t>through  validation</w:t>
            </w:r>
            <w:proofErr w:type="gramEnd"/>
            <w:r>
              <w:rPr>
                <w:color w:val="000000"/>
                <w:sz w:val="19"/>
                <w:szCs w:val="19"/>
              </w:rPr>
              <w:t xml:space="preserve"> rules and approval workflows.</w:t>
            </w:r>
          </w:p>
        </w:tc>
      </w:tr>
      <w:tr w:rsidR="00C15A4B" w14:paraId="51F94DB1" w14:textId="77777777">
        <w:tc>
          <w:tcPr>
            <w:tcW w:w="3000" w:type="dxa"/>
            <w:shd w:val="clear" w:color="auto" w:fill="FFFFFF"/>
            <w:tcMar>
              <w:top w:w="80" w:type="dxa"/>
              <w:left w:w="100" w:type="dxa"/>
              <w:bottom w:w="80" w:type="dxa"/>
              <w:right w:w="100" w:type="dxa"/>
            </w:tcMar>
            <w:vAlign w:val="center"/>
          </w:tcPr>
          <w:p w14:paraId="16855F2C" w14:textId="3FC8FC5C" w:rsidR="00C15A4B" w:rsidRDefault="00F704C3" w:rsidP="00CB742D">
            <w:pPr>
              <w:jc w:val="both"/>
            </w:pPr>
            <w:r>
              <w:rPr>
                <w:b/>
                <w:bCs/>
                <w:color w:val="000000"/>
                <w:sz w:val="19"/>
                <w:szCs w:val="19"/>
              </w:rPr>
              <w:t>SEMARCHY DATA PLATFORM</w:t>
            </w:r>
            <w:r w:rsidR="00673469">
              <w:rPr>
                <w:b/>
                <w:bCs/>
                <w:color w:val="000000"/>
                <w:sz w:val="19"/>
                <w:szCs w:val="19"/>
              </w:rPr>
              <w:t>— MDM + RDM</w:t>
            </w:r>
          </w:p>
        </w:tc>
        <w:tc>
          <w:tcPr>
            <w:tcW w:w="3000" w:type="dxa"/>
            <w:shd w:val="clear" w:color="auto" w:fill="FFFFFF"/>
            <w:tcMar>
              <w:top w:w="80" w:type="dxa"/>
              <w:left w:w="100" w:type="dxa"/>
              <w:bottom w:w="80" w:type="dxa"/>
              <w:right w:w="100" w:type="dxa"/>
            </w:tcMar>
            <w:vAlign w:val="center"/>
          </w:tcPr>
          <w:p w14:paraId="15A0C77F" w14:textId="77777777" w:rsidR="00C15A4B" w:rsidRDefault="00673469" w:rsidP="00CB742D">
            <w:pPr>
              <w:jc w:val="both"/>
            </w:pPr>
            <w:r>
              <w:rPr>
                <w:color w:val="000000"/>
                <w:sz w:val="19"/>
                <w:szCs w:val="19"/>
              </w:rPr>
              <w:t>Golden Record, Matching, Survivorship, Mastering, Reference Data</w:t>
            </w:r>
          </w:p>
        </w:tc>
        <w:tc>
          <w:tcPr>
            <w:tcW w:w="3600" w:type="dxa"/>
            <w:shd w:val="clear" w:color="auto" w:fill="FFFFFF"/>
            <w:tcMar>
              <w:top w:w="80" w:type="dxa"/>
              <w:left w:w="100" w:type="dxa"/>
              <w:bottom w:w="80" w:type="dxa"/>
              <w:right w:w="100" w:type="dxa"/>
            </w:tcMar>
            <w:vAlign w:val="center"/>
          </w:tcPr>
          <w:p w14:paraId="54120291" w14:textId="345A3CEA" w:rsidR="00C15A4B" w:rsidRDefault="00673469" w:rsidP="00CB742D">
            <w:pPr>
              <w:jc w:val="both"/>
            </w:pPr>
            <w:r>
              <w:rPr>
                <w:color w:val="000000"/>
                <w:sz w:val="19"/>
                <w:szCs w:val="19"/>
              </w:rPr>
              <w:t>Master Data Management producing Golden Records for Taxpayer, Legal Entity, Financial Institution, Tax Product, Filing Period and Geographic Unit entities via 's configurable matching and survivorship rule engine; manages fiscal reference/code sets through a full Draft-to-Retired lifecycle, exposed via a versioned Master Data API.</w:t>
            </w:r>
          </w:p>
        </w:tc>
      </w:tr>
      <w:tr w:rsidR="00C15A4B" w14:paraId="050B4369" w14:textId="77777777">
        <w:tc>
          <w:tcPr>
            <w:tcW w:w="3000" w:type="dxa"/>
            <w:shd w:val="clear" w:color="auto" w:fill="F2F2F2"/>
            <w:tcMar>
              <w:top w:w="80" w:type="dxa"/>
              <w:left w:w="100" w:type="dxa"/>
              <w:bottom w:w="80" w:type="dxa"/>
              <w:right w:w="100" w:type="dxa"/>
            </w:tcMar>
            <w:vAlign w:val="center"/>
          </w:tcPr>
          <w:p w14:paraId="6426510C" w14:textId="77777777" w:rsidR="00C15A4B" w:rsidRDefault="00673469" w:rsidP="00CB742D">
            <w:pPr>
              <w:jc w:val="both"/>
            </w:pPr>
            <w:r>
              <w:rPr>
                <w:b/>
                <w:bCs/>
                <w:color w:val="000000"/>
                <w:sz w:val="19"/>
                <w:szCs w:val="19"/>
              </w:rPr>
              <w:t>Governance Metadata / Lineage (To Hub, Processing, BI, MDM)</w:t>
            </w:r>
          </w:p>
        </w:tc>
        <w:tc>
          <w:tcPr>
            <w:tcW w:w="3000" w:type="dxa"/>
            <w:shd w:val="clear" w:color="auto" w:fill="F2F2F2"/>
            <w:tcMar>
              <w:top w:w="80" w:type="dxa"/>
              <w:left w:w="100" w:type="dxa"/>
              <w:bottom w:w="80" w:type="dxa"/>
              <w:right w:w="100" w:type="dxa"/>
            </w:tcMar>
            <w:vAlign w:val="center"/>
          </w:tcPr>
          <w:p w14:paraId="2D0019B8" w14:textId="77777777" w:rsidR="00C15A4B" w:rsidRDefault="00673469" w:rsidP="00CB742D">
            <w:pPr>
              <w:jc w:val="both"/>
            </w:pPr>
            <w:r>
              <w:rPr>
                <w:color w:val="000000"/>
                <w:sz w:val="19"/>
                <w:szCs w:val="19"/>
              </w:rPr>
              <w:t>Cross-platform metadata synchronization</w:t>
            </w:r>
          </w:p>
        </w:tc>
        <w:tc>
          <w:tcPr>
            <w:tcW w:w="3600" w:type="dxa"/>
            <w:shd w:val="clear" w:color="auto" w:fill="F2F2F2"/>
            <w:tcMar>
              <w:top w:w="80" w:type="dxa"/>
              <w:left w:w="100" w:type="dxa"/>
              <w:bottom w:w="80" w:type="dxa"/>
              <w:right w:w="100" w:type="dxa"/>
            </w:tcMar>
            <w:vAlign w:val="center"/>
          </w:tcPr>
          <w:p w14:paraId="77E771F2" w14:textId="04DFBF51" w:rsidR="00C15A4B" w:rsidRDefault="00673469" w:rsidP="00CB742D">
            <w:pPr>
              <w:jc w:val="both"/>
            </w:pPr>
            <w:r>
              <w:rPr>
                <w:color w:val="000000"/>
                <w:sz w:val="19"/>
                <w:szCs w:val="19"/>
              </w:rPr>
              <w:t xml:space="preserve">Bidirectional metadata flow </w:t>
            </w:r>
            <w:proofErr w:type="gramStart"/>
            <w:r>
              <w:rPr>
                <w:color w:val="000000"/>
                <w:sz w:val="19"/>
                <w:szCs w:val="19"/>
              </w:rPr>
              <w:t>connecting  to</w:t>
            </w:r>
            <w:proofErr w:type="gramEnd"/>
            <w:r>
              <w:rPr>
                <w:color w:val="000000"/>
                <w:sz w:val="19"/>
                <w:szCs w:val="19"/>
              </w:rPr>
              <w:t xml:space="preserve"> the hub, processing, BI and MDM layers so lineage and classification propagate automatically to every downstream consumer.</w:t>
            </w:r>
          </w:p>
        </w:tc>
      </w:tr>
    </w:tbl>
    <w:p w14:paraId="1C25B53D" w14:textId="77777777" w:rsidR="00C15A4B" w:rsidRDefault="00673469" w:rsidP="00CB742D">
      <w:pPr>
        <w:spacing w:after="160" w:line="276" w:lineRule="auto"/>
        <w:jc w:val="both"/>
      </w:pPr>
      <w:r>
        <w:t xml:space="preserve">Because governance, data quality and master/reference data are all delivered by a single product, a dataset reaches the </w:t>
      </w:r>
      <w:proofErr w:type="gramStart"/>
      <w:r>
        <w:t>Gold</w:t>
      </w:r>
      <w:proofErr w:type="gramEnd"/>
      <w:r>
        <w:t xml:space="preserve"> layer or a BI consumer only with a business glossary term, a classification label, an owning steward and a passing Data Quality Score — all recorded in one repository rather than reconciled across separate tools. PII access is restricted by default and requires recorded data-owner approval, directly satisfying FBR's DAMA-DMBOK and audit-defensibility requirements.</w:t>
      </w:r>
    </w:p>
    <w:p w14:paraId="73420ED5" w14:textId="77777777" w:rsidR="009C2C7E" w:rsidRDefault="009C2C7E" w:rsidP="00CB742D">
      <w:pPr>
        <w:jc w:val="both"/>
        <w:rPr>
          <w:b/>
          <w:bCs/>
          <w:color w:val="FFD966"/>
          <w:sz w:val="26"/>
          <w:szCs w:val="26"/>
        </w:rPr>
      </w:pPr>
      <w:r>
        <w:rPr>
          <w:b/>
          <w:bCs/>
          <w:color w:val="FFD966"/>
          <w:sz w:val="26"/>
          <w:szCs w:val="26"/>
        </w:rPr>
        <w:br w:type="page"/>
      </w:r>
    </w:p>
    <w:p w14:paraId="6DA6B16F" w14:textId="611EBCE9" w:rsidR="00C15A4B" w:rsidRDefault="00673469" w:rsidP="00CB742D">
      <w:pPr>
        <w:shd w:val="clear" w:color="auto" w:fill="1F3864"/>
        <w:spacing w:before="400" w:after="160"/>
        <w:jc w:val="both"/>
      </w:pPr>
      <w:r>
        <w:rPr>
          <w:b/>
          <w:bCs/>
          <w:color w:val="FFD966"/>
          <w:sz w:val="26"/>
          <w:szCs w:val="26"/>
        </w:rPr>
        <w:lastRenderedPageBreak/>
        <w:t xml:space="preserve">  7   </w:t>
      </w:r>
      <w:r>
        <w:rPr>
          <w:b/>
          <w:bCs/>
          <w:color w:val="FFFFFF"/>
          <w:sz w:val="26"/>
          <w:szCs w:val="26"/>
        </w:rPr>
        <w:t>SECURITY &amp; MANAGEMENT (CROSS-CUTTING — ACROSS ALL LAYERS)</w:t>
      </w:r>
    </w:p>
    <w:p w14:paraId="2EF1EC15" w14:textId="77777777" w:rsidR="00C15A4B" w:rsidRDefault="00673469" w:rsidP="00CB742D">
      <w:pPr>
        <w:spacing w:after="160" w:line="276" w:lineRule="auto"/>
        <w:jc w:val="both"/>
      </w:pPr>
      <w:r>
        <w:t>Rather than being confined to a single tier, security is applied horizontally across ingestion, storage, processing, governance and consumption.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4200"/>
      </w:tblGrid>
      <w:tr w:rsidR="00C15A4B" w14:paraId="79FDCA23" w14:textId="77777777" w:rsidTr="001C0A92">
        <w:trPr>
          <w:trHeight w:val="387"/>
          <w:tblHeader/>
        </w:trPr>
        <w:tc>
          <w:tcPr>
            <w:tcW w:w="3000" w:type="dxa"/>
            <w:shd w:val="clear" w:color="auto" w:fill="1F3864"/>
            <w:tcMar>
              <w:top w:w="80" w:type="dxa"/>
              <w:left w:w="100" w:type="dxa"/>
              <w:bottom w:w="80" w:type="dxa"/>
              <w:right w:w="100" w:type="dxa"/>
            </w:tcMar>
            <w:vAlign w:val="center"/>
          </w:tcPr>
          <w:p w14:paraId="11FAA5BE" w14:textId="77777777" w:rsidR="00C15A4B" w:rsidRDefault="00673469" w:rsidP="00CB742D">
            <w:pPr>
              <w:jc w:val="both"/>
            </w:pPr>
            <w:r>
              <w:rPr>
                <w:b/>
                <w:bCs/>
                <w:color w:val="FFFFFF"/>
                <w:sz w:val="19"/>
                <w:szCs w:val="19"/>
              </w:rPr>
              <w:t>Component</w:t>
            </w:r>
          </w:p>
        </w:tc>
        <w:tc>
          <w:tcPr>
            <w:tcW w:w="2400" w:type="dxa"/>
            <w:shd w:val="clear" w:color="auto" w:fill="1F3864"/>
            <w:tcMar>
              <w:top w:w="80" w:type="dxa"/>
              <w:left w:w="100" w:type="dxa"/>
              <w:bottom w:w="80" w:type="dxa"/>
              <w:right w:w="100" w:type="dxa"/>
            </w:tcMar>
            <w:vAlign w:val="center"/>
          </w:tcPr>
          <w:p w14:paraId="57B521C5" w14:textId="77777777" w:rsidR="00C15A4B" w:rsidRDefault="00673469" w:rsidP="00CB742D">
            <w:pPr>
              <w:jc w:val="both"/>
            </w:pPr>
            <w:r>
              <w:rPr>
                <w:b/>
                <w:bCs/>
                <w:color w:val="FFFFFF"/>
                <w:sz w:val="19"/>
                <w:szCs w:val="19"/>
              </w:rPr>
              <w:t>Technology / Product</w:t>
            </w:r>
          </w:p>
        </w:tc>
        <w:tc>
          <w:tcPr>
            <w:tcW w:w="4200" w:type="dxa"/>
            <w:shd w:val="clear" w:color="auto" w:fill="1F3864"/>
            <w:tcMar>
              <w:top w:w="80" w:type="dxa"/>
              <w:left w:w="100" w:type="dxa"/>
              <w:bottom w:w="80" w:type="dxa"/>
              <w:right w:w="100" w:type="dxa"/>
            </w:tcMar>
            <w:vAlign w:val="center"/>
          </w:tcPr>
          <w:p w14:paraId="5ADD61CD" w14:textId="77777777" w:rsidR="00C15A4B" w:rsidRDefault="00673469" w:rsidP="00CB742D">
            <w:pPr>
              <w:jc w:val="both"/>
            </w:pPr>
            <w:r>
              <w:rPr>
                <w:b/>
                <w:bCs/>
                <w:color w:val="FFFFFF"/>
                <w:sz w:val="19"/>
                <w:szCs w:val="19"/>
              </w:rPr>
              <w:t>Role &amp; Function</w:t>
            </w:r>
          </w:p>
        </w:tc>
      </w:tr>
      <w:tr w:rsidR="00C15A4B" w14:paraId="0DE01C72" w14:textId="77777777">
        <w:tc>
          <w:tcPr>
            <w:tcW w:w="3000" w:type="dxa"/>
            <w:shd w:val="clear" w:color="auto" w:fill="FFFFFF"/>
            <w:tcMar>
              <w:top w:w="80" w:type="dxa"/>
              <w:left w:w="100" w:type="dxa"/>
              <w:bottom w:w="80" w:type="dxa"/>
              <w:right w:w="100" w:type="dxa"/>
            </w:tcMar>
            <w:vAlign w:val="center"/>
          </w:tcPr>
          <w:p w14:paraId="1840AAA9" w14:textId="31F7532F" w:rsidR="00C15A4B" w:rsidRDefault="00673469" w:rsidP="00CB742D">
            <w:pPr>
              <w:jc w:val="both"/>
            </w:pPr>
            <w:r>
              <w:rPr>
                <w:b/>
                <w:bCs/>
                <w:color w:val="000000"/>
                <w:sz w:val="19"/>
                <w:szCs w:val="19"/>
              </w:rPr>
              <w:t>AD/LDAP</w:t>
            </w:r>
          </w:p>
        </w:tc>
        <w:tc>
          <w:tcPr>
            <w:tcW w:w="2400" w:type="dxa"/>
            <w:shd w:val="clear" w:color="auto" w:fill="FFFFFF"/>
            <w:tcMar>
              <w:top w:w="80" w:type="dxa"/>
              <w:left w:w="100" w:type="dxa"/>
              <w:bottom w:w="80" w:type="dxa"/>
              <w:right w:w="100" w:type="dxa"/>
            </w:tcMar>
            <w:vAlign w:val="center"/>
          </w:tcPr>
          <w:p w14:paraId="03DFD84F" w14:textId="77777777" w:rsidR="00C15A4B" w:rsidRDefault="00673469" w:rsidP="00CB742D">
            <w:pPr>
              <w:jc w:val="both"/>
            </w:pPr>
            <w:r>
              <w:rPr>
                <w:color w:val="000000"/>
                <w:sz w:val="19"/>
                <w:szCs w:val="19"/>
              </w:rPr>
              <w:t>Identity / SSO</w:t>
            </w:r>
          </w:p>
        </w:tc>
        <w:tc>
          <w:tcPr>
            <w:tcW w:w="4200" w:type="dxa"/>
            <w:shd w:val="clear" w:color="auto" w:fill="FFFFFF"/>
            <w:tcMar>
              <w:top w:w="80" w:type="dxa"/>
              <w:left w:w="100" w:type="dxa"/>
              <w:bottom w:w="80" w:type="dxa"/>
              <w:right w:w="100" w:type="dxa"/>
            </w:tcMar>
            <w:vAlign w:val="center"/>
          </w:tcPr>
          <w:p w14:paraId="3D7A0A0B" w14:textId="2B401150" w:rsidR="00C15A4B" w:rsidRDefault="00673469" w:rsidP="00CB742D">
            <w:pPr>
              <w:jc w:val="both"/>
            </w:pPr>
            <w:r>
              <w:rPr>
                <w:color w:val="000000"/>
                <w:sz w:val="19"/>
                <w:szCs w:val="19"/>
              </w:rPr>
              <w:t xml:space="preserve">Federated identity and single sign-on integrated with FBR's enterprise directory (LDAP/SAML 2.0), the root of trust for all RBAC/ABAC decisions across the platform, including WSO2 API Manager, Redis Enterprise and </w:t>
            </w:r>
            <w:proofErr w:type="spellStart"/>
            <w:r w:rsidR="00F704C3" w:rsidRPr="00F704C3">
              <w:t>Semarchy</w:t>
            </w:r>
            <w:proofErr w:type="spellEnd"/>
            <w:r w:rsidR="00F704C3" w:rsidRPr="00F704C3">
              <w:t xml:space="preserve"> Data Platform</w:t>
            </w:r>
            <w:r>
              <w:rPr>
                <w:color w:val="000000"/>
                <w:sz w:val="19"/>
                <w:szCs w:val="19"/>
              </w:rPr>
              <w:t>.</w:t>
            </w:r>
          </w:p>
        </w:tc>
      </w:tr>
      <w:tr w:rsidR="00C15A4B" w14:paraId="7A7075D6" w14:textId="77777777">
        <w:tc>
          <w:tcPr>
            <w:tcW w:w="3000" w:type="dxa"/>
            <w:shd w:val="clear" w:color="auto" w:fill="F2F2F2"/>
            <w:tcMar>
              <w:top w:w="80" w:type="dxa"/>
              <w:left w:w="100" w:type="dxa"/>
              <w:bottom w:w="80" w:type="dxa"/>
              <w:right w:w="100" w:type="dxa"/>
            </w:tcMar>
            <w:vAlign w:val="center"/>
          </w:tcPr>
          <w:p w14:paraId="69AFE9B9" w14:textId="77777777" w:rsidR="00C15A4B" w:rsidRDefault="00673469" w:rsidP="00CB742D">
            <w:pPr>
              <w:jc w:val="both"/>
            </w:pPr>
            <w:r>
              <w:rPr>
                <w:b/>
                <w:bCs/>
                <w:color w:val="000000"/>
                <w:sz w:val="19"/>
                <w:szCs w:val="19"/>
              </w:rPr>
              <w:t>Cloudera Advanced Security</w:t>
            </w:r>
          </w:p>
        </w:tc>
        <w:tc>
          <w:tcPr>
            <w:tcW w:w="2400" w:type="dxa"/>
            <w:shd w:val="clear" w:color="auto" w:fill="F2F2F2"/>
            <w:tcMar>
              <w:top w:w="80" w:type="dxa"/>
              <w:left w:w="100" w:type="dxa"/>
              <w:bottom w:w="80" w:type="dxa"/>
              <w:right w:w="100" w:type="dxa"/>
            </w:tcMar>
            <w:vAlign w:val="center"/>
          </w:tcPr>
          <w:p w14:paraId="1CA653C6" w14:textId="77777777" w:rsidR="00C15A4B" w:rsidRDefault="00673469" w:rsidP="00CB742D">
            <w:pPr>
              <w:jc w:val="both"/>
            </w:pPr>
            <w:r>
              <w:rPr>
                <w:color w:val="000000"/>
                <w:sz w:val="19"/>
                <w:szCs w:val="19"/>
              </w:rPr>
              <w:t>Encryption, Masking, DB Security</w:t>
            </w:r>
          </w:p>
        </w:tc>
        <w:tc>
          <w:tcPr>
            <w:tcW w:w="4200" w:type="dxa"/>
            <w:shd w:val="clear" w:color="auto" w:fill="F2F2F2"/>
            <w:tcMar>
              <w:top w:w="80" w:type="dxa"/>
              <w:left w:w="100" w:type="dxa"/>
              <w:bottom w:w="80" w:type="dxa"/>
              <w:right w:w="100" w:type="dxa"/>
            </w:tcMar>
            <w:vAlign w:val="center"/>
          </w:tcPr>
          <w:p w14:paraId="33E8862F" w14:textId="77777777" w:rsidR="00C15A4B" w:rsidRDefault="00673469" w:rsidP="00CB742D">
            <w:pPr>
              <w:jc w:val="both"/>
            </w:pPr>
            <w:r>
              <w:rPr>
                <w:color w:val="000000"/>
                <w:sz w:val="19"/>
                <w:szCs w:val="19"/>
              </w:rPr>
              <w:t>Column-level dynamic data masking, static masking/tokenization, and encryption controls protecting sensitive data across the Cloudera processing estate and downstream data products.</w:t>
            </w:r>
          </w:p>
        </w:tc>
      </w:tr>
      <w:tr w:rsidR="00C15A4B" w14:paraId="745ECE58" w14:textId="77777777">
        <w:tc>
          <w:tcPr>
            <w:tcW w:w="3000" w:type="dxa"/>
            <w:shd w:val="clear" w:color="auto" w:fill="FFFFFF"/>
            <w:tcMar>
              <w:top w:w="80" w:type="dxa"/>
              <w:left w:w="100" w:type="dxa"/>
              <w:bottom w:w="80" w:type="dxa"/>
              <w:right w:w="100" w:type="dxa"/>
            </w:tcMar>
            <w:vAlign w:val="center"/>
          </w:tcPr>
          <w:p w14:paraId="47659EDC" w14:textId="77777777" w:rsidR="00C15A4B" w:rsidRDefault="00673469" w:rsidP="00CB742D">
            <w:pPr>
              <w:jc w:val="both"/>
            </w:pPr>
            <w:r>
              <w:rPr>
                <w:b/>
                <w:bCs/>
                <w:color w:val="000000"/>
                <w:sz w:val="19"/>
                <w:szCs w:val="19"/>
              </w:rPr>
              <w:t>Audit / DAM / SIEM Integration</w:t>
            </w:r>
          </w:p>
        </w:tc>
        <w:tc>
          <w:tcPr>
            <w:tcW w:w="2400" w:type="dxa"/>
            <w:shd w:val="clear" w:color="auto" w:fill="FFFFFF"/>
            <w:tcMar>
              <w:top w:w="80" w:type="dxa"/>
              <w:left w:w="100" w:type="dxa"/>
              <w:bottom w:w="80" w:type="dxa"/>
              <w:right w:w="100" w:type="dxa"/>
            </w:tcMar>
            <w:vAlign w:val="center"/>
          </w:tcPr>
          <w:p w14:paraId="208C2B2D" w14:textId="77777777" w:rsidR="00C15A4B" w:rsidRDefault="00673469" w:rsidP="00CB742D">
            <w:pPr>
              <w:jc w:val="both"/>
            </w:pPr>
            <w:r>
              <w:rPr>
                <w:color w:val="000000"/>
                <w:sz w:val="19"/>
                <w:szCs w:val="19"/>
              </w:rPr>
              <w:t>Audit, Database Activity Monitoring &amp; SIEM</w:t>
            </w:r>
          </w:p>
        </w:tc>
        <w:tc>
          <w:tcPr>
            <w:tcW w:w="4200" w:type="dxa"/>
            <w:shd w:val="clear" w:color="auto" w:fill="FFFFFF"/>
            <w:tcMar>
              <w:top w:w="80" w:type="dxa"/>
              <w:left w:w="100" w:type="dxa"/>
              <w:bottom w:w="80" w:type="dxa"/>
              <w:right w:w="100" w:type="dxa"/>
            </w:tcMar>
            <w:vAlign w:val="center"/>
          </w:tcPr>
          <w:p w14:paraId="3C611B3D" w14:textId="77777777" w:rsidR="00C15A4B" w:rsidRDefault="00673469" w:rsidP="00CB742D">
            <w:pPr>
              <w:jc w:val="both"/>
            </w:pPr>
            <w:r>
              <w:rPr>
                <w:color w:val="000000"/>
                <w:sz w:val="19"/>
                <w:szCs w:val="19"/>
              </w:rPr>
              <w:t>Immutable audit trail of authentication, privilege escalation, DDL/DML on sensitive objects and API calls, with streaming forwarding to the enterprise SIEM (Splunk).</w:t>
            </w:r>
          </w:p>
        </w:tc>
      </w:tr>
      <w:tr w:rsidR="00C15A4B" w14:paraId="5D86B035" w14:textId="77777777">
        <w:tc>
          <w:tcPr>
            <w:tcW w:w="3000" w:type="dxa"/>
            <w:shd w:val="clear" w:color="auto" w:fill="F2F2F2"/>
            <w:tcMar>
              <w:top w:w="80" w:type="dxa"/>
              <w:left w:w="100" w:type="dxa"/>
              <w:bottom w:w="80" w:type="dxa"/>
              <w:right w:w="100" w:type="dxa"/>
            </w:tcMar>
            <w:vAlign w:val="center"/>
          </w:tcPr>
          <w:p w14:paraId="741F0857" w14:textId="77777777" w:rsidR="00C15A4B" w:rsidRDefault="00673469" w:rsidP="00CB742D">
            <w:pPr>
              <w:jc w:val="both"/>
            </w:pPr>
            <w:r>
              <w:rPr>
                <w:b/>
                <w:bCs/>
                <w:color w:val="000000"/>
                <w:sz w:val="19"/>
                <w:szCs w:val="19"/>
              </w:rPr>
              <w:t>TLS 1.2 / HTTPS</w:t>
            </w:r>
          </w:p>
        </w:tc>
        <w:tc>
          <w:tcPr>
            <w:tcW w:w="2400" w:type="dxa"/>
            <w:shd w:val="clear" w:color="auto" w:fill="F2F2F2"/>
            <w:tcMar>
              <w:top w:w="80" w:type="dxa"/>
              <w:left w:w="100" w:type="dxa"/>
              <w:bottom w:w="80" w:type="dxa"/>
              <w:right w:w="100" w:type="dxa"/>
            </w:tcMar>
            <w:vAlign w:val="center"/>
          </w:tcPr>
          <w:p w14:paraId="658FF3E7" w14:textId="77777777" w:rsidR="00C15A4B" w:rsidRDefault="00673469" w:rsidP="00CB742D">
            <w:pPr>
              <w:jc w:val="both"/>
            </w:pPr>
            <w:r>
              <w:rPr>
                <w:color w:val="000000"/>
                <w:sz w:val="19"/>
                <w:szCs w:val="19"/>
              </w:rPr>
              <w:t>Encryption in Transit</w:t>
            </w:r>
          </w:p>
        </w:tc>
        <w:tc>
          <w:tcPr>
            <w:tcW w:w="4200" w:type="dxa"/>
            <w:shd w:val="clear" w:color="auto" w:fill="F2F2F2"/>
            <w:tcMar>
              <w:top w:w="80" w:type="dxa"/>
              <w:left w:w="100" w:type="dxa"/>
              <w:bottom w:w="80" w:type="dxa"/>
              <w:right w:w="100" w:type="dxa"/>
            </w:tcMar>
            <w:vAlign w:val="center"/>
          </w:tcPr>
          <w:p w14:paraId="5E8CE053" w14:textId="77777777" w:rsidR="00C15A4B" w:rsidRDefault="00673469" w:rsidP="00CB742D">
            <w:pPr>
              <w:jc w:val="both"/>
            </w:pPr>
            <w:r>
              <w:rPr>
                <w:color w:val="000000"/>
                <w:sz w:val="19"/>
                <w:szCs w:val="19"/>
              </w:rPr>
              <w:t>Encrypts all inter-node, client-server, cache and API traffic across the platform.</w:t>
            </w:r>
          </w:p>
        </w:tc>
      </w:tr>
      <w:tr w:rsidR="00C15A4B" w14:paraId="5E901CB1" w14:textId="77777777">
        <w:tc>
          <w:tcPr>
            <w:tcW w:w="3000" w:type="dxa"/>
            <w:shd w:val="clear" w:color="auto" w:fill="FFFFFF"/>
            <w:tcMar>
              <w:top w:w="80" w:type="dxa"/>
              <w:left w:w="100" w:type="dxa"/>
              <w:bottom w:w="80" w:type="dxa"/>
              <w:right w:w="100" w:type="dxa"/>
            </w:tcMar>
            <w:vAlign w:val="center"/>
          </w:tcPr>
          <w:p w14:paraId="1322DC37" w14:textId="77777777" w:rsidR="00C15A4B" w:rsidRDefault="00673469" w:rsidP="00CB742D">
            <w:pPr>
              <w:jc w:val="both"/>
            </w:pPr>
            <w:r>
              <w:rPr>
                <w:b/>
                <w:bCs/>
                <w:color w:val="000000"/>
                <w:sz w:val="19"/>
                <w:szCs w:val="19"/>
              </w:rPr>
              <w:t>RBAC / ABAC</w:t>
            </w:r>
          </w:p>
        </w:tc>
        <w:tc>
          <w:tcPr>
            <w:tcW w:w="2400" w:type="dxa"/>
            <w:shd w:val="clear" w:color="auto" w:fill="FFFFFF"/>
            <w:tcMar>
              <w:top w:w="80" w:type="dxa"/>
              <w:left w:w="100" w:type="dxa"/>
              <w:bottom w:w="80" w:type="dxa"/>
              <w:right w:w="100" w:type="dxa"/>
            </w:tcMar>
            <w:vAlign w:val="center"/>
          </w:tcPr>
          <w:p w14:paraId="3B66E03B" w14:textId="77777777" w:rsidR="00C15A4B" w:rsidRDefault="00673469" w:rsidP="00CB742D">
            <w:pPr>
              <w:jc w:val="both"/>
            </w:pPr>
            <w:r>
              <w:rPr>
                <w:color w:val="000000"/>
                <w:sz w:val="19"/>
                <w:szCs w:val="19"/>
              </w:rPr>
              <w:t>Access Control</w:t>
            </w:r>
          </w:p>
        </w:tc>
        <w:tc>
          <w:tcPr>
            <w:tcW w:w="4200" w:type="dxa"/>
            <w:shd w:val="clear" w:color="auto" w:fill="FFFFFF"/>
            <w:tcMar>
              <w:top w:w="80" w:type="dxa"/>
              <w:left w:w="100" w:type="dxa"/>
              <w:bottom w:w="80" w:type="dxa"/>
              <w:right w:w="100" w:type="dxa"/>
            </w:tcMar>
            <w:vAlign w:val="center"/>
          </w:tcPr>
          <w:p w14:paraId="74B4FE63" w14:textId="77777777" w:rsidR="00C15A4B" w:rsidRDefault="00673469" w:rsidP="00CB742D">
            <w:pPr>
              <w:jc w:val="both"/>
            </w:pPr>
            <w:r>
              <w:rPr>
                <w:color w:val="000000"/>
                <w:sz w:val="19"/>
                <w:szCs w:val="19"/>
              </w:rPr>
              <w:t>Role- and attribute-based access enforced at platform, domain, dataset, table and column granularity, with least-privilege role hierarchies.</w:t>
            </w:r>
          </w:p>
        </w:tc>
      </w:tr>
      <w:tr w:rsidR="00C15A4B" w14:paraId="272F1ECB" w14:textId="77777777">
        <w:tc>
          <w:tcPr>
            <w:tcW w:w="3000" w:type="dxa"/>
            <w:shd w:val="clear" w:color="auto" w:fill="F2F2F2"/>
            <w:tcMar>
              <w:top w:w="80" w:type="dxa"/>
              <w:left w:w="100" w:type="dxa"/>
              <w:bottom w:w="80" w:type="dxa"/>
              <w:right w:w="100" w:type="dxa"/>
            </w:tcMar>
            <w:vAlign w:val="center"/>
          </w:tcPr>
          <w:p w14:paraId="59A98E89" w14:textId="77777777" w:rsidR="00C15A4B" w:rsidRDefault="00673469" w:rsidP="00CB742D">
            <w:pPr>
              <w:jc w:val="both"/>
            </w:pPr>
            <w:r>
              <w:rPr>
                <w:b/>
                <w:bCs/>
                <w:color w:val="000000"/>
                <w:sz w:val="19"/>
                <w:szCs w:val="19"/>
              </w:rPr>
              <w:t>Encryption at Rest (TDE / KMS)</w:t>
            </w:r>
          </w:p>
        </w:tc>
        <w:tc>
          <w:tcPr>
            <w:tcW w:w="2400" w:type="dxa"/>
            <w:shd w:val="clear" w:color="auto" w:fill="F2F2F2"/>
            <w:tcMar>
              <w:top w:w="80" w:type="dxa"/>
              <w:left w:w="100" w:type="dxa"/>
              <w:bottom w:w="80" w:type="dxa"/>
              <w:right w:w="100" w:type="dxa"/>
            </w:tcMar>
            <w:vAlign w:val="center"/>
          </w:tcPr>
          <w:p w14:paraId="58CE0E9C" w14:textId="77777777" w:rsidR="00C15A4B" w:rsidRDefault="00673469" w:rsidP="00CB742D">
            <w:pPr>
              <w:jc w:val="both"/>
            </w:pPr>
            <w:r>
              <w:rPr>
                <w:color w:val="000000"/>
                <w:sz w:val="19"/>
                <w:szCs w:val="19"/>
              </w:rPr>
              <w:t>Data-at-rest protection</w:t>
            </w:r>
          </w:p>
        </w:tc>
        <w:tc>
          <w:tcPr>
            <w:tcW w:w="4200" w:type="dxa"/>
            <w:shd w:val="clear" w:color="auto" w:fill="F2F2F2"/>
            <w:tcMar>
              <w:top w:w="80" w:type="dxa"/>
              <w:left w:w="100" w:type="dxa"/>
              <w:bottom w:w="80" w:type="dxa"/>
              <w:right w:w="100" w:type="dxa"/>
            </w:tcMar>
            <w:vAlign w:val="center"/>
          </w:tcPr>
          <w:p w14:paraId="741365A3" w14:textId="77777777" w:rsidR="00C15A4B" w:rsidRDefault="00673469" w:rsidP="00CB742D">
            <w:pPr>
              <w:jc w:val="both"/>
            </w:pPr>
            <w:r>
              <w:rPr>
                <w:color w:val="000000"/>
                <w:sz w:val="19"/>
                <w:szCs w:val="19"/>
              </w:rPr>
              <w:t>Transparent Data Encryption and key-managed encryption applied uniformly to data files, object storage, temp storage, transaction logs, audit logs and backups.</w:t>
            </w:r>
          </w:p>
        </w:tc>
      </w:tr>
      <w:tr w:rsidR="00C15A4B" w14:paraId="3F0D65E6" w14:textId="77777777">
        <w:tc>
          <w:tcPr>
            <w:tcW w:w="3000" w:type="dxa"/>
            <w:shd w:val="clear" w:color="auto" w:fill="FFFFFF"/>
            <w:tcMar>
              <w:top w:w="80" w:type="dxa"/>
              <w:left w:w="100" w:type="dxa"/>
              <w:bottom w:w="80" w:type="dxa"/>
              <w:right w:w="100" w:type="dxa"/>
            </w:tcMar>
            <w:vAlign w:val="center"/>
          </w:tcPr>
          <w:p w14:paraId="55BD1FE5" w14:textId="77777777" w:rsidR="00C15A4B" w:rsidRDefault="00673469" w:rsidP="00CB742D">
            <w:pPr>
              <w:jc w:val="both"/>
            </w:pPr>
            <w:r>
              <w:rPr>
                <w:b/>
                <w:bCs/>
                <w:color w:val="000000"/>
                <w:sz w:val="19"/>
                <w:szCs w:val="19"/>
              </w:rPr>
              <w:t>Secrets / Key Management</w:t>
            </w:r>
          </w:p>
        </w:tc>
        <w:tc>
          <w:tcPr>
            <w:tcW w:w="2400" w:type="dxa"/>
            <w:shd w:val="clear" w:color="auto" w:fill="FFFFFF"/>
            <w:tcMar>
              <w:top w:w="80" w:type="dxa"/>
              <w:left w:w="100" w:type="dxa"/>
              <w:bottom w:w="80" w:type="dxa"/>
              <w:right w:w="100" w:type="dxa"/>
            </w:tcMar>
            <w:vAlign w:val="center"/>
          </w:tcPr>
          <w:p w14:paraId="537D7F57" w14:textId="77777777" w:rsidR="00C15A4B" w:rsidRDefault="00673469" w:rsidP="00CB742D">
            <w:pPr>
              <w:jc w:val="both"/>
            </w:pPr>
            <w:r>
              <w:rPr>
                <w:color w:val="000000"/>
                <w:sz w:val="19"/>
                <w:szCs w:val="19"/>
              </w:rPr>
              <w:t>Passwords / Keys</w:t>
            </w:r>
          </w:p>
        </w:tc>
        <w:tc>
          <w:tcPr>
            <w:tcW w:w="4200" w:type="dxa"/>
            <w:shd w:val="clear" w:color="auto" w:fill="FFFFFF"/>
            <w:tcMar>
              <w:top w:w="80" w:type="dxa"/>
              <w:left w:w="100" w:type="dxa"/>
              <w:bottom w:w="80" w:type="dxa"/>
              <w:right w:w="100" w:type="dxa"/>
            </w:tcMar>
            <w:vAlign w:val="center"/>
          </w:tcPr>
          <w:p w14:paraId="108AFCB5" w14:textId="77777777" w:rsidR="00C15A4B" w:rsidRDefault="00673469" w:rsidP="00CB742D">
            <w:pPr>
              <w:jc w:val="both"/>
            </w:pPr>
            <w:r>
              <w:rPr>
                <w:color w:val="000000"/>
                <w:sz w:val="19"/>
                <w:szCs w:val="19"/>
              </w:rPr>
              <w:t>Centralized secrets vaulting for service accounts, API credentials, encryption keys and integration tokens.</w:t>
            </w:r>
          </w:p>
        </w:tc>
      </w:tr>
    </w:tbl>
    <w:p w14:paraId="715EDDE9" w14:textId="77777777" w:rsidR="00C15A4B" w:rsidRDefault="00673469" w:rsidP="00CB742D">
      <w:pPr>
        <w:spacing w:after="160" w:line="276" w:lineRule="auto"/>
        <w:jc w:val="both"/>
      </w:pPr>
      <w:r>
        <w:t>Every access — whether a batch ELT job, a real-time stream consumer, an analyst's BI query, or an external partner's API call — passes through this same identity, encryption and audit fabric, giving FBR a single, consistent security posture instead of per-component security silos.</w:t>
      </w:r>
    </w:p>
    <w:p w14:paraId="5955F0A3" w14:textId="77777777" w:rsidR="009C2C7E" w:rsidRDefault="009C2C7E" w:rsidP="00CB742D">
      <w:pPr>
        <w:jc w:val="both"/>
        <w:rPr>
          <w:b/>
          <w:bCs/>
          <w:color w:val="FFD966"/>
          <w:sz w:val="26"/>
          <w:szCs w:val="26"/>
        </w:rPr>
      </w:pPr>
      <w:r>
        <w:rPr>
          <w:b/>
          <w:bCs/>
          <w:color w:val="FFD966"/>
          <w:sz w:val="26"/>
          <w:szCs w:val="26"/>
        </w:rPr>
        <w:br w:type="page"/>
      </w:r>
    </w:p>
    <w:p w14:paraId="5F741A98" w14:textId="483FF990" w:rsidR="00C15A4B" w:rsidRDefault="00673469" w:rsidP="00CB742D">
      <w:pPr>
        <w:shd w:val="clear" w:color="auto" w:fill="1F3864"/>
        <w:spacing w:before="400" w:after="160"/>
        <w:jc w:val="both"/>
      </w:pPr>
      <w:r>
        <w:rPr>
          <w:b/>
          <w:bCs/>
          <w:color w:val="FFD966"/>
          <w:sz w:val="26"/>
          <w:szCs w:val="26"/>
        </w:rPr>
        <w:lastRenderedPageBreak/>
        <w:t xml:space="preserve">  8   </w:t>
      </w:r>
      <w:r>
        <w:rPr>
          <w:b/>
          <w:bCs/>
          <w:color w:val="FFFFFF"/>
          <w:sz w:val="26"/>
          <w:szCs w:val="26"/>
        </w:rPr>
        <w:t>HIGH AVAILABILITY, DISASTER RECOVERY &amp; BACKUP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4200"/>
      </w:tblGrid>
      <w:tr w:rsidR="00C15A4B" w14:paraId="5B8C0EE9" w14:textId="77777777">
        <w:trPr>
          <w:tblHeader/>
        </w:trPr>
        <w:tc>
          <w:tcPr>
            <w:tcW w:w="2800" w:type="dxa"/>
            <w:shd w:val="clear" w:color="auto" w:fill="1F3864"/>
            <w:tcMar>
              <w:top w:w="80" w:type="dxa"/>
              <w:left w:w="100" w:type="dxa"/>
              <w:bottom w:w="80" w:type="dxa"/>
              <w:right w:w="100" w:type="dxa"/>
            </w:tcMar>
            <w:vAlign w:val="center"/>
          </w:tcPr>
          <w:p w14:paraId="042D293E" w14:textId="77777777" w:rsidR="00C15A4B" w:rsidRDefault="00673469" w:rsidP="00CB742D">
            <w:pPr>
              <w:jc w:val="both"/>
            </w:pPr>
            <w:r>
              <w:rPr>
                <w:b/>
                <w:bCs/>
                <w:color w:val="FFFFFF"/>
                <w:sz w:val="19"/>
                <w:szCs w:val="19"/>
              </w:rPr>
              <w:t>Component</w:t>
            </w:r>
          </w:p>
        </w:tc>
        <w:tc>
          <w:tcPr>
            <w:tcW w:w="2600" w:type="dxa"/>
            <w:shd w:val="clear" w:color="auto" w:fill="1F3864"/>
            <w:tcMar>
              <w:top w:w="80" w:type="dxa"/>
              <w:left w:w="100" w:type="dxa"/>
              <w:bottom w:w="80" w:type="dxa"/>
              <w:right w:w="100" w:type="dxa"/>
            </w:tcMar>
            <w:vAlign w:val="center"/>
          </w:tcPr>
          <w:p w14:paraId="5393D1D7" w14:textId="77777777" w:rsidR="00C15A4B" w:rsidRDefault="00673469" w:rsidP="00CB742D">
            <w:pPr>
              <w:jc w:val="both"/>
            </w:pPr>
            <w:r>
              <w:rPr>
                <w:b/>
                <w:bCs/>
                <w:color w:val="FFFFFF"/>
                <w:sz w:val="19"/>
                <w:szCs w:val="19"/>
              </w:rPr>
              <w:t>Technology / Product</w:t>
            </w:r>
          </w:p>
        </w:tc>
        <w:tc>
          <w:tcPr>
            <w:tcW w:w="4200" w:type="dxa"/>
            <w:shd w:val="clear" w:color="auto" w:fill="1F3864"/>
            <w:tcMar>
              <w:top w:w="80" w:type="dxa"/>
              <w:left w:w="100" w:type="dxa"/>
              <w:bottom w:w="80" w:type="dxa"/>
              <w:right w:w="100" w:type="dxa"/>
            </w:tcMar>
            <w:vAlign w:val="center"/>
          </w:tcPr>
          <w:p w14:paraId="68E60649" w14:textId="77777777" w:rsidR="00C15A4B" w:rsidRDefault="00673469" w:rsidP="00CB742D">
            <w:pPr>
              <w:jc w:val="both"/>
            </w:pPr>
            <w:r>
              <w:rPr>
                <w:b/>
                <w:bCs/>
                <w:color w:val="FFFFFF"/>
                <w:sz w:val="19"/>
                <w:szCs w:val="19"/>
              </w:rPr>
              <w:t>Role &amp; Function</w:t>
            </w:r>
          </w:p>
        </w:tc>
      </w:tr>
      <w:tr w:rsidR="00C15A4B" w14:paraId="53244FE0" w14:textId="77777777">
        <w:tc>
          <w:tcPr>
            <w:tcW w:w="2800" w:type="dxa"/>
            <w:shd w:val="clear" w:color="auto" w:fill="FFFFFF"/>
            <w:tcMar>
              <w:top w:w="80" w:type="dxa"/>
              <w:left w:w="100" w:type="dxa"/>
              <w:bottom w:w="80" w:type="dxa"/>
              <w:right w:w="100" w:type="dxa"/>
            </w:tcMar>
            <w:vAlign w:val="center"/>
          </w:tcPr>
          <w:p w14:paraId="2724EC2B" w14:textId="77777777" w:rsidR="00C15A4B" w:rsidRDefault="00673469" w:rsidP="00CB742D">
            <w:pPr>
              <w:jc w:val="both"/>
            </w:pPr>
            <w:r>
              <w:rPr>
                <w:b/>
                <w:bCs/>
                <w:color w:val="000000"/>
                <w:sz w:val="19"/>
                <w:szCs w:val="19"/>
              </w:rPr>
              <w:t xml:space="preserve">Oracle RAC + Active Data Guard + </w:t>
            </w:r>
            <w:proofErr w:type="spellStart"/>
            <w:r>
              <w:rPr>
                <w:b/>
                <w:bCs/>
                <w:color w:val="000000"/>
                <w:sz w:val="19"/>
                <w:szCs w:val="19"/>
              </w:rPr>
              <w:t>GoldenGate</w:t>
            </w:r>
            <w:proofErr w:type="spellEnd"/>
          </w:p>
        </w:tc>
        <w:tc>
          <w:tcPr>
            <w:tcW w:w="2600" w:type="dxa"/>
            <w:shd w:val="clear" w:color="auto" w:fill="FFFFFF"/>
            <w:tcMar>
              <w:top w:w="80" w:type="dxa"/>
              <w:left w:w="100" w:type="dxa"/>
              <w:bottom w:w="80" w:type="dxa"/>
              <w:right w:w="100" w:type="dxa"/>
            </w:tcMar>
            <w:vAlign w:val="center"/>
          </w:tcPr>
          <w:p w14:paraId="4E84FA32" w14:textId="77777777" w:rsidR="00C15A4B" w:rsidRDefault="00673469" w:rsidP="00CB742D">
            <w:pPr>
              <w:jc w:val="both"/>
            </w:pPr>
            <w:r>
              <w:rPr>
                <w:color w:val="000000"/>
                <w:sz w:val="19"/>
                <w:szCs w:val="19"/>
              </w:rPr>
              <w:t>HA/DR &amp; Replication</w:t>
            </w:r>
          </w:p>
        </w:tc>
        <w:tc>
          <w:tcPr>
            <w:tcW w:w="4200" w:type="dxa"/>
            <w:shd w:val="clear" w:color="auto" w:fill="FFFFFF"/>
            <w:tcMar>
              <w:top w:w="80" w:type="dxa"/>
              <w:left w:w="100" w:type="dxa"/>
              <w:bottom w:w="80" w:type="dxa"/>
              <w:right w:w="100" w:type="dxa"/>
            </w:tcMar>
            <w:vAlign w:val="center"/>
          </w:tcPr>
          <w:p w14:paraId="5E7F426E" w14:textId="77777777" w:rsidR="00C15A4B" w:rsidRDefault="00673469" w:rsidP="00CB742D">
            <w:pPr>
              <w:jc w:val="both"/>
            </w:pPr>
            <w:r>
              <w:rPr>
                <w:color w:val="000000"/>
                <w:sz w:val="19"/>
                <w:szCs w:val="19"/>
              </w:rPr>
              <w:t xml:space="preserve">Clustered database with no single point of failure; Active Data Guard maintains a synchronized standby, and </w:t>
            </w:r>
            <w:proofErr w:type="spellStart"/>
            <w:r>
              <w:rPr>
                <w:color w:val="000000"/>
                <w:sz w:val="19"/>
                <w:szCs w:val="19"/>
              </w:rPr>
              <w:t>GoldenGate</w:t>
            </w:r>
            <w:proofErr w:type="spellEnd"/>
            <w:r>
              <w:rPr>
                <w:color w:val="000000"/>
                <w:sz w:val="19"/>
                <w:szCs w:val="19"/>
              </w:rPr>
              <w:t xml:space="preserve"> provides continuous replication for near-zero data loss.</w:t>
            </w:r>
          </w:p>
        </w:tc>
      </w:tr>
      <w:tr w:rsidR="00C15A4B" w14:paraId="3BD5C76E" w14:textId="77777777">
        <w:tc>
          <w:tcPr>
            <w:tcW w:w="2800" w:type="dxa"/>
            <w:shd w:val="clear" w:color="auto" w:fill="F2F2F2"/>
            <w:tcMar>
              <w:top w:w="80" w:type="dxa"/>
              <w:left w:w="100" w:type="dxa"/>
              <w:bottom w:w="80" w:type="dxa"/>
              <w:right w:w="100" w:type="dxa"/>
            </w:tcMar>
            <w:vAlign w:val="center"/>
          </w:tcPr>
          <w:p w14:paraId="33191D04" w14:textId="77777777" w:rsidR="00C15A4B" w:rsidRDefault="00673469" w:rsidP="00CB742D">
            <w:pPr>
              <w:jc w:val="both"/>
            </w:pPr>
            <w:r>
              <w:rPr>
                <w:b/>
                <w:bCs/>
                <w:color w:val="000000"/>
                <w:sz w:val="19"/>
                <w:szCs w:val="19"/>
              </w:rPr>
              <w:t>Exadata / AI Database</w:t>
            </w:r>
          </w:p>
        </w:tc>
        <w:tc>
          <w:tcPr>
            <w:tcW w:w="2600" w:type="dxa"/>
            <w:shd w:val="clear" w:color="auto" w:fill="F2F2F2"/>
            <w:tcMar>
              <w:top w:w="80" w:type="dxa"/>
              <w:left w:w="100" w:type="dxa"/>
              <w:bottom w:w="80" w:type="dxa"/>
              <w:right w:w="100" w:type="dxa"/>
            </w:tcMar>
            <w:vAlign w:val="center"/>
          </w:tcPr>
          <w:p w14:paraId="657AF7B8" w14:textId="77777777" w:rsidR="00C15A4B" w:rsidRDefault="00673469" w:rsidP="00CB742D">
            <w:pPr>
              <w:jc w:val="both"/>
            </w:pPr>
            <w:r>
              <w:rPr>
                <w:color w:val="000000"/>
                <w:sz w:val="19"/>
                <w:szCs w:val="19"/>
              </w:rPr>
              <w:t>High Performance &amp; HA</w:t>
            </w:r>
          </w:p>
        </w:tc>
        <w:tc>
          <w:tcPr>
            <w:tcW w:w="4200" w:type="dxa"/>
            <w:shd w:val="clear" w:color="auto" w:fill="F2F2F2"/>
            <w:tcMar>
              <w:top w:w="80" w:type="dxa"/>
              <w:left w:w="100" w:type="dxa"/>
              <w:bottom w:w="80" w:type="dxa"/>
              <w:right w:w="100" w:type="dxa"/>
            </w:tcMar>
            <w:vAlign w:val="center"/>
          </w:tcPr>
          <w:p w14:paraId="397E42CF" w14:textId="77777777" w:rsidR="00C15A4B" w:rsidRDefault="00673469" w:rsidP="00CB742D">
            <w:pPr>
              <w:jc w:val="both"/>
            </w:pPr>
            <w:r>
              <w:rPr>
                <w:color w:val="000000"/>
                <w:sz w:val="19"/>
                <w:szCs w:val="19"/>
              </w:rPr>
              <w:t>Engineered redundancy at compute, storage and network layers of the MPP tier.</w:t>
            </w:r>
          </w:p>
        </w:tc>
      </w:tr>
      <w:tr w:rsidR="00C15A4B" w14:paraId="04D7D227" w14:textId="77777777">
        <w:tc>
          <w:tcPr>
            <w:tcW w:w="2800" w:type="dxa"/>
            <w:shd w:val="clear" w:color="auto" w:fill="FFFFFF"/>
            <w:tcMar>
              <w:top w:w="80" w:type="dxa"/>
              <w:left w:w="100" w:type="dxa"/>
              <w:bottom w:w="80" w:type="dxa"/>
              <w:right w:w="100" w:type="dxa"/>
            </w:tcMar>
            <w:vAlign w:val="center"/>
          </w:tcPr>
          <w:p w14:paraId="1350A4B3" w14:textId="77777777" w:rsidR="00C15A4B" w:rsidRDefault="00673469" w:rsidP="00CB742D">
            <w:pPr>
              <w:jc w:val="both"/>
            </w:pPr>
            <w:r>
              <w:rPr>
                <w:b/>
                <w:bCs/>
                <w:color w:val="000000"/>
                <w:sz w:val="19"/>
                <w:szCs w:val="19"/>
              </w:rPr>
              <w:t>Cloudera (HA / Scalability)</w:t>
            </w:r>
          </w:p>
        </w:tc>
        <w:tc>
          <w:tcPr>
            <w:tcW w:w="2600" w:type="dxa"/>
            <w:shd w:val="clear" w:color="auto" w:fill="FFFFFF"/>
            <w:tcMar>
              <w:top w:w="80" w:type="dxa"/>
              <w:left w:w="100" w:type="dxa"/>
              <w:bottom w:w="80" w:type="dxa"/>
              <w:right w:w="100" w:type="dxa"/>
            </w:tcMar>
            <w:vAlign w:val="center"/>
          </w:tcPr>
          <w:p w14:paraId="17CB236C" w14:textId="77777777" w:rsidR="00C15A4B" w:rsidRDefault="00673469" w:rsidP="00CB742D">
            <w:pPr>
              <w:jc w:val="both"/>
            </w:pPr>
            <w:r>
              <w:rPr>
                <w:color w:val="000000"/>
                <w:sz w:val="19"/>
                <w:szCs w:val="19"/>
              </w:rPr>
              <w:t>Clustered worker architecture</w:t>
            </w:r>
          </w:p>
        </w:tc>
        <w:tc>
          <w:tcPr>
            <w:tcW w:w="4200" w:type="dxa"/>
            <w:shd w:val="clear" w:color="auto" w:fill="FFFFFF"/>
            <w:tcMar>
              <w:top w:w="80" w:type="dxa"/>
              <w:left w:w="100" w:type="dxa"/>
              <w:bottom w:w="80" w:type="dxa"/>
              <w:right w:w="100" w:type="dxa"/>
            </w:tcMar>
            <w:vAlign w:val="center"/>
          </w:tcPr>
          <w:p w14:paraId="671AA925" w14:textId="77777777" w:rsidR="00C15A4B" w:rsidRDefault="00673469" w:rsidP="00CB742D">
            <w:pPr>
              <w:jc w:val="both"/>
            </w:pPr>
            <w:r>
              <w:rPr>
                <w:color w:val="000000"/>
                <w:sz w:val="19"/>
                <w:szCs w:val="19"/>
              </w:rPr>
              <w:t xml:space="preserve">Horizontally scalable Kafka/Flink/Spark worker clusters with automatic workload redistribution and in-flight job re-queueing on node failure. Apache </w:t>
            </w:r>
            <w:proofErr w:type="spellStart"/>
            <w:r>
              <w:rPr>
                <w:color w:val="000000"/>
                <w:sz w:val="19"/>
                <w:szCs w:val="19"/>
              </w:rPr>
              <w:t>NiFi</w:t>
            </w:r>
            <w:proofErr w:type="spellEnd"/>
            <w:r>
              <w:rPr>
                <w:color w:val="000000"/>
                <w:sz w:val="19"/>
                <w:szCs w:val="19"/>
              </w:rPr>
              <w:t xml:space="preserve">, Redis Enterprise and the HPE </w:t>
            </w:r>
            <w:proofErr w:type="spellStart"/>
            <w:r>
              <w:rPr>
                <w:color w:val="000000"/>
                <w:sz w:val="19"/>
                <w:szCs w:val="19"/>
              </w:rPr>
              <w:t>Alletra</w:t>
            </w:r>
            <w:proofErr w:type="spellEnd"/>
            <w:r>
              <w:rPr>
                <w:color w:val="000000"/>
                <w:sz w:val="19"/>
                <w:szCs w:val="19"/>
              </w:rPr>
              <w:t xml:space="preserve"> object store are likewise deployed as clustered, replicated tiers with automatic failover and erasure-coded data protection.</w:t>
            </w:r>
          </w:p>
        </w:tc>
      </w:tr>
      <w:tr w:rsidR="00C15A4B" w14:paraId="4BDBC13A" w14:textId="77777777">
        <w:tc>
          <w:tcPr>
            <w:tcW w:w="2800" w:type="dxa"/>
            <w:shd w:val="clear" w:color="auto" w:fill="F2F2F2"/>
            <w:tcMar>
              <w:top w:w="80" w:type="dxa"/>
              <w:left w:w="100" w:type="dxa"/>
              <w:bottom w:w="80" w:type="dxa"/>
              <w:right w:w="100" w:type="dxa"/>
            </w:tcMar>
            <w:vAlign w:val="center"/>
          </w:tcPr>
          <w:p w14:paraId="66A5D03F" w14:textId="5CCF43AE" w:rsidR="00C15A4B" w:rsidRDefault="00AB6C03" w:rsidP="00CB742D">
            <w:pPr>
              <w:jc w:val="both"/>
            </w:pPr>
            <w:r>
              <w:rPr>
                <w:b/>
                <w:bCs/>
                <w:color w:val="000000"/>
                <w:sz w:val="19"/>
                <w:szCs w:val="19"/>
              </w:rPr>
              <w:t>Cohesity NetBackup</w:t>
            </w:r>
            <w:r w:rsidR="00673469">
              <w:rPr>
                <w:b/>
                <w:bCs/>
                <w:color w:val="000000"/>
                <w:sz w:val="19"/>
                <w:szCs w:val="19"/>
              </w:rPr>
              <w:t xml:space="preserve"> (Optional)</w:t>
            </w:r>
          </w:p>
        </w:tc>
        <w:tc>
          <w:tcPr>
            <w:tcW w:w="2600" w:type="dxa"/>
            <w:shd w:val="clear" w:color="auto" w:fill="F2F2F2"/>
            <w:tcMar>
              <w:top w:w="80" w:type="dxa"/>
              <w:left w:w="100" w:type="dxa"/>
              <w:bottom w:w="80" w:type="dxa"/>
              <w:right w:w="100" w:type="dxa"/>
            </w:tcMar>
            <w:vAlign w:val="center"/>
          </w:tcPr>
          <w:p w14:paraId="0232F5EE" w14:textId="77777777" w:rsidR="00C15A4B" w:rsidRDefault="00673469" w:rsidP="00CB742D">
            <w:pPr>
              <w:jc w:val="both"/>
            </w:pPr>
            <w:r>
              <w:rPr>
                <w:color w:val="000000"/>
                <w:sz w:val="19"/>
                <w:szCs w:val="19"/>
              </w:rPr>
              <w:t>Immutable / WORM Backup Tier</w:t>
            </w:r>
          </w:p>
        </w:tc>
        <w:tc>
          <w:tcPr>
            <w:tcW w:w="4200" w:type="dxa"/>
            <w:shd w:val="clear" w:color="auto" w:fill="F2F2F2"/>
            <w:tcMar>
              <w:top w:w="80" w:type="dxa"/>
              <w:left w:w="100" w:type="dxa"/>
              <w:bottom w:w="80" w:type="dxa"/>
              <w:right w:w="100" w:type="dxa"/>
            </w:tcMar>
            <w:vAlign w:val="center"/>
          </w:tcPr>
          <w:p w14:paraId="7811544B" w14:textId="77777777" w:rsidR="00C15A4B" w:rsidRDefault="00673469" w:rsidP="00CB742D">
            <w:pPr>
              <w:jc w:val="both"/>
            </w:pPr>
            <w:r>
              <w:rPr>
                <w:color w:val="000000"/>
                <w:sz w:val="19"/>
                <w:szCs w:val="19"/>
              </w:rPr>
              <w:t xml:space="preserve">Immutable, write-once-read-many backup </w:t>
            </w:r>
            <w:proofErr w:type="gramStart"/>
            <w:r>
              <w:rPr>
                <w:color w:val="000000"/>
                <w:sz w:val="19"/>
                <w:szCs w:val="19"/>
              </w:rPr>
              <w:t>storage</w:t>
            </w:r>
            <w:proofErr w:type="gramEnd"/>
            <w:r>
              <w:rPr>
                <w:color w:val="000000"/>
                <w:sz w:val="19"/>
                <w:szCs w:val="19"/>
              </w:rPr>
              <w:t xml:space="preserve"> protecting against ransomware and accidental/malicious deletion.</w:t>
            </w:r>
          </w:p>
        </w:tc>
      </w:tr>
      <w:tr w:rsidR="00C15A4B" w14:paraId="0D607B02" w14:textId="77777777">
        <w:tc>
          <w:tcPr>
            <w:tcW w:w="2800" w:type="dxa"/>
            <w:shd w:val="clear" w:color="auto" w:fill="FFFFFF"/>
            <w:tcMar>
              <w:top w:w="80" w:type="dxa"/>
              <w:left w:w="100" w:type="dxa"/>
              <w:bottom w:w="80" w:type="dxa"/>
              <w:right w:w="100" w:type="dxa"/>
            </w:tcMar>
            <w:vAlign w:val="center"/>
          </w:tcPr>
          <w:p w14:paraId="4890A1EA" w14:textId="77777777" w:rsidR="00C15A4B" w:rsidRDefault="00673469" w:rsidP="00CB742D">
            <w:pPr>
              <w:jc w:val="both"/>
            </w:pPr>
            <w:r>
              <w:rPr>
                <w:b/>
                <w:bCs/>
                <w:color w:val="000000"/>
                <w:sz w:val="19"/>
                <w:szCs w:val="19"/>
              </w:rPr>
              <w:t>Primary Site ↔ DR Site</w:t>
            </w:r>
          </w:p>
        </w:tc>
        <w:tc>
          <w:tcPr>
            <w:tcW w:w="2600" w:type="dxa"/>
            <w:shd w:val="clear" w:color="auto" w:fill="FFFFFF"/>
            <w:tcMar>
              <w:top w:w="80" w:type="dxa"/>
              <w:left w:w="100" w:type="dxa"/>
              <w:bottom w:w="80" w:type="dxa"/>
              <w:right w:w="100" w:type="dxa"/>
            </w:tcMar>
            <w:vAlign w:val="center"/>
          </w:tcPr>
          <w:p w14:paraId="6FA071A9" w14:textId="77777777" w:rsidR="00C15A4B" w:rsidRDefault="00673469" w:rsidP="00CB742D">
            <w:pPr>
              <w:jc w:val="both"/>
            </w:pPr>
            <w:r>
              <w:rPr>
                <w:color w:val="000000"/>
                <w:sz w:val="19"/>
                <w:szCs w:val="19"/>
              </w:rPr>
              <w:t>Replication / Backup</w:t>
            </w:r>
          </w:p>
        </w:tc>
        <w:tc>
          <w:tcPr>
            <w:tcW w:w="4200" w:type="dxa"/>
            <w:shd w:val="clear" w:color="auto" w:fill="FFFFFF"/>
            <w:tcMar>
              <w:top w:w="80" w:type="dxa"/>
              <w:left w:w="100" w:type="dxa"/>
              <w:bottom w:w="80" w:type="dxa"/>
              <w:right w:w="100" w:type="dxa"/>
            </w:tcMar>
            <w:vAlign w:val="center"/>
          </w:tcPr>
          <w:p w14:paraId="7935508F" w14:textId="22147B8F" w:rsidR="00C15A4B" w:rsidRDefault="00673469" w:rsidP="00CB742D">
            <w:pPr>
              <w:jc w:val="both"/>
            </w:pPr>
            <w:r>
              <w:rPr>
                <w:color w:val="000000"/>
                <w:sz w:val="19"/>
                <w:szCs w:val="19"/>
              </w:rPr>
              <w:t>An active Primary Site (On-Prem) continuously replicates to a geographically or logically separated DR Site (On-Prem), with Backup (</w:t>
            </w:r>
            <w:r w:rsidR="00AB6C03">
              <w:rPr>
                <w:color w:val="000000"/>
                <w:sz w:val="19"/>
                <w:szCs w:val="19"/>
              </w:rPr>
              <w:t>Cohesity NetBackup</w:t>
            </w:r>
            <w:r>
              <w:rPr>
                <w:color w:val="000000"/>
                <w:sz w:val="19"/>
                <w:szCs w:val="19"/>
              </w:rPr>
              <w:t>) as the third line of defense.</w:t>
            </w:r>
          </w:p>
        </w:tc>
      </w:tr>
    </w:tbl>
    <w:p w14:paraId="495BB559" w14:textId="77777777" w:rsidR="00C15A4B" w:rsidRDefault="00673469" w:rsidP="00CB742D">
      <w:pPr>
        <w:spacing w:after="160" w:line="276" w:lineRule="auto"/>
        <w:jc w:val="both"/>
      </w:pPr>
      <w:r>
        <w:t>This layer collectively bounds Recovery Time Objective (RTO) and Recovery Point Objective (RPO) for the entire platform — clustered workers re-queue in-flight jobs within seconds of a failure, database replication keeps the DR site current to near real time, and immutable backups provide a last line of defense against data corruption or malicious deletion.</w:t>
      </w:r>
    </w:p>
    <w:p w14:paraId="299325D1" w14:textId="77777777" w:rsidR="009C2C7E" w:rsidRDefault="009C2C7E" w:rsidP="00CB742D">
      <w:pPr>
        <w:jc w:val="both"/>
        <w:rPr>
          <w:b/>
          <w:bCs/>
          <w:color w:val="FFD966"/>
          <w:sz w:val="26"/>
          <w:szCs w:val="26"/>
        </w:rPr>
      </w:pPr>
      <w:r>
        <w:rPr>
          <w:b/>
          <w:bCs/>
          <w:color w:val="FFD966"/>
          <w:sz w:val="26"/>
          <w:szCs w:val="26"/>
        </w:rPr>
        <w:br w:type="page"/>
      </w:r>
    </w:p>
    <w:p w14:paraId="5E48E4F5" w14:textId="50FD898F" w:rsidR="00C15A4B" w:rsidRDefault="00673469" w:rsidP="00CB742D">
      <w:pPr>
        <w:shd w:val="clear" w:color="auto" w:fill="1F3864"/>
        <w:spacing w:before="400" w:after="160"/>
        <w:jc w:val="both"/>
      </w:pPr>
      <w:r>
        <w:rPr>
          <w:b/>
          <w:bCs/>
          <w:color w:val="FFD966"/>
          <w:sz w:val="26"/>
          <w:szCs w:val="26"/>
        </w:rPr>
        <w:lastRenderedPageBreak/>
        <w:t xml:space="preserve">  9   </w:t>
      </w:r>
      <w:r>
        <w:rPr>
          <w:b/>
          <w:bCs/>
          <w:color w:val="FFFFFF"/>
          <w:sz w:val="26"/>
          <w:szCs w:val="26"/>
        </w:rPr>
        <w:t>OBSERVABILITY, OPERATIONS &amp; DEVOPS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00"/>
      </w:tblGrid>
      <w:tr w:rsidR="00C15A4B" w14:paraId="1600C67A" w14:textId="77777777">
        <w:trPr>
          <w:tblHeader/>
        </w:trPr>
        <w:tc>
          <w:tcPr>
            <w:tcW w:w="2800" w:type="dxa"/>
            <w:shd w:val="clear" w:color="auto" w:fill="1F3864"/>
            <w:tcMar>
              <w:top w:w="80" w:type="dxa"/>
              <w:left w:w="100" w:type="dxa"/>
              <w:bottom w:w="80" w:type="dxa"/>
              <w:right w:w="100" w:type="dxa"/>
            </w:tcMar>
            <w:vAlign w:val="center"/>
          </w:tcPr>
          <w:p w14:paraId="2D846BBD" w14:textId="77777777" w:rsidR="00C15A4B" w:rsidRDefault="00673469" w:rsidP="00CB742D">
            <w:pPr>
              <w:jc w:val="both"/>
            </w:pPr>
            <w:r>
              <w:rPr>
                <w:b/>
                <w:bCs/>
                <w:color w:val="FFFFFF"/>
                <w:sz w:val="19"/>
                <w:szCs w:val="19"/>
              </w:rPr>
              <w:t>Component</w:t>
            </w:r>
          </w:p>
        </w:tc>
        <w:tc>
          <w:tcPr>
            <w:tcW w:w="3200" w:type="dxa"/>
            <w:shd w:val="clear" w:color="auto" w:fill="1F3864"/>
            <w:tcMar>
              <w:top w:w="80" w:type="dxa"/>
              <w:left w:w="100" w:type="dxa"/>
              <w:bottom w:w="80" w:type="dxa"/>
              <w:right w:w="100" w:type="dxa"/>
            </w:tcMar>
            <w:vAlign w:val="center"/>
          </w:tcPr>
          <w:p w14:paraId="4C25F83E" w14:textId="77777777" w:rsidR="00C15A4B" w:rsidRDefault="00673469" w:rsidP="00CB742D">
            <w:pPr>
              <w:jc w:val="both"/>
            </w:pPr>
            <w:r>
              <w:rPr>
                <w:b/>
                <w:bCs/>
                <w:color w:val="FFFFFF"/>
                <w:sz w:val="19"/>
                <w:szCs w:val="19"/>
              </w:rPr>
              <w:t>Technology / Product</w:t>
            </w:r>
          </w:p>
        </w:tc>
        <w:tc>
          <w:tcPr>
            <w:tcW w:w="3600" w:type="dxa"/>
            <w:shd w:val="clear" w:color="auto" w:fill="1F3864"/>
            <w:tcMar>
              <w:top w:w="80" w:type="dxa"/>
              <w:left w:w="100" w:type="dxa"/>
              <w:bottom w:w="80" w:type="dxa"/>
              <w:right w:w="100" w:type="dxa"/>
            </w:tcMar>
            <w:vAlign w:val="center"/>
          </w:tcPr>
          <w:p w14:paraId="67B14068" w14:textId="77777777" w:rsidR="00C15A4B" w:rsidRDefault="00673469" w:rsidP="00CB742D">
            <w:pPr>
              <w:jc w:val="both"/>
            </w:pPr>
            <w:r>
              <w:rPr>
                <w:b/>
                <w:bCs/>
                <w:color w:val="FFFFFF"/>
                <w:sz w:val="19"/>
                <w:szCs w:val="19"/>
              </w:rPr>
              <w:t>Role &amp; Function</w:t>
            </w:r>
          </w:p>
        </w:tc>
      </w:tr>
      <w:tr w:rsidR="00C15A4B" w14:paraId="6E8D400C" w14:textId="77777777">
        <w:tc>
          <w:tcPr>
            <w:tcW w:w="2800" w:type="dxa"/>
            <w:shd w:val="clear" w:color="auto" w:fill="FFFFFF"/>
            <w:tcMar>
              <w:top w:w="80" w:type="dxa"/>
              <w:left w:w="100" w:type="dxa"/>
              <w:bottom w:w="80" w:type="dxa"/>
              <w:right w:w="100" w:type="dxa"/>
            </w:tcMar>
            <w:vAlign w:val="center"/>
          </w:tcPr>
          <w:p w14:paraId="36CAF0FD" w14:textId="77777777" w:rsidR="00C15A4B" w:rsidRDefault="00673469" w:rsidP="00CB742D">
            <w:pPr>
              <w:jc w:val="both"/>
            </w:pPr>
            <w:r>
              <w:rPr>
                <w:b/>
                <w:bCs/>
                <w:color w:val="000000"/>
                <w:sz w:val="19"/>
                <w:szCs w:val="19"/>
              </w:rPr>
              <w:t>Oracle Enterprise Manager</w:t>
            </w:r>
          </w:p>
        </w:tc>
        <w:tc>
          <w:tcPr>
            <w:tcW w:w="3200" w:type="dxa"/>
            <w:shd w:val="clear" w:color="auto" w:fill="FFFFFF"/>
            <w:tcMar>
              <w:top w:w="80" w:type="dxa"/>
              <w:left w:w="100" w:type="dxa"/>
              <w:bottom w:w="80" w:type="dxa"/>
              <w:right w:w="100" w:type="dxa"/>
            </w:tcMar>
            <w:vAlign w:val="center"/>
          </w:tcPr>
          <w:p w14:paraId="228BFC5E" w14:textId="77777777" w:rsidR="00C15A4B" w:rsidRDefault="00673469" w:rsidP="00CB742D">
            <w:pPr>
              <w:jc w:val="both"/>
            </w:pPr>
            <w:r>
              <w:rPr>
                <w:color w:val="000000"/>
                <w:sz w:val="19"/>
                <w:szCs w:val="19"/>
              </w:rPr>
              <w:t>Infrastructure Monitoring</w:t>
            </w:r>
          </w:p>
        </w:tc>
        <w:tc>
          <w:tcPr>
            <w:tcW w:w="3600" w:type="dxa"/>
            <w:shd w:val="clear" w:color="auto" w:fill="FFFFFF"/>
            <w:tcMar>
              <w:top w:w="80" w:type="dxa"/>
              <w:left w:w="100" w:type="dxa"/>
              <w:bottom w:w="80" w:type="dxa"/>
              <w:right w:w="100" w:type="dxa"/>
            </w:tcMar>
            <w:vAlign w:val="center"/>
          </w:tcPr>
          <w:p w14:paraId="6F5D6F8C" w14:textId="77777777" w:rsidR="00C15A4B" w:rsidRDefault="00673469" w:rsidP="00CB742D">
            <w:pPr>
              <w:jc w:val="both"/>
            </w:pPr>
            <w:r>
              <w:rPr>
                <w:color w:val="000000"/>
                <w:sz w:val="19"/>
                <w:szCs w:val="19"/>
              </w:rPr>
              <w:t xml:space="preserve">Centralized monitoring and management console for the full Oracle estate (Exadata, RAC, Data Guard, </w:t>
            </w:r>
            <w:proofErr w:type="spellStart"/>
            <w:r>
              <w:rPr>
                <w:color w:val="000000"/>
                <w:sz w:val="19"/>
                <w:szCs w:val="19"/>
              </w:rPr>
              <w:t>GoldenGate</w:t>
            </w:r>
            <w:proofErr w:type="spellEnd"/>
            <w:r>
              <w:rPr>
                <w:color w:val="000000"/>
                <w:sz w:val="19"/>
                <w:szCs w:val="19"/>
              </w:rPr>
              <w:t>).</w:t>
            </w:r>
          </w:p>
        </w:tc>
      </w:tr>
      <w:tr w:rsidR="00C15A4B" w14:paraId="1CE291CD" w14:textId="77777777">
        <w:tc>
          <w:tcPr>
            <w:tcW w:w="2800" w:type="dxa"/>
            <w:shd w:val="clear" w:color="auto" w:fill="F2F2F2"/>
            <w:tcMar>
              <w:top w:w="80" w:type="dxa"/>
              <w:left w:w="100" w:type="dxa"/>
              <w:bottom w:w="80" w:type="dxa"/>
              <w:right w:w="100" w:type="dxa"/>
            </w:tcMar>
            <w:vAlign w:val="center"/>
          </w:tcPr>
          <w:p w14:paraId="3BDF05AB" w14:textId="77777777" w:rsidR="00C15A4B" w:rsidRDefault="00673469" w:rsidP="00CB742D">
            <w:pPr>
              <w:jc w:val="both"/>
            </w:pPr>
            <w:r>
              <w:rPr>
                <w:b/>
                <w:bCs/>
                <w:color w:val="000000"/>
                <w:sz w:val="19"/>
                <w:szCs w:val="19"/>
              </w:rPr>
              <w:t>Cloudera Manager</w:t>
            </w:r>
          </w:p>
        </w:tc>
        <w:tc>
          <w:tcPr>
            <w:tcW w:w="3200" w:type="dxa"/>
            <w:shd w:val="clear" w:color="auto" w:fill="F2F2F2"/>
            <w:tcMar>
              <w:top w:w="80" w:type="dxa"/>
              <w:left w:w="100" w:type="dxa"/>
              <w:bottom w:w="80" w:type="dxa"/>
              <w:right w:w="100" w:type="dxa"/>
            </w:tcMar>
            <w:vAlign w:val="center"/>
          </w:tcPr>
          <w:p w14:paraId="75E94DF4" w14:textId="77777777" w:rsidR="00C15A4B" w:rsidRDefault="00673469" w:rsidP="00CB742D">
            <w:pPr>
              <w:jc w:val="both"/>
            </w:pPr>
            <w:r>
              <w:rPr>
                <w:color w:val="000000"/>
                <w:sz w:val="19"/>
                <w:szCs w:val="19"/>
              </w:rPr>
              <w:t>Platform Monitoring</w:t>
            </w:r>
          </w:p>
        </w:tc>
        <w:tc>
          <w:tcPr>
            <w:tcW w:w="3600" w:type="dxa"/>
            <w:shd w:val="clear" w:color="auto" w:fill="F2F2F2"/>
            <w:tcMar>
              <w:top w:w="80" w:type="dxa"/>
              <w:left w:w="100" w:type="dxa"/>
              <w:bottom w:w="80" w:type="dxa"/>
              <w:right w:w="100" w:type="dxa"/>
            </w:tcMar>
            <w:vAlign w:val="center"/>
          </w:tcPr>
          <w:p w14:paraId="12608BDE" w14:textId="77777777" w:rsidR="00C15A4B" w:rsidRDefault="00673469" w:rsidP="00CB742D">
            <w:pPr>
              <w:jc w:val="both"/>
            </w:pPr>
            <w:r>
              <w:rPr>
                <w:color w:val="000000"/>
                <w:sz w:val="19"/>
                <w:szCs w:val="19"/>
              </w:rPr>
              <w:t>Operational visibility and administration for the Cloudera cluster (Kafka, Flink, Spark, Cloudera AI).</w:t>
            </w:r>
          </w:p>
        </w:tc>
      </w:tr>
      <w:tr w:rsidR="00C15A4B" w14:paraId="7ED0EF2F" w14:textId="77777777">
        <w:tc>
          <w:tcPr>
            <w:tcW w:w="2800" w:type="dxa"/>
            <w:shd w:val="clear" w:color="auto" w:fill="FFFFFF"/>
            <w:tcMar>
              <w:top w:w="80" w:type="dxa"/>
              <w:left w:w="100" w:type="dxa"/>
              <w:bottom w:w="80" w:type="dxa"/>
              <w:right w:w="100" w:type="dxa"/>
            </w:tcMar>
            <w:vAlign w:val="center"/>
          </w:tcPr>
          <w:p w14:paraId="3B002A42" w14:textId="77777777" w:rsidR="00C15A4B" w:rsidRDefault="00673469" w:rsidP="00CB742D">
            <w:pPr>
              <w:jc w:val="both"/>
            </w:pPr>
            <w:r>
              <w:rPr>
                <w:b/>
                <w:bCs/>
                <w:color w:val="000000"/>
                <w:sz w:val="19"/>
                <w:szCs w:val="19"/>
              </w:rPr>
              <w:t>Prometheus / Grafana / Loki</w:t>
            </w:r>
          </w:p>
        </w:tc>
        <w:tc>
          <w:tcPr>
            <w:tcW w:w="3200" w:type="dxa"/>
            <w:shd w:val="clear" w:color="auto" w:fill="FFFFFF"/>
            <w:tcMar>
              <w:top w:w="80" w:type="dxa"/>
              <w:left w:w="100" w:type="dxa"/>
              <w:bottom w:w="80" w:type="dxa"/>
              <w:right w:w="100" w:type="dxa"/>
            </w:tcMar>
            <w:vAlign w:val="center"/>
          </w:tcPr>
          <w:p w14:paraId="1061F614" w14:textId="77777777" w:rsidR="00C15A4B" w:rsidRDefault="00673469" w:rsidP="00CB742D">
            <w:pPr>
              <w:jc w:val="both"/>
            </w:pPr>
            <w:r>
              <w:rPr>
                <w:color w:val="000000"/>
                <w:sz w:val="19"/>
                <w:szCs w:val="19"/>
              </w:rPr>
              <w:t>Metrics, Logs, Alerting</w:t>
            </w:r>
          </w:p>
        </w:tc>
        <w:tc>
          <w:tcPr>
            <w:tcW w:w="3600" w:type="dxa"/>
            <w:shd w:val="clear" w:color="auto" w:fill="FFFFFF"/>
            <w:tcMar>
              <w:top w:w="80" w:type="dxa"/>
              <w:left w:w="100" w:type="dxa"/>
              <w:bottom w:w="80" w:type="dxa"/>
              <w:right w:w="100" w:type="dxa"/>
            </w:tcMar>
            <w:vAlign w:val="center"/>
          </w:tcPr>
          <w:p w14:paraId="192A176A" w14:textId="426877D0" w:rsidR="00C15A4B" w:rsidRDefault="00673469" w:rsidP="00CB742D">
            <w:pPr>
              <w:jc w:val="both"/>
            </w:pPr>
            <w:r>
              <w:rPr>
                <w:color w:val="000000"/>
                <w:sz w:val="19"/>
                <w:szCs w:val="19"/>
              </w:rPr>
              <w:t xml:space="preserve">metrics collection, dashboarding and log aggregation providing sub-30-second refresh operational dashboards, including metrics from WSO2 API Manager, Redis Enterprise and Apache </w:t>
            </w:r>
            <w:proofErr w:type="spellStart"/>
            <w:r>
              <w:rPr>
                <w:color w:val="000000"/>
                <w:sz w:val="19"/>
                <w:szCs w:val="19"/>
              </w:rPr>
              <w:t>NiFi</w:t>
            </w:r>
            <w:proofErr w:type="spellEnd"/>
            <w:r>
              <w:rPr>
                <w:color w:val="000000"/>
                <w:sz w:val="19"/>
                <w:szCs w:val="19"/>
              </w:rPr>
              <w:t>.</w:t>
            </w:r>
          </w:p>
        </w:tc>
      </w:tr>
      <w:tr w:rsidR="00C15A4B" w14:paraId="34D7135C" w14:textId="77777777">
        <w:tc>
          <w:tcPr>
            <w:tcW w:w="2800" w:type="dxa"/>
            <w:shd w:val="clear" w:color="auto" w:fill="F2F2F2"/>
            <w:tcMar>
              <w:top w:w="80" w:type="dxa"/>
              <w:left w:w="100" w:type="dxa"/>
              <w:bottom w:w="80" w:type="dxa"/>
              <w:right w:w="100" w:type="dxa"/>
            </w:tcMar>
            <w:vAlign w:val="center"/>
          </w:tcPr>
          <w:p w14:paraId="3074C853" w14:textId="77777777" w:rsidR="00C15A4B" w:rsidRDefault="00673469" w:rsidP="00CB742D">
            <w:pPr>
              <w:jc w:val="both"/>
            </w:pPr>
            <w:r>
              <w:rPr>
                <w:b/>
                <w:bCs/>
                <w:color w:val="000000"/>
                <w:sz w:val="19"/>
                <w:szCs w:val="19"/>
              </w:rPr>
              <w:t>Splunk Enterprise</w:t>
            </w:r>
          </w:p>
        </w:tc>
        <w:tc>
          <w:tcPr>
            <w:tcW w:w="3200" w:type="dxa"/>
            <w:shd w:val="clear" w:color="auto" w:fill="F2F2F2"/>
            <w:tcMar>
              <w:top w:w="80" w:type="dxa"/>
              <w:left w:w="100" w:type="dxa"/>
              <w:bottom w:w="80" w:type="dxa"/>
              <w:right w:w="100" w:type="dxa"/>
            </w:tcMar>
            <w:vAlign w:val="center"/>
          </w:tcPr>
          <w:p w14:paraId="0B35E183" w14:textId="77777777" w:rsidR="00C15A4B" w:rsidRDefault="00673469" w:rsidP="00CB742D">
            <w:pPr>
              <w:jc w:val="both"/>
            </w:pPr>
            <w:r>
              <w:rPr>
                <w:color w:val="000000"/>
                <w:sz w:val="19"/>
                <w:szCs w:val="19"/>
              </w:rPr>
              <w:t>SIEM</w:t>
            </w:r>
          </w:p>
        </w:tc>
        <w:tc>
          <w:tcPr>
            <w:tcW w:w="3600" w:type="dxa"/>
            <w:shd w:val="clear" w:color="auto" w:fill="F2F2F2"/>
            <w:tcMar>
              <w:top w:w="80" w:type="dxa"/>
              <w:left w:w="100" w:type="dxa"/>
              <w:bottom w:w="80" w:type="dxa"/>
              <w:right w:w="100" w:type="dxa"/>
            </w:tcMar>
            <w:vAlign w:val="center"/>
          </w:tcPr>
          <w:p w14:paraId="2D190B66" w14:textId="77777777" w:rsidR="00C15A4B" w:rsidRDefault="00673469" w:rsidP="00CB742D">
            <w:pPr>
              <w:jc w:val="both"/>
            </w:pPr>
            <w:r>
              <w:rPr>
                <w:color w:val="000000"/>
                <w:sz w:val="19"/>
                <w:szCs w:val="19"/>
              </w:rPr>
              <w:t>Enterprise security information and event management, ingesting audit and security logs from every layer for real-time threat detection.</w:t>
            </w:r>
          </w:p>
        </w:tc>
      </w:tr>
      <w:tr w:rsidR="00C15A4B" w14:paraId="73D6E811" w14:textId="77777777">
        <w:tc>
          <w:tcPr>
            <w:tcW w:w="2800" w:type="dxa"/>
            <w:shd w:val="clear" w:color="auto" w:fill="FFFFFF"/>
            <w:tcMar>
              <w:top w:w="80" w:type="dxa"/>
              <w:left w:w="100" w:type="dxa"/>
              <w:bottom w:w="80" w:type="dxa"/>
              <w:right w:w="100" w:type="dxa"/>
            </w:tcMar>
            <w:vAlign w:val="center"/>
          </w:tcPr>
          <w:p w14:paraId="3A0E78F4" w14:textId="77777777" w:rsidR="00C15A4B" w:rsidRDefault="00673469" w:rsidP="00CB742D">
            <w:pPr>
              <w:jc w:val="both"/>
            </w:pPr>
            <w:r>
              <w:rPr>
                <w:b/>
                <w:bCs/>
                <w:color w:val="000000"/>
                <w:sz w:val="19"/>
                <w:szCs w:val="19"/>
              </w:rPr>
              <w:t>GitLab + Argo CD</w:t>
            </w:r>
          </w:p>
        </w:tc>
        <w:tc>
          <w:tcPr>
            <w:tcW w:w="3200" w:type="dxa"/>
            <w:shd w:val="clear" w:color="auto" w:fill="FFFFFF"/>
            <w:tcMar>
              <w:top w:w="80" w:type="dxa"/>
              <w:left w:w="100" w:type="dxa"/>
              <w:bottom w:w="80" w:type="dxa"/>
              <w:right w:w="100" w:type="dxa"/>
            </w:tcMar>
            <w:vAlign w:val="center"/>
          </w:tcPr>
          <w:p w14:paraId="5842FBE3" w14:textId="77777777" w:rsidR="00C15A4B" w:rsidRDefault="00673469" w:rsidP="00CB742D">
            <w:pPr>
              <w:jc w:val="both"/>
            </w:pPr>
            <w:r>
              <w:rPr>
                <w:color w:val="000000"/>
                <w:sz w:val="19"/>
                <w:szCs w:val="19"/>
              </w:rPr>
              <w:t>Version Control | CI/CD | Deployment | Drift Management</w:t>
            </w:r>
          </w:p>
        </w:tc>
        <w:tc>
          <w:tcPr>
            <w:tcW w:w="3600" w:type="dxa"/>
            <w:shd w:val="clear" w:color="auto" w:fill="FFFFFF"/>
            <w:tcMar>
              <w:top w:w="80" w:type="dxa"/>
              <w:left w:w="100" w:type="dxa"/>
              <w:bottom w:w="80" w:type="dxa"/>
              <w:right w:w="100" w:type="dxa"/>
            </w:tcMar>
            <w:vAlign w:val="center"/>
          </w:tcPr>
          <w:p w14:paraId="1CC605BD" w14:textId="77777777" w:rsidR="00C15A4B" w:rsidRDefault="00673469" w:rsidP="00CB742D">
            <w:pPr>
              <w:jc w:val="both"/>
            </w:pPr>
            <w:r>
              <w:rPr>
                <w:color w:val="000000"/>
                <w:sz w:val="19"/>
                <w:szCs w:val="19"/>
              </w:rPr>
              <w:t xml:space="preserve">Source control and CI/CD automation for pipeline code, infrastructure-as-code and model deployment artefacts, with Argo CD providing </w:t>
            </w:r>
            <w:proofErr w:type="spellStart"/>
            <w:r>
              <w:rPr>
                <w:color w:val="000000"/>
                <w:sz w:val="19"/>
                <w:szCs w:val="19"/>
              </w:rPr>
              <w:t>GitOps</w:t>
            </w:r>
            <w:proofErr w:type="spellEnd"/>
            <w:r>
              <w:rPr>
                <w:color w:val="000000"/>
                <w:sz w:val="19"/>
                <w:szCs w:val="19"/>
              </w:rPr>
              <w:t>-based deployment and configuration drift management.</w:t>
            </w:r>
          </w:p>
        </w:tc>
      </w:tr>
      <w:tr w:rsidR="00C15A4B" w14:paraId="3B2728D1" w14:textId="77777777">
        <w:tc>
          <w:tcPr>
            <w:tcW w:w="2800" w:type="dxa"/>
            <w:shd w:val="clear" w:color="auto" w:fill="F2F2F2"/>
            <w:tcMar>
              <w:top w:w="80" w:type="dxa"/>
              <w:left w:w="100" w:type="dxa"/>
              <w:bottom w:w="80" w:type="dxa"/>
              <w:right w:w="100" w:type="dxa"/>
            </w:tcMar>
            <w:vAlign w:val="center"/>
          </w:tcPr>
          <w:p w14:paraId="1691CE29" w14:textId="77777777" w:rsidR="00C15A4B" w:rsidRDefault="00673469" w:rsidP="00CB742D">
            <w:pPr>
              <w:jc w:val="both"/>
            </w:pPr>
            <w:r>
              <w:rPr>
                <w:b/>
                <w:bCs/>
                <w:color w:val="000000"/>
                <w:sz w:val="19"/>
                <w:szCs w:val="19"/>
              </w:rPr>
              <w:t>CI/CD &amp; DevOps Automation</w:t>
            </w:r>
          </w:p>
        </w:tc>
        <w:tc>
          <w:tcPr>
            <w:tcW w:w="3200" w:type="dxa"/>
            <w:shd w:val="clear" w:color="auto" w:fill="F2F2F2"/>
            <w:tcMar>
              <w:top w:w="80" w:type="dxa"/>
              <w:left w:w="100" w:type="dxa"/>
              <w:bottom w:w="80" w:type="dxa"/>
              <w:right w:w="100" w:type="dxa"/>
            </w:tcMar>
            <w:vAlign w:val="center"/>
          </w:tcPr>
          <w:p w14:paraId="729EC9A4" w14:textId="77777777" w:rsidR="00C15A4B" w:rsidRDefault="00673469" w:rsidP="00CB742D">
            <w:pPr>
              <w:jc w:val="both"/>
            </w:pPr>
            <w:r>
              <w:rPr>
                <w:color w:val="000000"/>
                <w:sz w:val="19"/>
                <w:szCs w:val="19"/>
              </w:rPr>
              <w:t>Deployment pipelines</w:t>
            </w:r>
          </w:p>
        </w:tc>
        <w:tc>
          <w:tcPr>
            <w:tcW w:w="3600" w:type="dxa"/>
            <w:shd w:val="clear" w:color="auto" w:fill="F2F2F2"/>
            <w:tcMar>
              <w:top w:w="80" w:type="dxa"/>
              <w:left w:w="100" w:type="dxa"/>
              <w:bottom w:w="80" w:type="dxa"/>
              <w:right w:w="100" w:type="dxa"/>
            </w:tcMar>
            <w:vAlign w:val="center"/>
          </w:tcPr>
          <w:p w14:paraId="50AA951C" w14:textId="77777777" w:rsidR="00C15A4B" w:rsidRDefault="00673469" w:rsidP="00CB742D">
            <w:pPr>
              <w:jc w:val="both"/>
            </w:pPr>
            <w:r>
              <w:rPr>
                <w:color w:val="000000"/>
                <w:sz w:val="19"/>
                <w:szCs w:val="19"/>
              </w:rPr>
              <w:t>Automated build, test and deployment pipelines ensuring consistent, auditable promotion of changes across environments.</w:t>
            </w:r>
          </w:p>
        </w:tc>
      </w:tr>
    </w:tbl>
    <w:p w14:paraId="6855A500" w14:textId="77777777" w:rsidR="00C15A4B" w:rsidRDefault="00673469" w:rsidP="00CB742D">
      <w:pPr>
        <w:spacing w:after="160" w:line="276" w:lineRule="auto"/>
        <w:jc w:val="both"/>
      </w:pPr>
      <w:r>
        <w:t>Together these tools give platform administrators a single pane of glass over infrastructure health, pipeline execution, security events and code deployment — feeding failure detection and SLA-breach alerts back into the Security &amp; Management layer within sub-minute intervals.</w:t>
      </w:r>
    </w:p>
    <w:p w14:paraId="38A7F15A" w14:textId="77777777" w:rsidR="00C15A4B" w:rsidRDefault="00673469" w:rsidP="00CB742D">
      <w:pPr>
        <w:jc w:val="both"/>
      </w:pPr>
      <w:r>
        <w:br w:type="page"/>
      </w:r>
    </w:p>
    <w:p w14:paraId="1DE2E94E" w14:textId="77777777" w:rsidR="00C15A4B" w:rsidRDefault="00673469" w:rsidP="00CB742D">
      <w:pPr>
        <w:shd w:val="clear" w:color="auto" w:fill="1F3864"/>
        <w:spacing w:before="400" w:after="160"/>
        <w:jc w:val="both"/>
      </w:pPr>
      <w:r>
        <w:rPr>
          <w:b/>
          <w:bCs/>
          <w:color w:val="FFD966"/>
          <w:sz w:val="26"/>
          <w:szCs w:val="26"/>
        </w:rPr>
        <w:lastRenderedPageBreak/>
        <w:t xml:space="preserve">  10   </w:t>
      </w:r>
      <w:r>
        <w:rPr>
          <w:b/>
          <w:bCs/>
          <w:color w:val="FFFFFF"/>
          <w:sz w:val="26"/>
          <w:szCs w:val="26"/>
        </w:rPr>
        <w:t>API FRAMEWORK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600"/>
      </w:tblGrid>
      <w:tr w:rsidR="00C15A4B" w14:paraId="5C1CF7F5" w14:textId="77777777">
        <w:trPr>
          <w:tblHeader/>
        </w:trPr>
        <w:tc>
          <w:tcPr>
            <w:tcW w:w="2800" w:type="dxa"/>
            <w:shd w:val="clear" w:color="auto" w:fill="1F3864"/>
            <w:tcMar>
              <w:top w:w="80" w:type="dxa"/>
              <w:left w:w="100" w:type="dxa"/>
              <w:bottom w:w="80" w:type="dxa"/>
              <w:right w:w="100" w:type="dxa"/>
            </w:tcMar>
            <w:vAlign w:val="center"/>
          </w:tcPr>
          <w:p w14:paraId="251D267C" w14:textId="77777777" w:rsidR="00C15A4B" w:rsidRDefault="00673469" w:rsidP="00CB742D">
            <w:pPr>
              <w:jc w:val="both"/>
            </w:pPr>
            <w:r>
              <w:rPr>
                <w:b/>
                <w:bCs/>
                <w:color w:val="FFFFFF"/>
                <w:sz w:val="19"/>
                <w:szCs w:val="19"/>
              </w:rPr>
              <w:t>Component</w:t>
            </w:r>
          </w:p>
        </w:tc>
        <w:tc>
          <w:tcPr>
            <w:tcW w:w="3200" w:type="dxa"/>
            <w:shd w:val="clear" w:color="auto" w:fill="1F3864"/>
            <w:tcMar>
              <w:top w:w="80" w:type="dxa"/>
              <w:left w:w="100" w:type="dxa"/>
              <w:bottom w:w="80" w:type="dxa"/>
              <w:right w:w="100" w:type="dxa"/>
            </w:tcMar>
            <w:vAlign w:val="center"/>
          </w:tcPr>
          <w:p w14:paraId="6A5A3205" w14:textId="77777777" w:rsidR="00C15A4B" w:rsidRDefault="00673469" w:rsidP="00CB742D">
            <w:pPr>
              <w:jc w:val="both"/>
            </w:pPr>
            <w:r>
              <w:rPr>
                <w:b/>
                <w:bCs/>
                <w:color w:val="FFFFFF"/>
                <w:sz w:val="19"/>
                <w:szCs w:val="19"/>
              </w:rPr>
              <w:t>Technology / Product</w:t>
            </w:r>
          </w:p>
        </w:tc>
        <w:tc>
          <w:tcPr>
            <w:tcW w:w="3600" w:type="dxa"/>
            <w:shd w:val="clear" w:color="auto" w:fill="1F3864"/>
            <w:tcMar>
              <w:top w:w="80" w:type="dxa"/>
              <w:left w:w="100" w:type="dxa"/>
              <w:bottom w:w="80" w:type="dxa"/>
              <w:right w:w="100" w:type="dxa"/>
            </w:tcMar>
            <w:vAlign w:val="center"/>
          </w:tcPr>
          <w:p w14:paraId="213DD4E4" w14:textId="77777777" w:rsidR="00C15A4B" w:rsidRDefault="00673469" w:rsidP="00CB742D">
            <w:pPr>
              <w:jc w:val="both"/>
            </w:pPr>
            <w:r>
              <w:rPr>
                <w:b/>
                <w:bCs/>
                <w:color w:val="FFFFFF"/>
                <w:sz w:val="19"/>
                <w:szCs w:val="19"/>
              </w:rPr>
              <w:t>Role &amp; Function</w:t>
            </w:r>
          </w:p>
        </w:tc>
      </w:tr>
      <w:tr w:rsidR="00C15A4B" w14:paraId="2F499405" w14:textId="77777777">
        <w:tc>
          <w:tcPr>
            <w:tcW w:w="2800" w:type="dxa"/>
            <w:shd w:val="clear" w:color="auto" w:fill="FFFFFF"/>
            <w:tcMar>
              <w:top w:w="80" w:type="dxa"/>
              <w:left w:w="100" w:type="dxa"/>
              <w:bottom w:w="80" w:type="dxa"/>
              <w:right w:w="100" w:type="dxa"/>
            </w:tcMar>
            <w:vAlign w:val="center"/>
          </w:tcPr>
          <w:p w14:paraId="5E6156A2" w14:textId="77777777" w:rsidR="00C15A4B" w:rsidRDefault="00673469" w:rsidP="00CB742D">
            <w:pPr>
              <w:jc w:val="both"/>
            </w:pPr>
            <w:r>
              <w:rPr>
                <w:b/>
                <w:bCs/>
                <w:color w:val="000000"/>
                <w:sz w:val="19"/>
                <w:szCs w:val="19"/>
              </w:rPr>
              <w:t>WSO2 API Manager</w:t>
            </w:r>
          </w:p>
        </w:tc>
        <w:tc>
          <w:tcPr>
            <w:tcW w:w="3200" w:type="dxa"/>
            <w:shd w:val="clear" w:color="auto" w:fill="FFFFFF"/>
            <w:tcMar>
              <w:top w:w="80" w:type="dxa"/>
              <w:left w:w="100" w:type="dxa"/>
              <w:bottom w:w="80" w:type="dxa"/>
              <w:right w:w="100" w:type="dxa"/>
            </w:tcMar>
            <w:vAlign w:val="center"/>
          </w:tcPr>
          <w:p w14:paraId="57455C84" w14:textId="77777777" w:rsidR="00C15A4B" w:rsidRDefault="00673469" w:rsidP="00CB742D">
            <w:pPr>
              <w:jc w:val="both"/>
            </w:pPr>
            <w:r>
              <w:rPr>
                <w:color w:val="000000"/>
                <w:sz w:val="19"/>
                <w:szCs w:val="19"/>
              </w:rPr>
              <w:t>On-premises API Gateway &amp; Lifecycle Management</w:t>
            </w:r>
          </w:p>
        </w:tc>
        <w:tc>
          <w:tcPr>
            <w:tcW w:w="3600" w:type="dxa"/>
            <w:shd w:val="clear" w:color="auto" w:fill="FFFFFF"/>
            <w:tcMar>
              <w:top w:w="80" w:type="dxa"/>
              <w:left w:w="100" w:type="dxa"/>
              <w:bottom w:w="80" w:type="dxa"/>
              <w:right w:w="100" w:type="dxa"/>
            </w:tcMar>
            <w:vAlign w:val="center"/>
          </w:tcPr>
          <w:p w14:paraId="1AFB21BA" w14:textId="77777777" w:rsidR="00C15A4B" w:rsidRDefault="00673469" w:rsidP="00CB742D">
            <w:pPr>
              <w:jc w:val="both"/>
            </w:pPr>
            <w:r>
              <w:rPr>
                <w:color w:val="000000"/>
                <w:sz w:val="19"/>
                <w:szCs w:val="19"/>
              </w:rPr>
              <w:t>Central governed access point exposing REST/SOAP APIs for all downstream data products, feature stores and master data services, with a publisher and developer portal for API lifecycle management and subscription control.</w:t>
            </w:r>
          </w:p>
        </w:tc>
      </w:tr>
    </w:tbl>
    <w:p w14:paraId="34C0472E" w14:textId="77777777" w:rsidR="00C15A4B" w:rsidRDefault="00673469" w:rsidP="00CB742D">
      <w:pPr>
        <w:spacing w:after="160" w:line="276" w:lineRule="auto"/>
        <w:jc w:val="both"/>
      </w:pPr>
      <w:r>
        <w:t>Capabilities delivered by this layer include:</w:t>
      </w:r>
    </w:p>
    <w:p w14:paraId="4F776E80" w14:textId="77777777" w:rsidR="00C15A4B" w:rsidRDefault="00673469" w:rsidP="00CB742D">
      <w:pPr>
        <w:pStyle w:val="ListParagraph"/>
        <w:numPr>
          <w:ilvl w:val="0"/>
          <w:numId w:val="2"/>
        </w:numPr>
        <w:spacing w:after="90" w:line="270" w:lineRule="auto"/>
        <w:jc w:val="both"/>
      </w:pPr>
      <w:r>
        <w:t>REST / SOAP API exposure for governed data products, master data, and AI/ML inference endpoints, with Redis Enterprise as the low-latency read path behind high-traffic APIs</w:t>
      </w:r>
    </w:p>
    <w:p w14:paraId="33D70695" w14:textId="77777777" w:rsidR="00C15A4B" w:rsidRDefault="00673469" w:rsidP="00CB742D">
      <w:pPr>
        <w:pStyle w:val="ListParagraph"/>
        <w:numPr>
          <w:ilvl w:val="0"/>
          <w:numId w:val="2"/>
        </w:numPr>
        <w:spacing w:after="90" w:line="270" w:lineRule="auto"/>
        <w:jc w:val="both"/>
      </w:pPr>
      <w:r>
        <w:t xml:space="preserve">Security enforcement (OAuth 2.0 / JWT / API key / mutual TLS), integrated with </w:t>
      </w:r>
      <w:proofErr w:type="spellStart"/>
      <w:r>
        <w:t>Keycloak</w:t>
      </w:r>
      <w:proofErr w:type="spellEnd"/>
      <w:r>
        <w:t>/AD identity through WSO2's key-manager integration</w:t>
      </w:r>
    </w:p>
    <w:p w14:paraId="5B24530D" w14:textId="77777777" w:rsidR="00C15A4B" w:rsidRDefault="00673469" w:rsidP="00CB742D">
      <w:pPr>
        <w:pStyle w:val="ListParagraph"/>
        <w:numPr>
          <w:ilvl w:val="0"/>
          <w:numId w:val="2"/>
        </w:numPr>
        <w:spacing w:after="90" w:line="270" w:lineRule="auto"/>
        <w:jc w:val="both"/>
      </w:pPr>
      <w:r>
        <w:t>Throttling and rate limiting through configurable policies (per application, per subscription tier and per API) to protect backend systems under peak load</w:t>
      </w:r>
    </w:p>
    <w:p w14:paraId="1B92FA28" w14:textId="77777777" w:rsidR="00C15A4B" w:rsidRDefault="00673469" w:rsidP="00CB742D">
      <w:pPr>
        <w:pStyle w:val="ListParagraph"/>
        <w:numPr>
          <w:ilvl w:val="0"/>
          <w:numId w:val="2"/>
        </w:numPr>
        <w:spacing w:after="90" w:line="270" w:lineRule="auto"/>
        <w:jc w:val="both"/>
      </w:pPr>
      <w:r>
        <w:t>API versioning and lifecycle management to allow non-breaking evolution of published contracts</w:t>
      </w:r>
    </w:p>
    <w:p w14:paraId="7093A19A" w14:textId="77777777" w:rsidR="00C15A4B" w:rsidRDefault="00673469" w:rsidP="00CB742D">
      <w:pPr>
        <w:pStyle w:val="ListParagraph"/>
        <w:numPr>
          <w:ilvl w:val="0"/>
          <w:numId w:val="2"/>
        </w:numPr>
        <w:spacing w:after="90" w:line="270" w:lineRule="auto"/>
        <w:jc w:val="both"/>
      </w:pPr>
      <w:r>
        <w:t>Full audit logging and analytics of every call for traceability and compliance, forwarded to Splunk</w:t>
      </w:r>
    </w:p>
    <w:p w14:paraId="6AAB7F50" w14:textId="701DEE15" w:rsidR="00C15A4B" w:rsidRDefault="00673469" w:rsidP="00CB742D">
      <w:pPr>
        <w:pStyle w:val="ListParagraph"/>
        <w:numPr>
          <w:ilvl w:val="0"/>
          <w:numId w:val="2"/>
        </w:numPr>
        <w:spacing w:after="90" w:line="270" w:lineRule="auto"/>
        <w:jc w:val="both"/>
      </w:pPr>
      <w:r>
        <w:t xml:space="preserve">Governed data-product publishing, ensuring only </w:t>
      </w:r>
      <w:proofErr w:type="spellStart"/>
      <w:r w:rsidR="00F704C3" w:rsidRPr="00F704C3">
        <w:t>Semarchy</w:t>
      </w:r>
      <w:proofErr w:type="spellEnd"/>
      <w:r w:rsidR="00F704C3" w:rsidRPr="00F704C3">
        <w:t xml:space="preserve"> Data Platform</w:t>
      </w:r>
      <w:r w:rsidR="00F704C3">
        <w:t xml:space="preserve"> </w:t>
      </w:r>
      <w:r>
        <w:t>-registered, quality-certified datasets are exposed externally</w:t>
      </w:r>
    </w:p>
    <w:p w14:paraId="50400F55" w14:textId="77777777" w:rsidR="00C15A4B" w:rsidRDefault="00673469" w:rsidP="00CB742D">
      <w:pPr>
        <w:spacing w:after="160" w:line="276" w:lineRule="auto"/>
        <w:jc w:val="both"/>
      </w:pPr>
      <w:r>
        <w:t>The API Framework is the sole doorway between the governed internal platform (Zones 1-9) and the outside world of consumers (Zone 11); it sits logically between the Central Data Hub / Data Science layer and the Data Consumers layer, ensuring every external interaction is authenticated, throttled, versioned and audited by WSO2 API Manager before it touches production data.</w:t>
      </w:r>
    </w:p>
    <w:p w14:paraId="4498FF9A" w14:textId="77777777" w:rsidR="00C15A4B" w:rsidRDefault="00673469" w:rsidP="00CB742D">
      <w:pPr>
        <w:shd w:val="clear" w:color="auto" w:fill="1F3864"/>
        <w:spacing w:before="400" w:after="160"/>
        <w:jc w:val="both"/>
      </w:pPr>
      <w:r>
        <w:rPr>
          <w:b/>
          <w:bCs/>
          <w:color w:val="FFD966"/>
          <w:sz w:val="26"/>
          <w:szCs w:val="26"/>
        </w:rPr>
        <w:t xml:space="preserve">  11   </w:t>
      </w:r>
      <w:r>
        <w:rPr>
          <w:b/>
          <w:bCs/>
          <w:color w:val="FFFFFF"/>
          <w:sz w:val="26"/>
          <w:szCs w:val="26"/>
        </w:rPr>
        <w:t>DATA CONSUMERS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4000"/>
      </w:tblGrid>
      <w:tr w:rsidR="00C15A4B" w14:paraId="085CB31B" w14:textId="77777777">
        <w:trPr>
          <w:tblHeader/>
        </w:trPr>
        <w:tc>
          <w:tcPr>
            <w:tcW w:w="2600" w:type="dxa"/>
            <w:shd w:val="clear" w:color="auto" w:fill="1F3864"/>
            <w:tcMar>
              <w:top w:w="80" w:type="dxa"/>
              <w:left w:w="100" w:type="dxa"/>
              <w:bottom w:w="80" w:type="dxa"/>
              <w:right w:w="100" w:type="dxa"/>
            </w:tcMar>
            <w:vAlign w:val="center"/>
          </w:tcPr>
          <w:p w14:paraId="3C929AFA" w14:textId="77777777" w:rsidR="00C15A4B" w:rsidRDefault="00673469" w:rsidP="00CB742D">
            <w:pPr>
              <w:jc w:val="both"/>
            </w:pPr>
            <w:r>
              <w:rPr>
                <w:b/>
                <w:bCs/>
                <w:color w:val="FFFFFF"/>
                <w:sz w:val="19"/>
                <w:szCs w:val="19"/>
              </w:rPr>
              <w:t>Component</w:t>
            </w:r>
          </w:p>
        </w:tc>
        <w:tc>
          <w:tcPr>
            <w:tcW w:w="3000" w:type="dxa"/>
            <w:shd w:val="clear" w:color="auto" w:fill="1F3864"/>
            <w:tcMar>
              <w:top w:w="80" w:type="dxa"/>
              <w:left w:w="100" w:type="dxa"/>
              <w:bottom w:w="80" w:type="dxa"/>
              <w:right w:w="100" w:type="dxa"/>
            </w:tcMar>
            <w:vAlign w:val="center"/>
          </w:tcPr>
          <w:p w14:paraId="5F502F1A" w14:textId="77777777" w:rsidR="00C15A4B" w:rsidRDefault="00673469" w:rsidP="00CB742D">
            <w:pPr>
              <w:jc w:val="both"/>
            </w:pPr>
            <w:r>
              <w:rPr>
                <w:b/>
                <w:bCs/>
                <w:color w:val="FFFFFF"/>
                <w:sz w:val="19"/>
                <w:szCs w:val="19"/>
              </w:rPr>
              <w:t>Technology / Product</w:t>
            </w:r>
          </w:p>
        </w:tc>
        <w:tc>
          <w:tcPr>
            <w:tcW w:w="4000" w:type="dxa"/>
            <w:shd w:val="clear" w:color="auto" w:fill="1F3864"/>
            <w:tcMar>
              <w:top w:w="80" w:type="dxa"/>
              <w:left w:w="100" w:type="dxa"/>
              <w:bottom w:w="80" w:type="dxa"/>
              <w:right w:w="100" w:type="dxa"/>
            </w:tcMar>
            <w:vAlign w:val="center"/>
          </w:tcPr>
          <w:p w14:paraId="222BE0D3" w14:textId="77777777" w:rsidR="00C15A4B" w:rsidRDefault="00673469" w:rsidP="00CB742D">
            <w:pPr>
              <w:jc w:val="both"/>
            </w:pPr>
            <w:r>
              <w:rPr>
                <w:b/>
                <w:bCs/>
                <w:color w:val="FFFFFF"/>
                <w:sz w:val="19"/>
                <w:szCs w:val="19"/>
              </w:rPr>
              <w:t>Role &amp; Function</w:t>
            </w:r>
          </w:p>
        </w:tc>
      </w:tr>
      <w:tr w:rsidR="00C15A4B" w14:paraId="0277F284" w14:textId="77777777">
        <w:tc>
          <w:tcPr>
            <w:tcW w:w="2600" w:type="dxa"/>
            <w:shd w:val="clear" w:color="auto" w:fill="FFFFFF"/>
            <w:tcMar>
              <w:top w:w="80" w:type="dxa"/>
              <w:left w:w="100" w:type="dxa"/>
              <w:bottom w:w="80" w:type="dxa"/>
              <w:right w:w="100" w:type="dxa"/>
            </w:tcMar>
            <w:vAlign w:val="center"/>
          </w:tcPr>
          <w:p w14:paraId="674FCBFA" w14:textId="77777777" w:rsidR="00C15A4B" w:rsidRDefault="00673469" w:rsidP="00CB742D">
            <w:pPr>
              <w:jc w:val="both"/>
            </w:pPr>
            <w:r>
              <w:rPr>
                <w:b/>
                <w:bCs/>
                <w:color w:val="000000"/>
                <w:sz w:val="19"/>
                <w:szCs w:val="19"/>
              </w:rPr>
              <w:t>Tableau Server</w:t>
            </w:r>
          </w:p>
        </w:tc>
        <w:tc>
          <w:tcPr>
            <w:tcW w:w="3000" w:type="dxa"/>
            <w:shd w:val="clear" w:color="auto" w:fill="FFFFFF"/>
            <w:tcMar>
              <w:top w:w="80" w:type="dxa"/>
              <w:left w:w="100" w:type="dxa"/>
              <w:bottom w:w="80" w:type="dxa"/>
              <w:right w:w="100" w:type="dxa"/>
            </w:tcMar>
            <w:vAlign w:val="center"/>
          </w:tcPr>
          <w:p w14:paraId="7B51265C" w14:textId="77777777" w:rsidR="00C15A4B" w:rsidRDefault="00673469" w:rsidP="00CB742D">
            <w:pPr>
              <w:jc w:val="both"/>
            </w:pPr>
            <w:r>
              <w:rPr>
                <w:color w:val="000000"/>
                <w:sz w:val="19"/>
                <w:szCs w:val="19"/>
              </w:rPr>
              <w:t>Self-service BI &amp; Dashboards</w:t>
            </w:r>
          </w:p>
        </w:tc>
        <w:tc>
          <w:tcPr>
            <w:tcW w:w="4000" w:type="dxa"/>
            <w:shd w:val="clear" w:color="auto" w:fill="FFFFFF"/>
            <w:tcMar>
              <w:top w:w="80" w:type="dxa"/>
              <w:left w:w="100" w:type="dxa"/>
              <w:bottom w:w="80" w:type="dxa"/>
              <w:right w:w="100" w:type="dxa"/>
            </w:tcMar>
            <w:vAlign w:val="center"/>
          </w:tcPr>
          <w:p w14:paraId="733990E1" w14:textId="77777777" w:rsidR="00C15A4B" w:rsidRDefault="00673469" w:rsidP="00CB742D">
            <w:pPr>
              <w:jc w:val="both"/>
            </w:pPr>
            <w:r>
              <w:rPr>
                <w:color w:val="000000"/>
                <w:sz w:val="19"/>
                <w:szCs w:val="19"/>
              </w:rPr>
              <w:t>Governed self-service analytics for business users and field officers, with row-level security and drill-through to transaction-level detail.</w:t>
            </w:r>
          </w:p>
        </w:tc>
      </w:tr>
      <w:tr w:rsidR="00C15A4B" w14:paraId="1D32EE6C" w14:textId="77777777">
        <w:tc>
          <w:tcPr>
            <w:tcW w:w="2600" w:type="dxa"/>
            <w:shd w:val="clear" w:color="auto" w:fill="F2F2F2"/>
            <w:tcMar>
              <w:top w:w="80" w:type="dxa"/>
              <w:left w:w="100" w:type="dxa"/>
              <w:bottom w:w="80" w:type="dxa"/>
              <w:right w:w="100" w:type="dxa"/>
            </w:tcMar>
            <w:vAlign w:val="center"/>
          </w:tcPr>
          <w:p w14:paraId="4E9F5F49" w14:textId="77777777" w:rsidR="00C15A4B" w:rsidRDefault="00673469" w:rsidP="00CB742D">
            <w:pPr>
              <w:jc w:val="both"/>
            </w:pPr>
            <w:r>
              <w:rPr>
                <w:b/>
                <w:bCs/>
                <w:color w:val="000000"/>
                <w:sz w:val="19"/>
                <w:szCs w:val="19"/>
              </w:rPr>
              <w:t>Oracle Analytics Server (OAS)</w:t>
            </w:r>
          </w:p>
        </w:tc>
        <w:tc>
          <w:tcPr>
            <w:tcW w:w="3000" w:type="dxa"/>
            <w:shd w:val="clear" w:color="auto" w:fill="F2F2F2"/>
            <w:tcMar>
              <w:top w:w="80" w:type="dxa"/>
              <w:left w:w="100" w:type="dxa"/>
              <w:bottom w:w="80" w:type="dxa"/>
              <w:right w:w="100" w:type="dxa"/>
            </w:tcMar>
            <w:vAlign w:val="center"/>
          </w:tcPr>
          <w:p w14:paraId="5317493D" w14:textId="77777777" w:rsidR="00C15A4B" w:rsidRDefault="00673469" w:rsidP="00CB742D">
            <w:pPr>
              <w:jc w:val="both"/>
            </w:pPr>
            <w:r>
              <w:rPr>
                <w:color w:val="000000"/>
                <w:sz w:val="19"/>
                <w:szCs w:val="19"/>
              </w:rPr>
              <w:t>Oracle-native BI, MIS &amp; Pixel-Perfect Reporting</w:t>
            </w:r>
          </w:p>
        </w:tc>
        <w:tc>
          <w:tcPr>
            <w:tcW w:w="4000" w:type="dxa"/>
            <w:shd w:val="clear" w:color="auto" w:fill="F2F2F2"/>
            <w:tcMar>
              <w:top w:w="80" w:type="dxa"/>
              <w:left w:w="100" w:type="dxa"/>
              <w:bottom w:w="80" w:type="dxa"/>
              <w:right w:w="100" w:type="dxa"/>
            </w:tcMar>
            <w:vAlign w:val="center"/>
          </w:tcPr>
          <w:p w14:paraId="3F619236" w14:textId="77777777" w:rsidR="00C15A4B" w:rsidRDefault="00673469" w:rsidP="00CB742D">
            <w:pPr>
              <w:jc w:val="both"/>
            </w:pPr>
            <w:r>
              <w:rPr>
                <w:color w:val="000000"/>
                <w:sz w:val="19"/>
                <w:szCs w:val="19"/>
              </w:rPr>
              <w:t>Production MIS and statutory pixel-perfect/IRIS-style reporting, scheduled distribution and Excel/PDF export.</w:t>
            </w:r>
          </w:p>
        </w:tc>
      </w:tr>
      <w:tr w:rsidR="00C15A4B" w14:paraId="19ED4A04" w14:textId="77777777">
        <w:tc>
          <w:tcPr>
            <w:tcW w:w="2600" w:type="dxa"/>
            <w:shd w:val="clear" w:color="auto" w:fill="FFFFFF"/>
            <w:tcMar>
              <w:top w:w="80" w:type="dxa"/>
              <w:left w:w="100" w:type="dxa"/>
              <w:bottom w:w="80" w:type="dxa"/>
              <w:right w:w="100" w:type="dxa"/>
            </w:tcMar>
            <w:vAlign w:val="center"/>
          </w:tcPr>
          <w:p w14:paraId="45F15FAE" w14:textId="77777777" w:rsidR="00C15A4B" w:rsidRDefault="00673469" w:rsidP="00CB742D">
            <w:pPr>
              <w:jc w:val="both"/>
            </w:pPr>
            <w:r>
              <w:rPr>
                <w:b/>
                <w:bCs/>
                <w:color w:val="000000"/>
                <w:sz w:val="19"/>
                <w:szCs w:val="19"/>
              </w:rPr>
              <w:t>Information Delivery</w:t>
            </w:r>
          </w:p>
        </w:tc>
        <w:tc>
          <w:tcPr>
            <w:tcW w:w="3000" w:type="dxa"/>
            <w:shd w:val="clear" w:color="auto" w:fill="FFFFFF"/>
            <w:tcMar>
              <w:top w:w="80" w:type="dxa"/>
              <w:left w:w="100" w:type="dxa"/>
              <w:bottom w:w="80" w:type="dxa"/>
              <w:right w:w="100" w:type="dxa"/>
            </w:tcMar>
            <w:vAlign w:val="center"/>
          </w:tcPr>
          <w:p w14:paraId="57F063C3" w14:textId="77777777" w:rsidR="00C15A4B" w:rsidRDefault="00673469" w:rsidP="00CB742D">
            <w:pPr>
              <w:jc w:val="both"/>
            </w:pPr>
            <w:r>
              <w:rPr>
                <w:color w:val="000000"/>
                <w:sz w:val="19"/>
                <w:szCs w:val="19"/>
              </w:rPr>
              <w:t>Reports / Dashboards / Portals</w:t>
            </w:r>
          </w:p>
        </w:tc>
        <w:tc>
          <w:tcPr>
            <w:tcW w:w="4000" w:type="dxa"/>
            <w:shd w:val="clear" w:color="auto" w:fill="FFFFFF"/>
            <w:tcMar>
              <w:top w:w="80" w:type="dxa"/>
              <w:left w:w="100" w:type="dxa"/>
              <w:bottom w:w="80" w:type="dxa"/>
              <w:right w:w="100" w:type="dxa"/>
            </w:tcMar>
            <w:vAlign w:val="center"/>
          </w:tcPr>
          <w:p w14:paraId="3C30099B" w14:textId="77777777" w:rsidR="00C15A4B" w:rsidRDefault="00673469" w:rsidP="00CB742D">
            <w:pPr>
              <w:jc w:val="both"/>
            </w:pPr>
            <w:r>
              <w:rPr>
                <w:color w:val="000000"/>
                <w:sz w:val="19"/>
                <w:szCs w:val="19"/>
              </w:rPr>
              <w:t>Curated delivery of certified reports and dashboards to designated business portals.</w:t>
            </w:r>
          </w:p>
        </w:tc>
      </w:tr>
      <w:tr w:rsidR="00C15A4B" w14:paraId="56CE702F" w14:textId="77777777">
        <w:tc>
          <w:tcPr>
            <w:tcW w:w="2600" w:type="dxa"/>
            <w:shd w:val="clear" w:color="auto" w:fill="F2F2F2"/>
            <w:tcMar>
              <w:top w:w="80" w:type="dxa"/>
              <w:left w:w="100" w:type="dxa"/>
              <w:bottom w:w="80" w:type="dxa"/>
              <w:right w:w="100" w:type="dxa"/>
            </w:tcMar>
            <w:vAlign w:val="center"/>
          </w:tcPr>
          <w:p w14:paraId="3F3D329A" w14:textId="77777777" w:rsidR="00C15A4B" w:rsidRDefault="00673469" w:rsidP="00CB742D">
            <w:pPr>
              <w:jc w:val="both"/>
            </w:pPr>
            <w:r>
              <w:rPr>
                <w:b/>
                <w:bCs/>
                <w:color w:val="000000"/>
                <w:sz w:val="19"/>
                <w:szCs w:val="19"/>
              </w:rPr>
              <w:t>Cloudera AI</w:t>
            </w:r>
          </w:p>
        </w:tc>
        <w:tc>
          <w:tcPr>
            <w:tcW w:w="3000" w:type="dxa"/>
            <w:shd w:val="clear" w:color="auto" w:fill="F2F2F2"/>
            <w:tcMar>
              <w:top w:w="80" w:type="dxa"/>
              <w:left w:w="100" w:type="dxa"/>
              <w:bottom w:w="80" w:type="dxa"/>
              <w:right w:w="100" w:type="dxa"/>
            </w:tcMar>
            <w:vAlign w:val="center"/>
          </w:tcPr>
          <w:p w14:paraId="29CB0BCC" w14:textId="77777777" w:rsidR="00C15A4B" w:rsidRDefault="00673469" w:rsidP="00CB742D">
            <w:pPr>
              <w:jc w:val="both"/>
            </w:pPr>
            <w:r>
              <w:rPr>
                <w:color w:val="000000"/>
                <w:sz w:val="19"/>
                <w:szCs w:val="19"/>
              </w:rPr>
              <w:t>AI/ML Consumption &amp; Inference</w:t>
            </w:r>
          </w:p>
        </w:tc>
        <w:tc>
          <w:tcPr>
            <w:tcW w:w="4000" w:type="dxa"/>
            <w:shd w:val="clear" w:color="auto" w:fill="F2F2F2"/>
            <w:tcMar>
              <w:top w:w="80" w:type="dxa"/>
              <w:left w:w="100" w:type="dxa"/>
              <w:bottom w:w="80" w:type="dxa"/>
              <w:right w:w="100" w:type="dxa"/>
            </w:tcMar>
            <w:vAlign w:val="center"/>
          </w:tcPr>
          <w:p w14:paraId="6D906062" w14:textId="77777777" w:rsidR="00C15A4B" w:rsidRDefault="00673469" w:rsidP="00CB742D">
            <w:pPr>
              <w:jc w:val="both"/>
            </w:pPr>
            <w:r>
              <w:rPr>
                <w:color w:val="000000"/>
                <w:sz w:val="19"/>
                <w:szCs w:val="19"/>
              </w:rPr>
              <w:t>Serves trained model predictions (risk scores, anomaly flags, forecasts) to downstream business processes.</w:t>
            </w:r>
          </w:p>
        </w:tc>
      </w:tr>
      <w:tr w:rsidR="00C15A4B" w14:paraId="61BCE25D" w14:textId="77777777">
        <w:tc>
          <w:tcPr>
            <w:tcW w:w="2600" w:type="dxa"/>
            <w:shd w:val="clear" w:color="auto" w:fill="FFFFFF"/>
            <w:tcMar>
              <w:top w:w="80" w:type="dxa"/>
              <w:left w:w="100" w:type="dxa"/>
              <w:bottom w:w="80" w:type="dxa"/>
              <w:right w:w="100" w:type="dxa"/>
            </w:tcMar>
            <w:vAlign w:val="center"/>
          </w:tcPr>
          <w:p w14:paraId="48B29A28" w14:textId="77777777" w:rsidR="00C15A4B" w:rsidRDefault="00673469" w:rsidP="00CB742D">
            <w:pPr>
              <w:jc w:val="both"/>
            </w:pPr>
            <w:r>
              <w:rPr>
                <w:b/>
                <w:bCs/>
                <w:color w:val="000000"/>
                <w:sz w:val="19"/>
                <w:szCs w:val="19"/>
              </w:rPr>
              <w:t>In-house Application Integration</w:t>
            </w:r>
          </w:p>
        </w:tc>
        <w:tc>
          <w:tcPr>
            <w:tcW w:w="3000" w:type="dxa"/>
            <w:shd w:val="clear" w:color="auto" w:fill="FFFFFF"/>
            <w:tcMar>
              <w:top w:w="80" w:type="dxa"/>
              <w:left w:w="100" w:type="dxa"/>
              <w:bottom w:w="80" w:type="dxa"/>
              <w:right w:w="100" w:type="dxa"/>
            </w:tcMar>
            <w:vAlign w:val="center"/>
          </w:tcPr>
          <w:p w14:paraId="06D0DDA1" w14:textId="77777777" w:rsidR="00C15A4B" w:rsidRDefault="00673469" w:rsidP="00CB742D">
            <w:pPr>
              <w:jc w:val="both"/>
            </w:pPr>
            <w:r>
              <w:rPr>
                <w:color w:val="000000"/>
                <w:sz w:val="19"/>
                <w:szCs w:val="19"/>
              </w:rPr>
              <w:t>Business Applications</w:t>
            </w:r>
          </w:p>
        </w:tc>
        <w:tc>
          <w:tcPr>
            <w:tcW w:w="4000" w:type="dxa"/>
            <w:shd w:val="clear" w:color="auto" w:fill="FFFFFF"/>
            <w:tcMar>
              <w:top w:w="80" w:type="dxa"/>
              <w:left w:w="100" w:type="dxa"/>
              <w:bottom w:w="80" w:type="dxa"/>
              <w:right w:w="100" w:type="dxa"/>
            </w:tcMar>
            <w:vAlign w:val="center"/>
          </w:tcPr>
          <w:p w14:paraId="15D32EF3" w14:textId="77777777" w:rsidR="00C15A4B" w:rsidRDefault="00673469" w:rsidP="00CB742D">
            <w:pPr>
              <w:jc w:val="both"/>
            </w:pPr>
            <w:r>
              <w:rPr>
                <w:color w:val="000000"/>
                <w:sz w:val="19"/>
                <w:szCs w:val="19"/>
              </w:rPr>
              <w:t>Internal FBR/PRAL applications (e.g., Faceless Assessment Center) consuming embedded analytics and APIs.</w:t>
            </w:r>
          </w:p>
        </w:tc>
      </w:tr>
      <w:tr w:rsidR="00C15A4B" w14:paraId="61D3E337" w14:textId="77777777">
        <w:tc>
          <w:tcPr>
            <w:tcW w:w="2600" w:type="dxa"/>
            <w:shd w:val="clear" w:color="auto" w:fill="F2F2F2"/>
            <w:tcMar>
              <w:top w:w="80" w:type="dxa"/>
              <w:left w:w="100" w:type="dxa"/>
              <w:bottom w:w="80" w:type="dxa"/>
              <w:right w:w="100" w:type="dxa"/>
            </w:tcMar>
            <w:vAlign w:val="center"/>
          </w:tcPr>
          <w:p w14:paraId="2644EB92" w14:textId="77777777" w:rsidR="00C15A4B" w:rsidRDefault="00673469" w:rsidP="00CB742D">
            <w:pPr>
              <w:jc w:val="both"/>
            </w:pPr>
            <w:r>
              <w:rPr>
                <w:b/>
                <w:bCs/>
                <w:color w:val="000000"/>
                <w:sz w:val="19"/>
                <w:szCs w:val="19"/>
              </w:rPr>
              <w:t>Third-Party Systems Integration</w:t>
            </w:r>
          </w:p>
        </w:tc>
        <w:tc>
          <w:tcPr>
            <w:tcW w:w="3000" w:type="dxa"/>
            <w:shd w:val="clear" w:color="auto" w:fill="F2F2F2"/>
            <w:tcMar>
              <w:top w:w="80" w:type="dxa"/>
              <w:left w:w="100" w:type="dxa"/>
              <w:bottom w:w="80" w:type="dxa"/>
              <w:right w:w="100" w:type="dxa"/>
            </w:tcMar>
            <w:vAlign w:val="center"/>
          </w:tcPr>
          <w:p w14:paraId="3D0DF517" w14:textId="77777777" w:rsidR="00C15A4B" w:rsidRDefault="00673469" w:rsidP="00CB742D">
            <w:pPr>
              <w:jc w:val="both"/>
            </w:pPr>
            <w:r>
              <w:rPr>
                <w:color w:val="000000"/>
                <w:sz w:val="19"/>
                <w:szCs w:val="19"/>
              </w:rPr>
              <w:t>Partners / External Systems</w:t>
            </w:r>
          </w:p>
        </w:tc>
        <w:tc>
          <w:tcPr>
            <w:tcW w:w="4000" w:type="dxa"/>
            <w:shd w:val="clear" w:color="auto" w:fill="F2F2F2"/>
            <w:tcMar>
              <w:top w:w="80" w:type="dxa"/>
              <w:left w:w="100" w:type="dxa"/>
              <w:bottom w:w="80" w:type="dxa"/>
              <w:right w:w="100" w:type="dxa"/>
            </w:tcMar>
            <w:vAlign w:val="center"/>
          </w:tcPr>
          <w:p w14:paraId="5B803DE8" w14:textId="77777777" w:rsidR="00C15A4B" w:rsidRDefault="00673469" w:rsidP="00CB742D">
            <w:pPr>
              <w:jc w:val="both"/>
            </w:pPr>
            <w:r>
              <w:rPr>
                <w:color w:val="000000"/>
                <w:sz w:val="19"/>
                <w:szCs w:val="19"/>
              </w:rPr>
              <w:t>Controlled, API-gated data exchange with external agencies and partner institutions.</w:t>
            </w:r>
          </w:p>
        </w:tc>
      </w:tr>
    </w:tbl>
    <w:p w14:paraId="18C0B170" w14:textId="77777777" w:rsidR="00C15A4B" w:rsidRDefault="00673469" w:rsidP="00CB742D">
      <w:pPr>
        <w:spacing w:after="160" w:line="276" w:lineRule="auto"/>
        <w:jc w:val="both"/>
      </w:pPr>
      <w:r>
        <w:lastRenderedPageBreak/>
        <w:t>Every consumer in this zone accesses data exclusively through the governed paths established upstream — either directly against certified Gold-layer data products (for BI tools with native connectivity) or through the API Framework (for applications, partners and AI inference consumers) — ensuring consistent RBAC/ABAC enforcement and full auditability regardless of consumption channel.</w:t>
      </w:r>
    </w:p>
    <w:p w14:paraId="1A36D33F" w14:textId="77777777" w:rsidR="00C15A4B" w:rsidRDefault="00673469" w:rsidP="00B53FA3">
      <w:pPr>
        <w:pStyle w:val="Heading2"/>
        <w:pBdr>
          <w:bottom w:val="single" w:sz="8" w:space="4" w:color="1F3864"/>
        </w:pBdr>
        <w:spacing w:before="360" w:after="180"/>
        <w:jc w:val="both"/>
      </w:pPr>
      <w:bookmarkStart w:id="5" w:name="_Toc243538496"/>
      <w:r>
        <w:rPr>
          <w:b/>
          <w:bCs/>
          <w:color w:val="1F3864"/>
          <w:sz w:val="30"/>
          <w:szCs w:val="30"/>
        </w:rPr>
        <w:t>5. End-to-End Data Flow — How the Platform Works</w:t>
      </w:r>
      <w:bookmarkEnd w:id="5"/>
    </w:p>
    <w:p w14:paraId="4452D361" w14:textId="77777777" w:rsidR="00C15A4B" w:rsidRDefault="00673469" w:rsidP="00B53FA3">
      <w:pPr>
        <w:spacing w:after="160" w:line="276" w:lineRule="auto"/>
        <w:jc w:val="both"/>
      </w:pPr>
      <w:r>
        <w:t>The following walk-through traces a single record — for example, a sales-tax invoice update in IRIS — from the moment it is created in a source system to the moment it informs an officer's risk-prioritized case list, illustrating how all eleven zones and the four cross-cutting layers work together as one coherent system.</w:t>
      </w:r>
    </w:p>
    <w:p w14:paraId="3884129F" w14:textId="77777777" w:rsidR="00C15A4B" w:rsidRDefault="00673469" w:rsidP="00B53FA3">
      <w:pPr>
        <w:pStyle w:val="Heading3"/>
        <w:spacing w:before="280" w:after="140"/>
        <w:jc w:val="both"/>
      </w:pPr>
      <w:bookmarkStart w:id="6" w:name="_Toc243538497"/>
      <w:r>
        <w:rPr>
          <w:b/>
          <w:bCs/>
          <w:color w:val="2E5FA3"/>
          <w:sz w:val="25"/>
          <w:szCs w:val="25"/>
        </w:rPr>
        <w:t>Step 1 — Capture at Source</w:t>
      </w:r>
      <w:bookmarkEnd w:id="6"/>
    </w:p>
    <w:p w14:paraId="3DCB2432" w14:textId="77777777" w:rsidR="00C15A4B" w:rsidRDefault="00673469" w:rsidP="00B53FA3">
      <w:pPr>
        <w:spacing w:after="160" w:line="276" w:lineRule="auto"/>
        <w:jc w:val="both"/>
      </w:pPr>
      <w:r>
        <w:t xml:space="preserve">A transaction occurs in an Oracle-based source system (e.g., IRIS running on Oracle EBS/ERP). Oracle </w:t>
      </w:r>
      <w:proofErr w:type="spellStart"/>
      <w:r>
        <w:t>GoldenGate</w:t>
      </w:r>
      <w:proofErr w:type="spellEnd"/>
      <w:r>
        <w:t xml:space="preserve"> 26ai mines the database redo log in real time, capturing the INSERT/UPDATE/DELETE event with sub-second latency and zero impact on the live transactional system. In parallel, other sources — SQL Server systems via log parsing, partner systems via REST/SOAP APIs, and file-based feeds via SFTP — are captured by Apache </w:t>
      </w:r>
      <w:proofErr w:type="spellStart"/>
      <w:r>
        <w:t>NiFi</w:t>
      </w:r>
      <w:proofErr w:type="spellEnd"/>
      <w:r>
        <w:t xml:space="preserve"> on their own schedules (batch, API-triggered, or event-driven).</w:t>
      </w:r>
    </w:p>
    <w:p w14:paraId="3538621D" w14:textId="77777777" w:rsidR="00C15A4B" w:rsidRDefault="00673469" w:rsidP="00B53FA3">
      <w:pPr>
        <w:pStyle w:val="Heading3"/>
        <w:spacing w:before="280" w:after="140"/>
        <w:jc w:val="both"/>
      </w:pPr>
      <w:bookmarkStart w:id="7" w:name="_Toc243538498"/>
      <w:r>
        <w:rPr>
          <w:b/>
          <w:bCs/>
          <w:color w:val="2E5FA3"/>
          <w:sz w:val="25"/>
          <w:szCs w:val="25"/>
        </w:rPr>
        <w:t>Step 2 — Ingestion &amp; Streaming</w:t>
      </w:r>
      <w:bookmarkEnd w:id="7"/>
    </w:p>
    <w:p w14:paraId="4F18C51B" w14:textId="5F7D154A" w:rsidR="00C15A4B" w:rsidRDefault="00673469" w:rsidP="00B53FA3">
      <w:pPr>
        <w:spacing w:after="160" w:line="276" w:lineRule="auto"/>
        <w:jc w:val="both"/>
      </w:pPr>
      <w:r>
        <w:t xml:space="preserve">Captured change events are published onto Cloudera Streams (Kafka) topics, which act as the durable, </w:t>
      </w:r>
      <w:proofErr w:type="spellStart"/>
      <w:r>
        <w:t>replayable</w:t>
      </w:r>
      <w:proofErr w:type="spellEnd"/>
      <w:r>
        <w:t xml:space="preserve"> backbone for all downstream consumers. Cloudera Streaming Analytics (Apache Flink) can process events in true real time (milliseconds to seconds) for time-critical use cases, while near-real-time consumers process the same topics in configurable micro-batches (seconds to minutes). Every event carries source-system identifier, ingestion timestamp and sequence metadata as it moves — data quality and schema-validation checks (</w:t>
      </w:r>
      <w:r w:rsidR="00F704C3">
        <w:t xml:space="preserve">SEMARCHY DATA </w:t>
      </w:r>
      <w:proofErr w:type="spellStart"/>
      <w:r w:rsidR="00F704C3">
        <w:t>PLATFORM</w:t>
      </w:r>
      <w:r>
        <w:t>data</w:t>
      </w:r>
      <w:proofErr w:type="spellEnd"/>
      <w:r>
        <w:t xml:space="preserve"> quality rules) run inline at this point, and any record failing a critical rule is quarantined without halting the pipeline.</w:t>
      </w:r>
    </w:p>
    <w:p w14:paraId="044E7D18" w14:textId="77777777" w:rsidR="00C15A4B" w:rsidRDefault="00673469" w:rsidP="00B53FA3">
      <w:pPr>
        <w:pStyle w:val="Heading3"/>
        <w:spacing w:before="280" w:after="140"/>
        <w:jc w:val="both"/>
      </w:pPr>
      <w:bookmarkStart w:id="8" w:name="_Toc243538499"/>
      <w:r>
        <w:rPr>
          <w:b/>
          <w:bCs/>
          <w:color w:val="2E5FA3"/>
          <w:sz w:val="25"/>
          <w:szCs w:val="25"/>
        </w:rPr>
        <w:t>Step 3 — Landing in the Bronze Layer</w:t>
      </w:r>
      <w:bookmarkEnd w:id="8"/>
    </w:p>
    <w:p w14:paraId="5221C4DB" w14:textId="77777777" w:rsidR="00C15A4B" w:rsidRDefault="00673469" w:rsidP="00B53FA3">
      <w:pPr>
        <w:spacing w:after="160" w:line="276" w:lineRule="auto"/>
        <w:jc w:val="both"/>
      </w:pPr>
      <w:r>
        <w:t xml:space="preserve">Validated events are written to the HPE </w:t>
      </w:r>
      <w:proofErr w:type="spellStart"/>
      <w:r>
        <w:t>Alletra</w:t>
      </w:r>
      <w:proofErr w:type="spellEnd"/>
      <w:r>
        <w:t xml:space="preserve"> Storage MP X10000 object store in open Parquet/Iceberg format, landing in the Bronze Layer of the Central Data Hub in source-faithful schema. This raw, immutable layer is automatically partitioned by ingestion date, source system and domain, giving the platform a permanent, </w:t>
      </w:r>
      <w:proofErr w:type="spellStart"/>
      <w:r>
        <w:t>replayable</w:t>
      </w:r>
      <w:proofErr w:type="spellEnd"/>
      <w:r>
        <w:t xml:space="preserve"> record of everything received — the foundation for both audit defensibility and pipeline reprocessing.</w:t>
      </w:r>
    </w:p>
    <w:p w14:paraId="7489D5CE" w14:textId="77777777" w:rsidR="00C15A4B" w:rsidRDefault="00673469" w:rsidP="00B53FA3">
      <w:pPr>
        <w:pStyle w:val="Heading3"/>
        <w:spacing w:before="280" w:after="140"/>
        <w:jc w:val="both"/>
      </w:pPr>
      <w:bookmarkStart w:id="9" w:name="_Toc243538500"/>
      <w:r>
        <w:rPr>
          <w:b/>
          <w:bCs/>
          <w:color w:val="2E5FA3"/>
          <w:sz w:val="25"/>
          <w:szCs w:val="25"/>
        </w:rPr>
        <w:t>Step 4 — Transformation into the Silver Layer</w:t>
      </w:r>
      <w:bookmarkEnd w:id="9"/>
    </w:p>
    <w:p w14:paraId="66DC2E47" w14:textId="38147AF5" w:rsidR="00C15A4B" w:rsidRDefault="00673469" w:rsidP="00B53FA3">
      <w:pPr>
        <w:spacing w:after="160" w:line="276" w:lineRule="auto"/>
        <w:jc w:val="both"/>
      </w:pPr>
      <w:r>
        <w:t xml:space="preserve">Oracle Data Integrator (ELT logic) and Cloudera Data Engineering (Spark jobs, orchestrated by Airflow as Directed Acyclic Graphs) read </w:t>
      </w:r>
      <w:proofErr w:type="gramStart"/>
      <w:r>
        <w:t>Bronze</w:t>
      </w:r>
      <w:proofErr w:type="gramEnd"/>
      <w:r>
        <w:t xml:space="preserve"> data and apply conforming, cleansing and historization logic. Core business entities — NTN, CNIC, STRN, invoice identifiers — are resolved and linked across source systems using identity-resolution logic, with point-in-time structures preserving every historical state for legal defensibility. </w:t>
      </w:r>
      <w:r w:rsidR="00F704C3">
        <w:t xml:space="preserve">SEMARCHY DATA </w:t>
      </w:r>
      <w:proofErr w:type="spellStart"/>
      <w:r w:rsidR="00F704C3">
        <w:t>PLATFORM</w:t>
      </w:r>
      <w:r>
        <w:t>simultaneously</w:t>
      </w:r>
      <w:proofErr w:type="spellEnd"/>
      <w:r>
        <w:t xml:space="preserve"> resolves the record against Master Data (is this NTN already a known Golden Record for this taxpayer?) and validates any coded values (tax type, filing status) against the governed Reference Data Registry.  data quality rules re-run at this transformation checkpoint, computing a Data Quality Score; records below threshold are quarantined for stewardship review </w:t>
      </w:r>
      <w:proofErr w:type="gramStart"/>
      <w:r>
        <w:t>through  workflows</w:t>
      </w:r>
      <w:proofErr w:type="gramEnd"/>
      <w:r>
        <w:t xml:space="preserve"> rather than silently dropped or silently passed through.</w:t>
      </w:r>
    </w:p>
    <w:p w14:paraId="27E8501B" w14:textId="77777777" w:rsidR="00C15A4B" w:rsidRDefault="00673469" w:rsidP="00B53FA3">
      <w:pPr>
        <w:pStyle w:val="Heading3"/>
        <w:spacing w:before="280" w:after="140"/>
        <w:jc w:val="both"/>
      </w:pPr>
      <w:bookmarkStart w:id="10" w:name="_Toc243538501"/>
      <w:r>
        <w:rPr>
          <w:b/>
          <w:bCs/>
          <w:color w:val="2E5FA3"/>
          <w:sz w:val="25"/>
          <w:szCs w:val="25"/>
        </w:rPr>
        <w:t>Step 5 — Publication to the Gold Layer</w:t>
      </w:r>
      <w:bookmarkEnd w:id="10"/>
    </w:p>
    <w:p w14:paraId="1655EE62" w14:textId="3C978DBA" w:rsidR="00C15A4B" w:rsidRDefault="00673469" w:rsidP="00B53FA3">
      <w:pPr>
        <w:spacing w:after="160" w:line="276" w:lineRule="auto"/>
        <w:jc w:val="both"/>
      </w:pPr>
      <w:r>
        <w:lastRenderedPageBreak/>
        <w:t xml:space="preserve">Once certified, data is promoted into the Gold Layer as part of a dimensional, star/snowflake-modelled data product — for example, an update to the Taxpayer 360 Profile or Compliance Behavior data product. Publication is gated: a dataset whose composite Data Quality Score falls below the configured minimum is withheld from the analytical layer until a data steward remediates and re-certifies it. Successfully published data receives a Data Quality Certificate recorded in the </w:t>
      </w:r>
      <w:r w:rsidR="00F704C3">
        <w:t xml:space="preserve">SEMARCHY DATA </w:t>
      </w:r>
      <w:proofErr w:type="spellStart"/>
      <w:r w:rsidR="00F704C3">
        <w:t>PLATFORM</w:t>
      </w:r>
      <w:r>
        <w:t>repository</w:t>
      </w:r>
      <w:proofErr w:type="spellEnd"/>
      <w:r>
        <w:t xml:space="preserve">, and full lineage — from the originating IRIS record through every transformation step to this Gold-layer row — is captured as a </w:t>
      </w:r>
      <w:proofErr w:type="spellStart"/>
      <w:r>
        <w:t>queryable</w:t>
      </w:r>
      <w:proofErr w:type="spellEnd"/>
      <w:r>
        <w:t>, visualizable directed graph.</w:t>
      </w:r>
    </w:p>
    <w:p w14:paraId="79A6DF85" w14:textId="77777777" w:rsidR="00C15A4B" w:rsidRDefault="00673469" w:rsidP="00B53FA3">
      <w:pPr>
        <w:pStyle w:val="Heading3"/>
        <w:spacing w:before="280" w:after="140"/>
        <w:jc w:val="both"/>
      </w:pPr>
      <w:bookmarkStart w:id="11" w:name="_Toc243538502"/>
      <w:r>
        <w:rPr>
          <w:b/>
          <w:bCs/>
          <w:color w:val="2E5FA3"/>
          <w:sz w:val="25"/>
          <w:szCs w:val="25"/>
        </w:rPr>
        <w:t>Step 6 — Serving via the Cache Layer</w:t>
      </w:r>
      <w:bookmarkEnd w:id="11"/>
    </w:p>
    <w:p w14:paraId="11D9DAD2" w14:textId="77777777" w:rsidR="00C15A4B" w:rsidRDefault="00673469" w:rsidP="00B53FA3">
      <w:pPr>
        <w:spacing w:after="160" w:line="276" w:lineRule="auto"/>
        <w:jc w:val="both"/>
      </w:pPr>
      <w:r>
        <w:t>For data products requiring sub-millisecond access — Taxpayer 360 profiles, current risk scores, reference lookups — Gold-layer changes trigger an invalidation/refresh event to the Redis Enterprise in-memory Cache Layer, which becomes the primary read path for the API tier and the online feature store for AI/ML inference, rather than every API call hitting the MPP warehouse directly. Redis Enterprise replicates the refreshed keys across its cluster nodes, so reads remain available during node failures.</w:t>
      </w:r>
    </w:p>
    <w:p w14:paraId="6DAC542C" w14:textId="77777777" w:rsidR="00C15A4B" w:rsidRDefault="00673469" w:rsidP="00B53FA3">
      <w:pPr>
        <w:pStyle w:val="Heading3"/>
        <w:spacing w:before="280" w:after="140"/>
        <w:jc w:val="both"/>
      </w:pPr>
      <w:bookmarkStart w:id="12" w:name="_Toc243538503"/>
      <w:r>
        <w:rPr>
          <w:b/>
          <w:bCs/>
          <w:color w:val="2E5FA3"/>
          <w:sz w:val="25"/>
          <w:szCs w:val="25"/>
        </w:rPr>
        <w:t>Step 7 — AI/ML Scoring</w:t>
      </w:r>
      <w:bookmarkEnd w:id="12"/>
    </w:p>
    <w:p w14:paraId="07260A6F" w14:textId="77777777" w:rsidR="00C15A4B" w:rsidRDefault="00673469" w:rsidP="00B53FA3">
      <w:pPr>
        <w:spacing w:after="160" w:line="276" w:lineRule="auto"/>
        <w:jc w:val="both"/>
      </w:pPr>
      <w:r>
        <w:t xml:space="preserve">In parallel, Cloudera AI and its Feature Store consume the refreshed features to run or refresh predictive models — risk scoring, anomaly detection, compliance-behavior forecasting, and case-prioritization models — with full experiment tracking, model registry and lineage back to the exact training-dataset version, satisfying </w:t>
      </w:r>
      <w:proofErr w:type="spellStart"/>
      <w:r>
        <w:t>MLOps</w:t>
      </w:r>
      <w:proofErr w:type="spellEnd"/>
      <w:r>
        <w:t xml:space="preserve"> governance and audit requirements. Model outputs are written back into the platform as new governed data products, following the same Silver-to-</w:t>
      </w:r>
      <w:proofErr w:type="gramStart"/>
      <w:r>
        <w:t>Gold</w:t>
      </w:r>
      <w:proofErr w:type="gramEnd"/>
      <w:r>
        <w:t xml:space="preserve"> certification path as any other data.</w:t>
      </w:r>
    </w:p>
    <w:p w14:paraId="596AEDE8" w14:textId="77777777" w:rsidR="00C15A4B" w:rsidRDefault="00673469" w:rsidP="00B53FA3">
      <w:pPr>
        <w:pStyle w:val="Heading3"/>
        <w:spacing w:before="280" w:after="140"/>
        <w:jc w:val="both"/>
      </w:pPr>
      <w:bookmarkStart w:id="13" w:name="_Toc243538504"/>
      <w:r>
        <w:rPr>
          <w:b/>
          <w:bCs/>
          <w:color w:val="2E5FA3"/>
          <w:sz w:val="25"/>
          <w:szCs w:val="25"/>
        </w:rPr>
        <w:t>Step 8 — Exposure through the API Framework</w:t>
      </w:r>
      <w:bookmarkEnd w:id="13"/>
    </w:p>
    <w:p w14:paraId="7635D636" w14:textId="77777777" w:rsidR="00C15A4B" w:rsidRDefault="00673469" w:rsidP="00B53FA3">
      <w:pPr>
        <w:spacing w:after="160" w:line="276" w:lineRule="auto"/>
        <w:jc w:val="both"/>
      </w:pPr>
      <w:r>
        <w:t xml:space="preserve">Both the certified data products and the AI/ML outputs are exposed externally only through the WSO2 API Manager. Every call is authenticated against </w:t>
      </w:r>
      <w:proofErr w:type="spellStart"/>
      <w:r>
        <w:t>Keycloak</w:t>
      </w:r>
      <w:proofErr w:type="spellEnd"/>
      <w:r>
        <w:t xml:space="preserve">/AD (OAuth 2.0 / JWT / API key / </w:t>
      </w:r>
      <w:proofErr w:type="spellStart"/>
      <w:r>
        <w:t>mTLS</w:t>
      </w:r>
      <w:proofErr w:type="spellEnd"/>
      <w:r>
        <w:t>), checked against RBAC/ABAC policy, throttled to protect the backend, versioned for contract stability, and logged for audit — before any response leaves the platform boundary.</w:t>
      </w:r>
    </w:p>
    <w:p w14:paraId="0A67DC44" w14:textId="77777777" w:rsidR="00C15A4B" w:rsidRDefault="00673469" w:rsidP="00B53FA3">
      <w:pPr>
        <w:pStyle w:val="Heading3"/>
        <w:spacing w:before="280" w:after="140"/>
        <w:jc w:val="both"/>
      </w:pPr>
      <w:bookmarkStart w:id="14" w:name="_Toc243538505"/>
      <w:r>
        <w:rPr>
          <w:b/>
          <w:bCs/>
          <w:color w:val="2E5FA3"/>
          <w:sz w:val="25"/>
          <w:szCs w:val="25"/>
        </w:rPr>
        <w:t>Step 9 — Consumption</w:t>
      </w:r>
      <w:bookmarkEnd w:id="14"/>
    </w:p>
    <w:p w14:paraId="4D79DFEA" w14:textId="77777777" w:rsidR="00C15A4B" w:rsidRDefault="00673469" w:rsidP="00B53FA3">
      <w:pPr>
        <w:spacing w:after="160" w:line="276" w:lineRule="auto"/>
        <w:jc w:val="both"/>
      </w:pPr>
      <w:r>
        <w:t>The same governed record is now consumable through multiple channels simultaneously: an FBR officer opens a Tableau or OAS dashboard showing an updated risk-prioritized case list with drill-through to the underlying transaction; the Faceless Assessment Center application calls the API to display the Taxpayer 360 Profile inline; and an authorized partner agency retrieves a governed extract through the API Framework — all drawing on the identical certified Gold-layer/Cache-layer data, guaranteeing that every consumer sees a single, consistent version of the truth.</w:t>
      </w:r>
    </w:p>
    <w:p w14:paraId="578FEB39" w14:textId="77777777" w:rsidR="00C15A4B" w:rsidRDefault="00673469" w:rsidP="00B53FA3">
      <w:pPr>
        <w:pStyle w:val="Heading3"/>
        <w:spacing w:before="280" w:after="140"/>
        <w:jc w:val="both"/>
      </w:pPr>
      <w:bookmarkStart w:id="15" w:name="_Toc243538506"/>
      <w:r>
        <w:rPr>
          <w:b/>
          <w:bCs/>
          <w:color w:val="2E5FA3"/>
          <w:sz w:val="25"/>
          <w:szCs w:val="25"/>
        </w:rPr>
        <w:t>Step 10 — Continuous Governance, Security &amp; Observability (throughout)</w:t>
      </w:r>
      <w:bookmarkEnd w:id="15"/>
    </w:p>
    <w:p w14:paraId="473FD408" w14:textId="50CECD31" w:rsidR="00C15A4B" w:rsidRDefault="00673469" w:rsidP="00CB742D">
      <w:pPr>
        <w:spacing w:after="160" w:line="276" w:lineRule="auto"/>
        <w:jc w:val="both"/>
      </w:pPr>
      <w:r>
        <w:t>At every one of the nine steps above, three horizontal layers are continuously active rather than invoked at the end: Security (</w:t>
      </w:r>
      <w:proofErr w:type="spellStart"/>
      <w:r>
        <w:t>Keycloak</w:t>
      </w:r>
      <w:proofErr w:type="spellEnd"/>
      <w:r>
        <w:t>/AD identity, TLS in transit, TDE at rest, dynamic masking on sensitive columns, and audit logging to Splunk of every access); High Availability (RAC/Data Guard/</w:t>
      </w:r>
      <w:proofErr w:type="spellStart"/>
      <w:r>
        <w:t>GoldenGate</w:t>
      </w:r>
      <w:proofErr w:type="spellEnd"/>
      <w:r>
        <w:t xml:space="preserve"> replication, Redis Enterprise and Cloudera cluster redundancy, and erasure-coded </w:t>
      </w:r>
      <w:proofErr w:type="spellStart"/>
      <w:r>
        <w:t>Alletra</w:t>
      </w:r>
      <w:proofErr w:type="spellEnd"/>
      <w:r>
        <w:t xml:space="preserve"> object storage ensure no step is a single point of failure, with </w:t>
      </w:r>
      <w:r w:rsidR="00AB6C03">
        <w:t>Cohesity NetBackup</w:t>
      </w:r>
      <w:r>
        <w:t xml:space="preserve"> immutable backups and an active DR site as the ultimate safety net); and Observability (Cloudera Manager, Oracle Enterprise Manager, Prometheus/Grafana/Loki and Splunk provide sub-30-second dashboards on every pipeline, with automated alerting the moment an SLA, quality threshold, or failure condition is breached, and GitLab CI/CD with Argo CD ensuring every change to the pipelines themselves is version-controlled, deployed through </w:t>
      </w:r>
      <w:proofErr w:type="spellStart"/>
      <w:r>
        <w:t>GitOps</w:t>
      </w:r>
      <w:proofErr w:type="spellEnd"/>
      <w:r>
        <w:t xml:space="preserve"> and auditable).</w:t>
      </w:r>
    </w:p>
    <w:p w14:paraId="403A71BE" w14:textId="77777777" w:rsidR="00C15A4B" w:rsidRDefault="00673469" w:rsidP="00B53FA3">
      <w:pPr>
        <w:pStyle w:val="Heading2"/>
        <w:pageBreakBefore/>
        <w:pBdr>
          <w:bottom w:val="single" w:sz="8" w:space="4" w:color="1F3864"/>
        </w:pBdr>
        <w:spacing w:before="360" w:after="180"/>
        <w:jc w:val="both"/>
      </w:pPr>
      <w:bookmarkStart w:id="16" w:name="_Toc243538507"/>
      <w:r>
        <w:rPr>
          <w:b/>
          <w:bCs/>
          <w:color w:val="1F3864"/>
          <w:sz w:val="30"/>
          <w:szCs w:val="30"/>
        </w:rPr>
        <w:lastRenderedPageBreak/>
        <w:t>6. How the Architecture Meets FBR's Requirements</w:t>
      </w:r>
      <w:bookmarkEnd w:id="16"/>
    </w:p>
    <w:p w14:paraId="1D2A5A05" w14:textId="77777777" w:rsidR="00C15A4B" w:rsidRDefault="00673469" w:rsidP="00CB742D">
      <w:pPr>
        <w:spacing w:after="160" w:line="276" w:lineRule="auto"/>
        <w:jc w:val="both"/>
      </w:pPr>
      <w:r>
        <w:t>The layered design directly addresses the core categories of requirement defined for the Central Data Hub tender:</w:t>
      </w:r>
    </w:p>
    <w:p w14:paraId="7CCC3D0B" w14:textId="06B2B83B" w:rsidR="00C15A4B" w:rsidRDefault="00673469" w:rsidP="00CB742D">
      <w:pPr>
        <w:pStyle w:val="ListParagraph"/>
        <w:numPr>
          <w:ilvl w:val="0"/>
          <w:numId w:val="2"/>
        </w:numPr>
        <w:spacing w:after="90" w:line="270" w:lineRule="auto"/>
        <w:jc w:val="both"/>
      </w:pPr>
      <w:r>
        <w:rPr>
          <w:b/>
          <w:bCs/>
        </w:rPr>
        <w:t xml:space="preserve">Full On-Premises / Air-Gapped Eligibility: </w:t>
      </w:r>
      <w:r>
        <w:t xml:space="preserve">every component — Oracle, HPE </w:t>
      </w:r>
      <w:proofErr w:type="spellStart"/>
      <w:r>
        <w:t>Alletra</w:t>
      </w:r>
      <w:proofErr w:type="spellEnd"/>
      <w:r>
        <w:t xml:space="preserve">, Redis Enterprise, Cloudera, </w:t>
      </w:r>
      <w:proofErr w:type="spellStart"/>
      <w:r w:rsidR="00F704C3" w:rsidRPr="00F704C3">
        <w:t>Semarchy</w:t>
      </w:r>
      <w:proofErr w:type="spellEnd"/>
      <w:r w:rsidR="00F704C3" w:rsidRPr="00F704C3">
        <w:t xml:space="preserve"> Data Platform</w:t>
      </w:r>
      <w:r>
        <w:t>, WSO2 API Manager, Tableau/OAS, and the security/HA/observability stack — is deployed exclusively within FBR's on-premises perimeter, with no public-cloud transit at any pipeline stage.</w:t>
      </w:r>
    </w:p>
    <w:p w14:paraId="424EB6EC" w14:textId="77777777" w:rsidR="00C15A4B" w:rsidRDefault="00673469" w:rsidP="00CB742D">
      <w:pPr>
        <w:pStyle w:val="ListParagraph"/>
        <w:numPr>
          <w:ilvl w:val="0"/>
          <w:numId w:val="2"/>
        </w:numPr>
        <w:spacing w:after="90" w:line="270" w:lineRule="auto"/>
        <w:jc w:val="both"/>
      </w:pPr>
      <w:r>
        <w:rPr>
          <w:b/>
          <w:bCs/>
        </w:rPr>
        <w:t xml:space="preserve">Native CDC, Streaming and API Ingestion: </w:t>
      </w:r>
      <w:proofErr w:type="spellStart"/>
      <w:r>
        <w:t>GoldenGate</w:t>
      </w:r>
      <w:proofErr w:type="spellEnd"/>
      <w:r>
        <w:t xml:space="preserve"> 26ai (log-based CDC), Kafka/Flink (continuous streaming) and Apache </w:t>
      </w:r>
      <w:proofErr w:type="spellStart"/>
      <w:r>
        <w:t>NiFi</w:t>
      </w:r>
      <w:proofErr w:type="spellEnd"/>
      <w:r>
        <w:t xml:space="preserve"> (API/file/batch) are each first-class, natively integrated capabilities rather than bolt-on connectors, satisfying the mandatory three-capability ingestion requirement.</w:t>
      </w:r>
    </w:p>
    <w:p w14:paraId="60CC532D" w14:textId="77777777" w:rsidR="00C15A4B" w:rsidRDefault="00673469" w:rsidP="00CB742D">
      <w:pPr>
        <w:pStyle w:val="ListParagraph"/>
        <w:numPr>
          <w:ilvl w:val="0"/>
          <w:numId w:val="2"/>
        </w:numPr>
        <w:spacing w:after="90" w:line="270" w:lineRule="auto"/>
        <w:jc w:val="both"/>
      </w:pPr>
      <w:r>
        <w:rPr>
          <w:b/>
          <w:bCs/>
        </w:rPr>
        <w:t xml:space="preserve">Genuine Multi-Model / HTAP MPP Warehouse: </w:t>
      </w:r>
      <w:r>
        <w:t>Oracle AI Database 26ai on Exadata natively serves OLTP and OLAP workloads concurrently against the same data, without federating separate specialized systems, on a purpose-built engineered appliance with published benchmarks.</w:t>
      </w:r>
    </w:p>
    <w:p w14:paraId="199FBE37" w14:textId="77777777" w:rsidR="00C15A4B" w:rsidRDefault="00673469" w:rsidP="00CB742D">
      <w:pPr>
        <w:pStyle w:val="ListParagraph"/>
        <w:numPr>
          <w:ilvl w:val="0"/>
          <w:numId w:val="2"/>
        </w:numPr>
        <w:spacing w:after="90" w:line="270" w:lineRule="auto"/>
        <w:jc w:val="both"/>
      </w:pPr>
      <w:r>
        <w:rPr>
          <w:b/>
          <w:bCs/>
        </w:rPr>
        <w:t xml:space="preserve">Open Lakehouse Formats: </w:t>
      </w:r>
      <w:r>
        <w:t xml:space="preserve">Apache Iceberg and Parquet on HPE </w:t>
      </w:r>
      <w:proofErr w:type="spellStart"/>
      <w:r>
        <w:t>Alletra</w:t>
      </w:r>
      <w:proofErr w:type="spellEnd"/>
      <w:r>
        <w:t xml:space="preserve"> S3-compatible object storage, jointly readable/writable by both Oracle AI Database 26ai and Spark/Flink, ensure the platform is never locked to a single proprietary engine and supports ACID, time-travel and schema evolution.</w:t>
      </w:r>
    </w:p>
    <w:p w14:paraId="205107CB" w14:textId="379FB607" w:rsidR="00C15A4B" w:rsidRDefault="00673469" w:rsidP="00CB742D">
      <w:pPr>
        <w:pStyle w:val="ListParagraph"/>
        <w:numPr>
          <w:ilvl w:val="0"/>
          <w:numId w:val="2"/>
        </w:numPr>
        <w:spacing w:after="90" w:line="270" w:lineRule="auto"/>
        <w:jc w:val="both"/>
      </w:pPr>
      <w:r>
        <w:rPr>
          <w:b/>
          <w:bCs/>
        </w:rPr>
        <w:t xml:space="preserve">DAMA-DMBOK Aligned Governance: </w:t>
      </w:r>
      <w:r w:rsidR="00F704C3">
        <w:t xml:space="preserve">SEMARCHY DATA PLATFOR </w:t>
      </w:r>
      <w:r>
        <w:t>provides the Business Glossary, Data Quality, Classification, Stewardship, Metadata and Lineage capabilities, together with enterprise MDM/RDM with a configurable survivorship engine and full lifecycle management — covering the complete DAMA-DMBOK scope from one enterprise-supported product with defined SLAs, and removing the integration overhead of multiple governance tools.</w:t>
      </w:r>
    </w:p>
    <w:p w14:paraId="15DBAB93" w14:textId="77777777" w:rsidR="00C15A4B" w:rsidRDefault="00673469" w:rsidP="00CB742D">
      <w:pPr>
        <w:pStyle w:val="ListParagraph"/>
        <w:numPr>
          <w:ilvl w:val="0"/>
          <w:numId w:val="2"/>
        </w:numPr>
        <w:spacing w:after="90" w:line="270" w:lineRule="auto"/>
        <w:jc w:val="both"/>
      </w:pPr>
      <w:r>
        <w:rPr>
          <w:b/>
          <w:bCs/>
        </w:rPr>
        <w:t xml:space="preserve">Low-Latency Serving with an Enterprise In-Memory Store: </w:t>
      </w:r>
      <w:r>
        <w:t>Redis Enterprise provides a clustered, replicated, persistent in-memory tier delivering sub-millisecond reads for Taxpayer 360 profiles, risk scores and online features, with role-based access control, TLS and automatic failover.</w:t>
      </w:r>
    </w:p>
    <w:p w14:paraId="2751DA54" w14:textId="77777777" w:rsidR="00C15A4B" w:rsidRDefault="00673469" w:rsidP="00CB742D">
      <w:pPr>
        <w:pStyle w:val="ListParagraph"/>
        <w:numPr>
          <w:ilvl w:val="0"/>
          <w:numId w:val="2"/>
        </w:numPr>
        <w:spacing w:after="90" w:line="270" w:lineRule="auto"/>
        <w:jc w:val="both"/>
      </w:pPr>
      <w:r>
        <w:rPr>
          <w:b/>
          <w:bCs/>
        </w:rPr>
        <w:t xml:space="preserve">Governed API Exposure: </w:t>
      </w:r>
      <w:r>
        <w:t>WSO2 API Manager provides OAuth 2.0/JWT/</w:t>
      </w:r>
      <w:proofErr w:type="spellStart"/>
      <w:r>
        <w:t>mTLS</w:t>
      </w:r>
      <w:proofErr w:type="spellEnd"/>
      <w:r>
        <w:t xml:space="preserve"> security, throttling, versioning, audit and a managed API lifecycle, ensuring all external access to data products is authenticated, rate-limited and traceable.</w:t>
      </w:r>
    </w:p>
    <w:p w14:paraId="5FA4B8FB" w14:textId="77777777" w:rsidR="00C15A4B" w:rsidRDefault="00673469" w:rsidP="00CB742D">
      <w:pPr>
        <w:pStyle w:val="ListParagraph"/>
        <w:numPr>
          <w:ilvl w:val="0"/>
          <w:numId w:val="2"/>
        </w:numPr>
        <w:spacing w:after="90" w:line="270" w:lineRule="auto"/>
        <w:jc w:val="both"/>
      </w:pPr>
      <w:r>
        <w:rPr>
          <w:b/>
          <w:bCs/>
        </w:rPr>
        <w:t xml:space="preserve">Enterprise BI with Native Connectivity: </w:t>
      </w:r>
      <w:r>
        <w:t>Tableau Server delivers governed self-service analytics while Oracle Analytics Server delivers Oracle-native MIS and pixel-perfect statutory reporting, both connecting natively to the object store and MPP layers.</w:t>
      </w:r>
    </w:p>
    <w:p w14:paraId="4D5964E7" w14:textId="77777777" w:rsidR="00C15A4B" w:rsidRDefault="00673469" w:rsidP="00CB742D">
      <w:pPr>
        <w:pStyle w:val="ListParagraph"/>
        <w:numPr>
          <w:ilvl w:val="0"/>
          <w:numId w:val="2"/>
        </w:numPr>
        <w:spacing w:after="90" w:line="270" w:lineRule="auto"/>
        <w:jc w:val="both"/>
      </w:pPr>
      <w:r>
        <w:rPr>
          <w:b/>
          <w:bCs/>
        </w:rPr>
        <w:t xml:space="preserve">Defense-in-Depth Security: </w:t>
      </w:r>
      <w:proofErr w:type="spellStart"/>
      <w:r>
        <w:t>Keycloak</w:t>
      </w:r>
      <w:proofErr w:type="spellEnd"/>
      <w:r>
        <w:t>/AD identity federation, Cloudera Advanced Security masking and encryption, audit/DAM and SIEM integration, TLS in transit, TDE at rest, and RBAC/ABAC enforced down to the column level collectively meet FBR's access-control, PII-protection and SIEM-integration requirements.</w:t>
      </w:r>
    </w:p>
    <w:p w14:paraId="7980C516" w14:textId="04E916B3" w:rsidR="00C15A4B" w:rsidRDefault="00673469" w:rsidP="00CB742D">
      <w:pPr>
        <w:pStyle w:val="ListParagraph"/>
        <w:numPr>
          <w:ilvl w:val="0"/>
          <w:numId w:val="2"/>
        </w:numPr>
        <w:spacing w:after="90" w:line="270" w:lineRule="auto"/>
        <w:jc w:val="both"/>
      </w:pPr>
      <w:r>
        <w:rPr>
          <w:b/>
          <w:bCs/>
        </w:rPr>
        <w:t xml:space="preserve">High Availability and Disaster Recovery: </w:t>
      </w:r>
      <w:r>
        <w:t xml:space="preserve">RAC + Active Data Guard + </w:t>
      </w:r>
      <w:proofErr w:type="spellStart"/>
      <w:r>
        <w:t>GoldenGate</w:t>
      </w:r>
      <w:proofErr w:type="spellEnd"/>
      <w:r>
        <w:t xml:space="preserve"> replication, Exadata engineered redundancy, erasure-coded </w:t>
      </w:r>
      <w:proofErr w:type="spellStart"/>
      <w:r>
        <w:t>Alletra</w:t>
      </w:r>
      <w:proofErr w:type="spellEnd"/>
      <w:r>
        <w:t xml:space="preserve"> object storage, Redis Enterprise clustering and Cloudera clustered workers, with </w:t>
      </w:r>
      <w:r w:rsidR="00AB6C03">
        <w:t>Cohesity NetBackup</w:t>
      </w:r>
      <w:r>
        <w:t xml:space="preserve"> immutable backup across a Primary/DR site pairing, bound recovery time and eliminate single points of failure.</w:t>
      </w:r>
    </w:p>
    <w:p w14:paraId="5C15CEA8" w14:textId="77777777" w:rsidR="00C15A4B" w:rsidRDefault="00673469" w:rsidP="00CB742D">
      <w:pPr>
        <w:pStyle w:val="ListParagraph"/>
        <w:numPr>
          <w:ilvl w:val="0"/>
          <w:numId w:val="2"/>
        </w:numPr>
        <w:spacing w:after="90" w:line="270" w:lineRule="auto"/>
        <w:jc w:val="both"/>
      </w:pPr>
      <w:r>
        <w:rPr>
          <w:b/>
          <w:bCs/>
        </w:rPr>
        <w:t xml:space="preserve">End-to-End Observability: </w:t>
      </w:r>
      <w:r>
        <w:t>Oracle Enterprise Manager, Cloudera Manager, Prometheus/Grafana/Loki and Splunk give sub-minute failure detection and sub-30-second dashboard refresh, with GitLab CI/CD and Argo CD ensuring controlled, auditable change management.</w:t>
      </w:r>
    </w:p>
    <w:p w14:paraId="282A3243" w14:textId="77777777" w:rsidR="00355BFB" w:rsidRDefault="00355BFB">
      <w:pPr>
        <w:rPr>
          <w:b/>
          <w:bCs/>
          <w:color w:val="1F3864"/>
          <w:sz w:val="30"/>
          <w:szCs w:val="30"/>
        </w:rPr>
      </w:pPr>
      <w:r>
        <w:rPr>
          <w:b/>
          <w:bCs/>
          <w:color w:val="1F3864"/>
          <w:sz w:val="30"/>
          <w:szCs w:val="30"/>
        </w:rPr>
        <w:br w:type="page"/>
      </w:r>
    </w:p>
    <w:p w14:paraId="75D703D6" w14:textId="710DFC83" w:rsidR="00355BFB" w:rsidRDefault="00355BFB" w:rsidP="00355BFB">
      <w:pPr>
        <w:pStyle w:val="Heading1"/>
        <w:numPr>
          <w:ilvl w:val="0"/>
          <w:numId w:val="3"/>
        </w:numPr>
        <w:pBdr>
          <w:bottom w:val="single" w:sz="8" w:space="4" w:color="1F3864"/>
        </w:pBdr>
        <w:spacing w:after="180"/>
        <w:ind w:left="270"/>
        <w:jc w:val="both"/>
        <w:rPr>
          <w:b/>
          <w:bCs/>
          <w:color w:val="2E5FA3"/>
          <w:sz w:val="30"/>
          <w:szCs w:val="30"/>
        </w:rPr>
      </w:pPr>
      <w:bookmarkStart w:id="17" w:name="_Toc243538508"/>
      <w:r w:rsidRPr="00F87D56">
        <w:rPr>
          <w:b/>
          <w:bCs/>
          <w:color w:val="2E5FA3"/>
          <w:sz w:val="30"/>
          <w:szCs w:val="30"/>
        </w:rPr>
        <w:lastRenderedPageBreak/>
        <w:t>Complete Solution Architecture – Information Management</w:t>
      </w:r>
      <w:bookmarkEnd w:id="17"/>
      <w:r w:rsidRPr="00F87D56">
        <w:rPr>
          <w:b/>
          <w:bCs/>
          <w:color w:val="2E5FA3"/>
          <w:sz w:val="30"/>
          <w:szCs w:val="30"/>
        </w:rPr>
        <w:t xml:space="preserve"> </w:t>
      </w:r>
    </w:p>
    <w:p w14:paraId="54BB1E3B" w14:textId="5C927165" w:rsidR="00355BFB" w:rsidRPr="00355BFB" w:rsidRDefault="00355BFB" w:rsidP="00355BFB">
      <w:pPr>
        <w:pStyle w:val="Heading2"/>
        <w:numPr>
          <w:ilvl w:val="1"/>
          <w:numId w:val="3"/>
        </w:numPr>
        <w:ind w:left="450" w:hanging="450"/>
      </w:pPr>
      <w:bookmarkStart w:id="18" w:name="_Toc243538509"/>
      <w:r w:rsidRPr="00355BFB">
        <w:t>Proposed Software Components</w:t>
      </w:r>
      <w:bookmarkEnd w:id="18"/>
    </w:p>
    <w:p w14:paraId="29839015" w14:textId="1DFDD97E" w:rsidR="00355BFB" w:rsidRPr="00DE7AB5" w:rsidRDefault="00355BFB" w:rsidP="00355BFB">
      <w:r w:rsidRPr="00DE7AB5">
        <w:rPr>
          <w:highlight w:val="yellow"/>
        </w:rPr>
        <w:t>@P</w:t>
      </w:r>
      <w:r w:rsidR="00DF430A">
        <w:rPr>
          <w:highlight w:val="yellow"/>
        </w:rPr>
        <w:t>SL</w:t>
      </w:r>
      <w:r w:rsidRPr="00DE7AB5">
        <w:rPr>
          <w:highlight w:val="yellow"/>
        </w:rPr>
        <w:t xml:space="preserve"> – Please Fill the License Model in Tables Below</w:t>
      </w:r>
    </w:p>
    <w:p w14:paraId="373B3685" w14:textId="77777777" w:rsidR="00355BFB" w:rsidRDefault="00355BFB" w:rsidP="00355BFB">
      <w:pPr>
        <w:jc w:val="both"/>
      </w:pPr>
      <w:r w:rsidRPr="007057E2">
        <w:t>The proposed solution comprises an integrated set of enterprise-grade software components to support data ingestion, integration, centralized data management, processing, analytics, governance, security, high availability, and operational management. The components are designed to provide a scalable, secure, and resilient end-to-end data platform.</w:t>
      </w:r>
    </w:p>
    <w:p w14:paraId="75A74B54" w14:textId="77777777" w:rsidR="00355BFB" w:rsidRPr="00355BFB" w:rsidRDefault="00355BFB" w:rsidP="00355BFB">
      <w:pPr>
        <w:pStyle w:val="Heading3"/>
      </w:pPr>
      <w:bookmarkStart w:id="19" w:name="_Toc243538510"/>
      <w:r w:rsidRPr="00355BFB">
        <w:t>1. Data Ingestion and Integration</w:t>
      </w:r>
      <w:bookmarkEnd w:id="19"/>
    </w:p>
    <w:tbl>
      <w:tblPr>
        <w:tblStyle w:val="TableGrid"/>
        <w:tblW w:w="0" w:type="auto"/>
        <w:jc w:val="center"/>
        <w:tblLayout w:type="fixed"/>
        <w:tblLook w:val="04A0" w:firstRow="1" w:lastRow="0" w:firstColumn="1" w:lastColumn="0" w:noHBand="0" w:noVBand="1"/>
      </w:tblPr>
      <w:tblGrid>
        <w:gridCol w:w="605"/>
        <w:gridCol w:w="2088"/>
        <w:gridCol w:w="1800"/>
        <w:gridCol w:w="2376"/>
        <w:gridCol w:w="1316"/>
        <w:gridCol w:w="2610"/>
      </w:tblGrid>
      <w:tr w:rsidR="00355BFB" w:rsidRPr="009C207B" w14:paraId="2D461438" w14:textId="77777777" w:rsidTr="006B5DBD">
        <w:trPr>
          <w:tblHeader/>
          <w:jc w:val="center"/>
        </w:trPr>
        <w:tc>
          <w:tcPr>
            <w:tcW w:w="605" w:type="dxa"/>
            <w:vAlign w:val="center"/>
            <w:hideMark/>
          </w:tcPr>
          <w:p w14:paraId="2E01CC81"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160F356D"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608151CA"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5C2B9F41"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316" w:type="dxa"/>
            <w:vAlign w:val="center"/>
          </w:tcPr>
          <w:p w14:paraId="10895789" w14:textId="77777777" w:rsidR="00355BFB" w:rsidRDefault="00355BFB" w:rsidP="006B5DBD">
            <w:pPr>
              <w:spacing w:after="20"/>
            </w:pPr>
            <w:r>
              <w:rPr>
                <w:rFonts w:ascii="Arial" w:hAnsi="Arial"/>
                <w:sz w:val="14"/>
              </w:rPr>
              <w:t>Vendor Support</w:t>
            </w:r>
          </w:p>
        </w:tc>
        <w:tc>
          <w:tcPr>
            <w:tcW w:w="2610" w:type="dxa"/>
            <w:vAlign w:val="center"/>
          </w:tcPr>
          <w:p w14:paraId="7FEFCADA" w14:textId="77777777" w:rsidR="00355BFB" w:rsidRDefault="00355BFB" w:rsidP="006B5DBD">
            <w:pPr>
              <w:spacing w:after="20"/>
            </w:pPr>
            <w:r>
              <w:rPr>
                <w:rFonts w:ascii="Arial" w:hAnsi="Arial"/>
                <w:sz w:val="14"/>
              </w:rPr>
              <w:t>License Model</w:t>
            </w:r>
          </w:p>
        </w:tc>
      </w:tr>
      <w:tr w:rsidR="00355BFB" w:rsidRPr="009C207B" w14:paraId="69CF67D2" w14:textId="77777777" w:rsidTr="006B5DBD">
        <w:trPr>
          <w:jc w:val="center"/>
        </w:trPr>
        <w:tc>
          <w:tcPr>
            <w:tcW w:w="605" w:type="dxa"/>
            <w:vAlign w:val="center"/>
            <w:hideMark/>
          </w:tcPr>
          <w:p w14:paraId="7482681B"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49E0C3C0" w14:textId="77777777" w:rsidR="00355BFB" w:rsidRPr="009C207B" w:rsidRDefault="00355BFB" w:rsidP="006B5DBD">
            <w:pPr>
              <w:spacing w:after="20" w:line="278" w:lineRule="auto"/>
              <w:jc w:val="both"/>
            </w:pPr>
            <w:r w:rsidRPr="009C207B">
              <w:rPr>
                <w:rFonts w:ascii="Arial" w:hAnsi="Arial"/>
                <w:sz w:val="14"/>
              </w:rPr>
              <w:t xml:space="preserve">Oracle </w:t>
            </w:r>
            <w:proofErr w:type="spellStart"/>
            <w:r w:rsidRPr="009C207B">
              <w:rPr>
                <w:rFonts w:ascii="Arial" w:hAnsi="Arial"/>
                <w:sz w:val="14"/>
              </w:rPr>
              <w:t>GoldenGate</w:t>
            </w:r>
            <w:proofErr w:type="spellEnd"/>
          </w:p>
        </w:tc>
        <w:tc>
          <w:tcPr>
            <w:tcW w:w="1800" w:type="dxa"/>
            <w:vAlign w:val="center"/>
            <w:hideMark/>
          </w:tcPr>
          <w:p w14:paraId="4EC284FA" w14:textId="77777777" w:rsidR="00355BFB" w:rsidRPr="009C207B" w:rsidRDefault="00355BFB" w:rsidP="006B5DBD">
            <w:pPr>
              <w:spacing w:after="20" w:line="278" w:lineRule="auto"/>
              <w:jc w:val="both"/>
            </w:pPr>
            <w:r w:rsidRPr="009C207B">
              <w:rPr>
                <w:rFonts w:ascii="Arial" w:hAnsi="Arial"/>
                <w:sz w:val="14"/>
              </w:rPr>
              <w:t>26ai</w:t>
            </w:r>
          </w:p>
        </w:tc>
        <w:tc>
          <w:tcPr>
            <w:tcW w:w="2376" w:type="dxa"/>
            <w:vAlign w:val="center"/>
            <w:hideMark/>
          </w:tcPr>
          <w:p w14:paraId="177437B3" w14:textId="77777777" w:rsidR="00355BFB" w:rsidRPr="009C207B" w:rsidRDefault="00355BFB" w:rsidP="006B5DBD">
            <w:pPr>
              <w:spacing w:after="20" w:line="278" w:lineRule="auto"/>
              <w:jc w:val="both"/>
            </w:pPr>
            <w:r w:rsidRPr="009C207B">
              <w:rPr>
                <w:rFonts w:ascii="Arial" w:hAnsi="Arial"/>
                <w:sz w:val="14"/>
              </w:rPr>
              <w:t>Log-based CDC, real-time data replication, and database synchronization.</w:t>
            </w:r>
          </w:p>
        </w:tc>
        <w:tc>
          <w:tcPr>
            <w:tcW w:w="1316" w:type="dxa"/>
            <w:vAlign w:val="center"/>
          </w:tcPr>
          <w:p w14:paraId="60898F70" w14:textId="77777777" w:rsidR="00355BFB" w:rsidRDefault="00355BFB" w:rsidP="006B5DBD">
            <w:pPr>
              <w:spacing w:after="20"/>
            </w:pPr>
            <w:r>
              <w:rPr>
                <w:rFonts w:ascii="Arial" w:hAnsi="Arial"/>
                <w:sz w:val="14"/>
              </w:rPr>
              <w:t xml:space="preserve">Oracle </w:t>
            </w:r>
          </w:p>
        </w:tc>
        <w:tc>
          <w:tcPr>
            <w:tcW w:w="2610" w:type="dxa"/>
            <w:vAlign w:val="center"/>
          </w:tcPr>
          <w:p w14:paraId="1850AB7C" w14:textId="77777777" w:rsidR="00355BFB" w:rsidRPr="0017695D" w:rsidRDefault="00355BFB" w:rsidP="006B5DBD">
            <w:pPr>
              <w:spacing w:after="20"/>
              <w:rPr>
                <w:rFonts w:asciiTheme="minorBidi" w:hAnsiTheme="minorBidi"/>
                <w:sz w:val="14"/>
                <w:szCs w:val="14"/>
              </w:rPr>
            </w:pPr>
          </w:p>
        </w:tc>
      </w:tr>
      <w:tr w:rsidR="00355BFB" w:rsidRPr="009C207B" w14:paraId="6E24B917" w14:textId="77777777" w:rsidTr="006B5DBD">
        <w:trPr>
          <w:jc w:val="center"/>
        </w:trPr>
        <w:tc>
          <w:tcPr>
            <w:tcW w:w="605" w:type="dxa"/>
            <w:vAlign w:val="center"/>
            <w:hideMark/>
          </w:tcPr>
          <w:p w14:paraId="54CED0D5"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1D2E6AA6" w14:textId="77777777" w:rsidR="00355BFB" w:rsidRPr="009C207B" w:rsidRDefault="00355BFB" w:rsidP="006B5DBD">
            <w:pPr>
              <w:spacing w:after="20" w:line="278" w:lineRule="auto"/>
              <w:jc w:val="both"/>
            </w:pPr>
            <w:r w:rsidRPr="009C207B">
              <w:rPr>
                <w:rFonts w:ascii="Arial" w:hAnsi="Arial"/>
                <w:sz w:val="14"/>
              </w:rPr>
              <w:t xml:space="preserve">Apache </w:t>
            </w:r>
            <w:proofErr w:type="spellStart"/>
            <w:r w:rsidRPr="009C207B">
              <w:rPr>
                <w:rFonts w:ascii="Arial" w:hAnsi="Arial"/>
                <w:sz w:val="14"/>
              </w:rPr>
              <w:t>NiFi</w:t>
            </w:r>
            <w:proofErr w:type="spellEnd"/>
          </w:p>
        </w:tc>
        <w:tc>
          <w:tcPr>
            <w:tcW w:w="1800" w:type="dxa"/>
            <w:vAlign w:val="center"/>
            <w:hideMark/>
          </w:tcPr>
          <w:p w14:paraId="18BE3208"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53921A92" w14:textId="77777777" w:rsidR="00355BFB" w:rsidRPr="009C207B" w:rsidRDefault="00355BFB" w:rsidP="006B5DBD">
            <w:pPr>
              <w:spacing w:after="20" w:line="278" w:lineRule="auto"/>
              <w:jc w:val="both"/>
            </w:pPr>
            <w:r w:rsidRPr="009C207B">
              <w:rPr>
                <w:rFonts w:ascii="Arial" w:hAnsi="Arial"/>
                <w:sz w:val="14"/>
              </w:rPr>
              <w:t>Batch, API, file, and heterogeneous data ingestion, routing, transformation, and flow management.</w:t>
            </w:r>
          </w:p>
        </w:tc>
        <w:tc>
          <w:tcPr>
            <w:tcW w:w="1316" w:type="dxa"/>
            <w:vAlign w:val="center"/>
          </w:tcPr>
          <w:p w14:paraId="27123FB0" w14:textId="77777777" w:rsidR="00355BFB" w:rsidRDefault="00355BFB" w:rsidP="006B5DBD">
            <w:pPr>
              <w:spacing w:after="20"/>
            </w:pPr>
            <w:r>
              <w:rPr>
                <w:rFonts w:ascii="Arial" w:hAnsi="Arial"/>
                <w:sz w:val="14"/>
              </w:rPr>
              <w:t>Cloudera</w:t>
            </w:r>
          </w:p>
        </w:tc>
        <w:tc>
          <w:tcPr>
            <w:tcW w:w="2610" w:type="dxa"/>
            <w:vAlign w:val="center"/>
          </w:tcPr>
          <w:p w14:paraId="022204F4" w14:textId="77777777" w:rsidR="00355BFB" w:rsidRPr="0017695D"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37328E25" w14:textId="77777777" w:rsidTr="006B5DBD">
        <w:trPr>
          <w:jc w:val="center"/>
        </w:trPr>
        <w:tc>
          <w:tcPr>
            <w:tcW w:w="605" w:type="dxa"/>
            <w:vAlign w:val="center"/>
            <w:hideMark/>
          </w:tcPr>
          <w:p w14:paraId="11DD86E5"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7A8CBA02" w14:textId="77777777" w:rsidR="00355BFB" w:rsidRPr="009C207B" w:rsidRDefault="00355BFB" w:rsidP="006B5DBD">
            <w:pPr>
              <w:spacing w:after="20" w:line="278" w:lineRule="auto"/>
              <w:jc w:val="both"/>
            </w:pPr>
            <w:r w:rsidRPr="009C207B">
              <w:rPr>
                <w:rFonts w:ascii="Arial" w:hAnsi="Arial"/>
                <w:sz w:val="14"/>
              </w:rPr>
              <w:t>Cloudera Streams Messaging</w:t>
            </w:r>
          </w:p>
        </w:tc>
        <w:tc>
          <w:tcPr>
            <w:tcW w:w="1800" w:type="dxa"/>
            <w:vAlign w:val="center"/>
            <w:hideMark/>
          </w:tcPr>
          <w:p w14:paraId="03C8CF1F"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49BE9D6C" w14:textId="77777777" w:rsidR="00355BFB" w:rsidRPr="009C207B" w:rsidRDefault="00355BFB" w:rsidP="006B5DBD">
            <w:pPr>
              <w:spacing w:after="20" w:line="278" w:lineRule="auto"/>
              <w:jc w:val="both"/>
            </w:pPr>
            <w:r w:rsidRPr="009C207B">
              <w:rPr>
                <w:rFonts w:ascii="Arial" w:hAnsi="Arial"/>
                <w:sz w:val="14"/>
              </w:rPr>
              <w:t>Enterprise messaging, event streaming, and streaming integration.</w:t>
            </w:r>
          </w:p>
        </w:tc>
        <w:tc>
          <w:tcPr>
            <w:tcW w:w="1316" w:type="dxa"/>
            <w:vAlign w:val="center"/>
          </w:tcPr>
          <w:p w14:paraId="30AA04D0" w14:textId="77777777" w:rsidR="00355BFB" w:rsidRPr="00254641" w:rsidRDefault="00355BFB" w:rsidP="006B5DBD">
            <w:pPr>
              <w:spacing w:after="20"/>
              <w:rPr>
                <w:rFonts w:ascii="Arial" w:hAnsi="Arial"/>
                <w:sz w:val="14"/>
              </w:rPr>
            </w:pPr>
            <w:r>
              <w:rPr>
                <w:rFonts w:ascii="Arial" w:hAnsi="Arial"/>
                <w:sz w:val="14"/>
              </w:rPr>
              <w:t>Cloudera</w:t>
            </w:r>
          </w:p>
        </w:tc>
        <w:tc>
          <w:tcPr>
            <w:tcW w:w="2610" w:type="dxa"/>
            <w:vAlign w:val="center"/>
          </w:tcPr>
          <w:p w14:paraId="05876B78" w14:textId="77777777" w:rsidR="00355BFB" w:rsidRPr="0017695D"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30FD0FCF" w14:textId="77777777" w:rsidTr="006B5DBD">
        <w:trPr>
          <w:jc w:val="center"/>
        </w:trPr>
        <w:tc>
          <w:tcPr>
            <w:tcW w:w="605" w:type="dxa"/>
            <w:vAlign w:val="center"/>
            <w:hideMark/>
          </w:tcPr>
          <w:p w14:paraId="2983FA15"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471DCCE6" w14:textId="77777777" w:rsidR="00355BFB" w:rsidRPr="009C207B" w:rsidRDefault="00355BFB" w:rsidP="006B5DBD">
            <w:pPr>
              <w:spacing w:after="20" w:line="278" w:lineRule="auto"/>
              <w:jc w:val="both"/>
            </w:pPr>
            <w:r w:rsidRPr="009C207B">
              <w:rPr>
                <w:rFonts w:ascii="Arial" w:hAnsi="Arial"/>
                <w:sz w:val="14"/>
              </w:rPr>
              <w:t xml:space="preserve">Apache Kafka </w:t>
            </w:r>
          </w:p>
        </w:tc>
        <w:tc>
          <w:tcPr>
            <w:tcW w:w="1800" w:type="dxa"/>
            <w:vAlign w:val="center"/>
            <w:hideMark/>
          </w:tcPr>
          <w:p w14:paraId="5D4A6227"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09A460C4" w14:textId="77777777" w:rsidR="00355BFB" w:rsidRPr="009C207B" w:rsidRDefault="00355BFB" w:rsidP="006B5DBD">
            <w:pPr>
              <w:spacing w:after="20" w:line="278" w:lineRule="auto"/>
              <w:jc w:val="both"/>
            </w:pPr>
            <w:r w:rsidRPr="009C207B">
              <w:rPr>
                <w:rFonts w:ascii="Arial" w:hAnsi="Arial"/>
                <w:sz w:val="14"/>
              </w:rPr>
              <w:t>Distributed event streaming, durable messaging, and producer-consumer integration.</w:t>
            </w:r>
          </w:p>
        </w:tc>
        <w:tc>
          <w:tcPr>
            <w:tcW w:w="1316" w:type="dxa"/>
            <w:vAlign w:val="center"/>
          </w:tcPr>
          <w:p w14:paraId="0220F694" w14:textId="77777777" w:rsidR="00355BFB" w:rsidRDefault="00355BFB" w:rsidP="006B5DBD">
            <w:pPr>
              <w:spacing w:after="20"/>
            </w:pPr>
            <w:r>
              <w:rPr>
                <w:rFonts w:ascii="Arial" w:hAnsi="Arial"/>
                <w:sz w:val="14"/>
              </w:rPr>
              <w:t>Cloudera</w:t>
            </w:r>
          </w:p>
        </w:tc>
        <w:tc>
          <w:tcPr>
            <w:tcW w:w="2610" w:type="dxa"/>
            <w:vAlign w:val="center"/>
          </w:tcPr>
          <w:p w14:paraId="45A04828" w14:textId="77777777" w:rsidR="00355BFB" w:rsidRPr="0017695D"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695C1ACA" w14:textId="77777777" w:rsidTr="006B5DBD">
        <w:trPr>
          <w:jc w:val="center"/>
        </w:trPr>
        <w:tc>
          <w:tcPr>
            <w:tcW w:w="605" w:type="dxa"/>
            <w:vAlign w:val="center"/>
            <w:hideMark/>
          </w:tcPr>
          <w:p w14:paraId="77544A8B" w14:textId="77777777" w:rsidR="00355BFB" w:rsidRPr="009C207B" w:rsidRDefault="00355BFB" w:rsidP="006B5DBD">
            <w:pPr>
              <w:spacing w:after="20" w:line="278" w:lineRule="auto"/>
              <w:jc w:val="both"/>
            </w:pPr>
            <w:r w:rsidRPr="009C207B">
              <w:rPr>
                <w:rFonts w:ascii="Arial" w:hAnsi="Arial"/>
                <w:sz w:val="14"/>
              </w:rPr>
              <w:t>5</w:t>
            </w:r>
          </w:p>
        </w:tc>
        <w:tc>
          <w:tcPr>
            <w:tcW w:w="2088" w:type="dxa"/>
            <w:vAlign w:val="center"/>
            <w:hideMark/>
          </w:tcPr>
          <w:p w14:paraId="77BCA83C" w14:textId="77777777" w:rsidR="00355BFB" w:rsidRPr="009C207B" w:rsidRDefault="00355BFB" w:rsidP="006B5DBD">
            <w:pPr>
              <w:spacing w:after="20" w:line="278" w:lineRule="auto"/>
              <w:jc w:val="both"/>
            </w:pPr>
            <w:r w:rsidRPr="009C207B">
              <w:rPr>
                <w:rFonts w:ascii="Arial" w:hAnsi="Arial"/>
                <w:sz w:val="14"/>
              </w:rPr>
              <w:t>Oracle Data Integrator (ODI)</w:t>
            </w:r>
          </w:p>
        </w:tc>
        <w:tc>
          <w:tcPr>
            <w:tcW w:w="1800" w:type="dxa"/>
            <w:vAlign w:val="center"/>
            <w:hideMark/>
          </w:tcPr>
          <w:p w14:paraId="1B8EFBD0" w14:textId="77777777" w:rsidR="00355BFB" w:rsidRPr="009C207B" w:rsidRDefault="00355BFB" w:rsidP="006B5DBD">
            <w:pPr>
              <w:spacing w:after="20" w:line="278" w:lineRule="auto"/>
              <w:jc w:val="both"/>
            </w:pPr>
            <w:r w:rsidRPr="009C207B">
              <w:rPr>
                <w:rFonts w:ascii="Arial" w:hAnsi="Arial"/>
                <w:sz w:val="14"/>
              </w:rPr>
              <w:t>14c (14.1.2), latest applicable patch</w:t>
            </w:r>
          </w:p>
        </w:tc>
        <w:tc>
          <w:tcPr>
            <w:tcW w:w="2376" w:type="dxa"/>
            <w:vAlign w:val="center"/>
            <w:hideMark/>
          </w:tcPr>
          <w:p w14:paraId="575F1156" w14:textId="77777777" w:rsidR="00355BFB" w:rsidRPr="009C207B" w:rsidRDefault="00355BFB" w:rsidP="006B5DBD">
            <w:pPr>
              <w:spacing w:after="20" w:line="278" w:lineRule="auto"/>
              <w:jc w:val="both"/>
            </w:pPr>
            <w:r w:rsidRPr="009C207B">
              <w:rPr>
                <w:rFonts w:ascii="Arial" w:hAnsi="Arial"/>
                <w:sz w:val="14"/>
              </w:rPr>
              <w:t>ELT, data integration, transformation, scheduling, and orchestration.</w:t>
            </w:r>
          </w:p>
        </w:tc>
        <w:tc>
          <w:tcPr>
            <w:tcW w:w="1316" w:type="dxa"/>
            <w:vAlign w:val="center"/>
          </w:tcPr>
          <w:p w14:paraId="7528E19D" w14:textId="77777777" w:rsidR="00355BFB" w:rsidRDefault="00355BFB" w:rsidP="006B5DBD">
            <w:pPr>
              <w:spacing w:after="20"/>
            </w:pPr>
            <w:r>
              <w:rPr>
                <w:rFonts w:ascii="Arial" w:hAnsi="Arial"/>
                <w:sz w:val="14"/>
              </w:rPr>
              <w:t>Oracle</w:t>
            </w:r>
          </w:p>
        </w:tc>
        <w:tc>
          <w:tcPr>
            <w:tcW w:w="2610" w:type="dxa"/>
            <w:vAlign w:val="center"/>
          </w:tcPr>
          <w:p w14:paraId="3C6427EA" w14:textId="77777777" w:rsidR="00355BFB" w:rsidRPr="0017695D" w:rsidRDefault="00355BFB" w:rsidP="006B5DBD">
            <w:pPr>
              <w:spacing w:after="20"/>
              <w:rPr>
                <w:rFonts w:asciiTheme="minorBidi" w:hAnsiTheme="minorBidi"/>
                <w:sz w:val="14"/>
                <w:szCs w:val="14"/>
              </w:rPr>
            </w:pPr>
          </w:p>
        </w:tc>
      </w:tr>
    </w:tbl>
    <w:p w14:paraId="0D7CAEF9" w14:textId="77777777" w:rsidR="00355BFB" w:rsidRPr="00F87D56" w:rsidRDefault="00355BFB" w:rsidP="00355BFB">
      <w:pPr>
        <w:pStyle w:val="Heading3"/>
      </w:pPr>
      <w:bookmarkStart w:id="20" w:name="_Toc243538511"/>
      <w:r w:rsidRPr="00F87D56">
        <w:t>2. Central Data Hub</w:t>
      </w:r>
      <w:bookmarkEnd w:id="20"/>
    </w:p>
    <w:tbl>
      <w:tblPr>
        <w:tblStyle w:val="TableGrid"/>
        <w:tblW w:w="11070" w:type="dxa"/>
        <w:jc w:val="center"/>
        <w:tblLayout w:type="fixed"/>
        <w:tblLook w:val="04A0" w:firstRow="1" w:lastRow="0" w:firstColumn="1" w:lastColumn="0" w:noHBand="0" w:noVBand="1"/>
      </w:tblPr>
      <w:tblGrid>
        <w:gridCol w:w="610"/>
        <w:gridCol w:w="2088"/>
        <w:gridCol w:w="1800"/>
        <w:gridCol w:w="2376"/>
        <w:gridCol w:w="1496"/>
        <w:gridCol w:w="2700"/>
      </w:tblGrid>
      <w:tr w:rsidR="00355BFB" w:rsidRPr="009C207B" w14:paraId="7F4C06CD" w14:textId="77777777" w:rsidTr="006B5DBD">
        <w:trPr>
          <w:tblHeader/>
          <w:jc w:val="center"/>
        </w:trPr>
        <w:tc>
          <w:tcPr>
            <w:tcW w:w="610" w:type="dxa"/>
            <w:vAlign w:val="center"/>
            <w:hideMark/>
          </w:tcPr>
          <w:p w14:paraId="0351360A"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5D92DE38"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6663FA36"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2482E1BB"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496" w:type="dxa"/>
            <w:vAlign w:val="center"/>
          </w:tcPr>
          <w:p w14:paraId="4C1A7CED" w14:textId="77777777" w:rsidR="00355BFB" w:rsidRDefault="00355BFB" w:rsidP="006B5DBD">
            <w:pPr>
              <w:spacing w:after="20"/>
            </w:pPr>
            <w:r>
              <w:rPr>
                <w:rFonts w:ascii="Arial" w:hAnsi="Arial"/>
                <w:sz w:val="14"/>
              </w:rPr>
              <w:t>Vendor Support</w:t>
            </w:r>
          </w:p>
        </w:tc>
        <w:tc>
          <w:tcPr>
            <w:tcW w:w="2700" w:type="dxa"/>
            <w:vAlign w:val="center"/>
          </w:tcPr>
          <w:p w14:paraId="2F378091" w14:textId="77777777" w:rsidR="00355BFB" w:rsidRDefault="00355BFB" w:rsidP="006B5DBD">
            <w:pPr>
              <w:spacing w:after="20"/>
            </w:pPr>
            <w:r>
              <w:rPr>
                <w:rFonts w:ascii="Arial" w:hAnsi="Arial"/>
                <w:sz w:val="14"/>
              </w:rPr>
              <w:t>License Model</w:t>
            </w:r>
          </w:p>
        </w:tc>
      </w:tr>
      <w:tr w:rsidR="00355BFB" w:rsidRPr="009C207B" w14:paraId="0A253AA6" w14:textId="77777777" w:rsidTr="006B5DBD">
        <w:trPr>
          <w:jc w:val="center"/>
        </w:trPr>
        <w:tc>
          <w:tcPr>
            <w:tcW w:w="610" w:type="dxa"/>
            <w:vAlign w:val="center"/>
            <w:hideMark/>
          </w:tcPr>
          <w:p w14:paraId="22ADD54B"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01DC6A9A" w14:textId="77777777" w:rsidR="00355BFB" w:rsidRPr="009C207B" w:rsidRDefault="00355BFB" w:rsidP="006B5DBD">
            <w:pPr>
              <w:spacing w:after="20" w:line="278" w:lineRule="auto"/>
              <w:jc w:val="both"/>
            </w:pPr>
            <w:r w:rsidRPr="009C207B">
              <w:rPr>
                <w:rFonts w:ascii="Arial" w:hAnsi="Arial"/>
                <w:sz w:val="14"/>
              </w:rPr>
              <w:t xml:space="preserve">HPE </w:t>
            </w:r>
            <w:proofErr w:type="spellStart"/>
            <w:r w:rsidRPr="009C207B">
              <w:rPr>
                <w:rFonts w:ascii="Arial" w:hAnsi="Arial"/>
                <w:sz w:val="14"/>
              </w:rPr>
              <w:t>Alletra</w:t>
            </w:r>
            <w:proofErr w:type="spellEnd"/>
            <w:r w:rsidRPr="009C207B">
              <w:rPr>
                <w:rFonts w:ascii="Arial" w:hAnsi="Arial"/>
                <w:sz w:val="14"/>
              </w:rPr>
              <w:t xml:space="preserve"> Storage MP X10000</w:t>
            </w:r>
          </w:p>
        </w:tc>
        <w:tc>
          <w:tcPr>
            <w:tcW w:w="1800" w:type="dxa"/>
            <w:vAlign w:val="center"/>
            <w:hideMark/>
          </w:tcPr>
          <w:p w14:paraId="7FF24CF0" w14:textId="77777777" w:rsidR="00355BFB" w:rsidRPr="009C207B" w:rsidRDefault="00355BFB" w:rsidP="006B5DBD">
            <w:pPr>
              <w:spacing w:after="20" w:line="278" w:lineRule="auto"/>
              <w:jc w:val="both"/>
            </w:pPr>
            <w:r w:rsidRPr="009C207B">
              <w:rPr>
                <w:rFonts w:ascii="Arial" w:hAnsi="Arial"/>
                <w:sz w:val="14"/>
              </w:rPr>
              <w:t>Vendor</w:t>
            </w:r>
            <w:r>
              <w:rPr>
                <w:rFonts w:ascii="Arial" w:hAnsi="Arial"/>
                <w:sz w:val="14"/>
              </w:rPr>
              <w:t xml:space="preserve"> </w:t>
            </w:r>
            <w:r w:rsidRPr="009C207B">
              <w:rPr>
                <w:rFonts w:ascii="Arial" w:hAnsi="Arial"/>
                <w:sz w:val="14"/>
              </w:rPr>
              <w:t>supported</w:t>
            </w:r>
          </w:p>
        </w:tc>
        <w:tc>
          <w:tcPr>
            <w:tcW w:w="2376" w:type="dxa"/>
            <w:vAlign w:val="center"/>
            <w:hideMark/>
          </w:tcPr>
          <w:p w14:paraId="0D7E9FD5" w14:textId="77777777" w:rsidR="00355BFB" w:rsidRPr="009C207B" w:rsidRDefault="00355BFB" w:rsidP="006B5DBD">
            <w:pPr>
              <w:spacing w:after="20" w:line="278" w:lineRule="auto"/>
              <w:jc w:val="both"/>
            </w:pPr>
            <w:r w:rsidRPr="009C207B">
              <w:rPr>
                <w:rFonts w:ascii="Arial" w:hAnsi="Arial"/>
                <w:sz w:val="14"/>
              </w:rPr>
              <w:t>Scalable object storage for data lake workloads and large datasets.</w:t>
            </w:r>
          </w:p>
        </w:tc>
        <w:tc>
          <w:tcPr>
            <w:tcW w:w="1496" w:type="dxa"/>
            <w:vAlign w:val="center"/>
          </w:tcPr>
          <w:p w14:paraId="4DC67689" w14:textId="77777777" w:rsidR="00355BFB" w:rsidRDefault="00355BFB" w:rsidP="006B5DBD">
            <w:pPr>
              <w:spacing w:after="20"/>
            </w:pPr>
            <w:r>
              <w:rPr>
                <w:rFonts w:ascii="Arial" w:hAnsi="Arial"/>
                <w:sz w:val="14"/>
              </w:rPr>
              <w:t>HPE</w:t>
            </w:r>
          </w:p>
        </w:tc>
        <w:tc>
          <w:tcPr>
            <w:tcW w:w="2700" w:type="dxa"/>
            <w:vAlign w:val="center"/>
          </w:tcPr>
          <w:p w14:paraId="51BE3C89" w14:textId="77777777" w:rsidR="00355BFB" w:rsidRPr="00863441" w:rsidRDefault="00355BFB" w:rsidP="006B5DBD">
            <w:pPr>
              <w:spacing w:after="20"/>
              <w:rPr>
                <w:rFonts w:asciiTheme="minorBidi" w:hAnsiTheme="minorBidi"/>
                <w:sz w:val="14"/>
                <w:szCs w:val="14"/>
              </w:rPr>
            </w:pPr>
          </w:p>
        </w:tc>
      </w:tr>
      <w:tr w:rsidR="00355BFB" w:rsidRPr="009C207B" w14:paraId="76B7A349" w14:textId="77777777" w:rsidTr="006B5DBD">
        <w:trPr>
          <w:jc w:val="center"/>
        </w:trPr>
        <w:tc>
          <w:tcPr>
            <w:tcW w:w="610" w:type="dxa"/>
            <w:vAlign w:val="center"/>
            <w:hideMark/>
          </w:tcPr>
          <w:p w14:paraId="5147B4D7"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46F18155" w14:textId="77777777" w:rsidR="00355BFB" w:rsidRPr="009C207B" w:rsidRDefault="00355BFB" w:rsidP="006B5DBD">
            <w:pPr>
              <w:spacing w:after="20" w:line="278" w:lineRule="auto"/>
              <w:jc w:val="both"/>
            </w:pPr>
            <w:r w:rsidRPr="009C207B">
              <w:rPr>
                <w:rFonts w:ascii="Arial" w:hAnsi="Arial"/>
                <w:sz w:val="14"/>
              </w:rPr>
              <w:t>Oracle Exadata / Oracle AI Database</w:t>
            </w:r>
          </w:p>
        </w:tc>
        <w:tc>
          <w:tcPr>
            <w:tcW w:w="1800" w:type="dxa"/>
            <w:vAlign w:val="center"/>
            <w:hideMark/>
          </w:tcPr>
          <w:p w14:paraId="39FB82EE" w14:textId="77777777" w:rsidR="00355BFB" w:rsidRPr="009C207B" w:rsidRDefault="00355BFB" w:rsidP="006B5DBD">
            <w:pPr>
              <w:spacing w:after="20" w:line="278" w:lineRule="auto"/>
              <w:jc w:val="both"/>
            </w:pPr>
            <w:r w:rsidRPr="009C207B">
              <w:rPr>
                <w:rFonts w:ascii="Arial" w:hAnsi="Arial"/>
                <w:sz w:val="14"/>
              </w:rPr>
              <w:t>26ai, latest applicable RU</w:t>
            </w:r>
          </w:p>
        </w:tc>
        <w:tc>
          <w:tcPr>
            <w:tcW w:w="2376" w:type="dxa"/>
            <w:vAlign w:val="center"/>
            <w:hideMark/>
          </w:tcPr>
          <w:p w14:paraId="00DAB144" w14:textId="77777777" w:rsidR="00355BFB" w:rsidRPr="009C207B" w:rsidRDefault="00355BFB" w:rsidP="006B5DBD">
            <w:pPr>
              <w:spacing w:after="20" w:line="278" w:lineRule="auto"/>
              <w:jc w:val="both"/>
            </w:pPr>
            <w:r w:rsidRPr="009C207B">
              <w:rPr>
                <w:rFonts w:ascii="Arial" w:hAnsi="Arial"/>
                <w:sz w:val="14"/>
              </w:rPr>
              <w:t>Enterprise database management, transactional workloads, and analytical processing.</w:t>
            </w:r>
          </w:p>
        </w:tc>
        <w:tc>
          <w:tcPr>
            <w:tcW w:w="1496" w:type="dxa"/>
            <w:vAlign w:val="center"/>
          </w:tcPr>
          <w:p w14:paraId="60CF3825" w14:textId="77777777" w:rsidR="00355BFB" w:rsidRDefault="00355BFB" w:rsidP="006B5DBD">
            <w:pPr>
              <w:spacing w:after="20"/>
            </w:pPr>
            <w:r>
              <w:rPr>
                <w:rFonts w:ascii="Arial" w:hAnsi="Arial"/>
                <w:sz w:val="14"/>
              </w:rPr>
              <w:t>Oracle</w:t>
            </w:r>
          </w:p>
        </w:tc>
        <w:tc>
          <w:tcPr>
            <w:tcW w:w="2700" w:type="dxa"/>
            <w:vAlign w:val="center"/>
          </w:tcPr>
          <w:p w14:paraId="08A9D75C" w14:textId="77777777" w:rsidR="00355BFB" w:rsidRPr="00863441" w:rsidRDefault="00355BFB" w:rsidP="006B5DBD">
            <w:pPr>
              <w:spacing w:after="20"/>
              <w:rPr>
                <w:rFonts w:asciiTheme="minorBidi" w:hAnsiTheme="minorBidi"/>
                <w:sz w:val="14"/>
                <w:szCs w:val="14"/>
              </w:rPr>
            </w:pPr>
          </w:p>
        </w:tc>
      </w:tr>
      <w:tr w:rsidR="00355BFB" w:rsidRPr="009C207B" w14:paraId="309BA6C5" w14:textId="77777777" w:rsidTr="006B5DBD">
        <w:trPr>
          <w:jc w:val="center"/>
        </w:trPr>
        <w:tc>
          <w:tcPr>
            <w:tcW w:w="610" w:type="dxa"/>
            <w:vAlign w:val="center"/>
            <w:hideMark/>
          </w:tcPr>
          <w:p w14:paraId="7E001091"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63887DFD" w14:textId="77777777" w:rsidR="00355BFB" w:rsidRPr="009C207B" w:rsidRDefault="00355BFB" w:rsidP="006B5DBD">
            <w:pPr>
              <w:spacing w:after="20" w:line="278" w:lineRule="auto"/>
              <w:jc w:val="both"/>
            </w:pPr>
            <w:r w:rsidRPr="009C207B">
              <w:rPr>
                <w:rFonts w:ascii="Arial" w:hAnsi="Arial"/>
                <w:sz w:val="14"/>
              </w:rPr>
              <w:t>Redis Enterprise Software</w:t>
            </w:r>
          </w:p>
        </w:tc>
        <w:tc>
          <w:tcPr>
            <w:tcW w:w="1800" w:type="dxa"/>
            <w:vAlign w:val="center"/>
            <w:hideMark/>
          </w:tcPr>
          <w:p w14:paraId="065641BC" w14:textId="77777777" w:rsidR="00355BFB" w:rsidRPr="009C207B" w:rsidRDefault="00355BFB" w:rsidP="006B5DBD">
            <w:pPr>
              <w:spacing w:after="20" w:line="278" w:lineRule="auto"/>
              <w:jc w:val="both"/>
            </w:pPr>
            <w:r w:rsidRPr="009C207B">
              <w:rPr>
                <w:rFonts w:ascii="Arial" w:hAnsi="Arial"/>
                <w:sz w:val="14"/>
              </w:rPr>
              <w:t>8.</w:t>
            </w:r>
            <w:r>
              <w:rPr>
                <w:rFonts w:ascii="Arial" w:hAnsi="Arial"/>
                <w:sz w:val="14"/>
              </w:rPr>
              <w:t>2.x</w:t>
            </w:r>
          </w:p>
        </w:tc>
        <w:tc>
          <w:tcPr>
            <w:tcW w:w="2376" w:type="dxa"/>
            <w:vAlign w:val="center"/>
            <w:hideMark/>
          </w:tcPr>
          <w:p w14:paraId="36246F36" w14:textId="77777777" w:rsidR="00355BFB" w:rsidRPr="009C207B" w:rsidRDefault="00355BFB" w:rsidP="006B5DBD">
            <w:pPr>
              <w:spacing w:after="20" w:line="278" w:lineRule="auto"/>
              <w:jc w:val="both"/>
            </w:pPr>
            <w:r w:rsidRPr="009C207B">
              <w:rPr>
                <w:rFonts w:ascii="Arial" w:hAnsi="Arial"/>
                <w:sz w:val="14"/>
              </w:rPr>
              <w:t>Enterprise in-memory storage, caching, low-latency access, and high availability.</w:t>
            </w:r>
          </w:p>
        </w:tc>
        <w:tc>
          <w:tcPr>
            <w:tcW w:w="1496" w:type="dxa"/>
            <w:vAlign w:val="center"/>
          </w:tcPr>
          <w:p w14:paraId="2ECB4103" w14:textId="77777777" w:rsidR="00355BFB" w:rsidRDefault="00355BFB" w:rsidP="006B5DBD">
            <w:pPr>
              <w:spacing w:after="20"/>
            </w:pPr>
            <w:r>
              <w:rPr>
                <w:rFonts w:ascii="Arial" w:hAnsi="Arial"/>
                <w:sz w:val="14"/>
              </w:rPr>
              <w:t xml:space="preserve">Redis vendor support </w:t>
            </w:r>
          </w:p>
        </w:tc>
        <w:tc>
          <w:tcPr>
            <w:tcW w:w="2700" w:type="dxa"/>
            <w:vAlign w:val="center"/>
          </w:tcPr>
          <w:p w14:paraId="4689D420"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p>
        </w:tc>
      </w:tr>
      <w:tr w:rsidR="00355BFB" w:rsidRPr="009C207B" w14:paraId="1C4C7BF0" w14:textId="77777777" w:rsidTr="006B5DBD">
        <w:trPr>
          <w:jc w:val="center"/>
        </w:trPr>
        <w:tc>
          <w:tcPr>
            <w:tcW w:w="610" w:type="dxa"/>
            <w:vAlign w:val="center"/>
            <w:hideMark/>
          </w:tcPr>
          <w:p w14:paraId="5E59908E"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2D0B923F" w14:textId="77777777" w:rsidR="00355BFB" w:rsidRPr="009C207B" w:rsidRDefault="00355BFB" w:rsidP="006B5DBD">
            <w:pPr>
              <w:spacing w:after="20" w:line="278" w:lineRule="auto"/>
              <w:jc w:val="both"/>
            </w:pPr>
            <w:r w:rsidRPr="009C207B">
              <w:rPr>
                <w:rFonts w:ascii="Arial" w:hAnsi="Arial"/>
                <w:sz w:val="14"/>
              </w:rPr>
              <w:t>Apache Iceberg</w:t>
            </w:r>
          </w:p>
        </w:tc>
        <w:tc>
          <w:tcPr>
            <w:tcW w:w="1800" w:type="dxa"/>
            <w:vAlign w:val="center"/>
            <w:hideMark/>
          </w:tcPr>
          <w:p w14:paraId="2FF63BA0"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145A4092" w14:textId="77777777" w:rsidR="00355BFB" w:rsidRPr="009C207B" w:rsidRDefault="00355BFB" w:rsidP="006B5DBD">
            <w:pPr>
              <w:spacing w:after="20" w:line="278" w:lineRule="auto"/>
              <w:jc w:val="both"/>
            </w:pPr>
            <w:r w:rsidRPr="009C207B">
              <w:rPr>
                <w:rFonts w:ascii="Arial" w:hAnsi="Arial"/>
                <w:sz w:val="14"/>
              </w:rPr>
              <w:t>Open table format, schema evolution, partition evolution, and analytical data lake management.</w:t>
            </w:r>
          </w:p>
        </w:tc>
        <w:tc>
          <w:tcPr>
            <w:tcW w:w="1496" w:type="dxa"/>
            <w:vAlign w:val="center"/>
          </w:tcPr>
          <w:p w14:paraId="656BD38A" w14:textId="77777777" w:rsidR="00355BFB" w:rsidRDefault="00355BFB" w:rsidP="006B5DBD">
            <w:pPr>
              <w:spacing w:after="20"/>
            </w:pPr>
            <w:r>
              <w:rPr>
                <w:rFonts w:ascii="Arial" w:hAnsi="Arial"/>
                <w:sz w:val="14"/>
              </w:rPr>
              <w:t>Cloudera.</w:t>
            </w:r>
          </w:p>
        </w:tc>
        <w:tc>
          <w:tcPr>
            <w:tcW w:w="2700" w:type="dxa"/>
            <w:vAlign w:val="center"/>
          </w:tcPr>
          <w:p w14:paraId="749F3F4E"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3D3B6F8B" w14:textId="77777777" w:rsidR="00355BFB" w:rsidRPr="00355BFB" w:rsidRDefault="00355BFB" w:rsidP="00355BFB">
      <w:pPr>
        <w:pStyle w:val="Heading3"/>
      </w:pPr>
      <w:bookmarkStart w:id="21" w:name="_Toc243538512"/>
      <w:r w:rsidRPr="00355BFB">
        <w:t>3. Data Science and Analytics</w:t>
      </w:r>
      <w:bookmarkEnd w:id="21"/>
    </w:p>
    <w:tbl>
      <w:tblPr>
        <w:tblStyle w:val="TableGrid"/>
        <w:tblW w:w="11155" w:type="dxa"/>
        <w:jc w:val="center"/>
        <w:tblLayout w:type="fixed"/>
        <w:tblLook w:val="04A0" w:firstRow="1" w:lastRow="0" w:firstColumn="1" w:lastColumn="0" w:noHBand="0" w:noVBand="1"/>
      </w:tblPr>
      <w:tblGrid>
        <w:gridCol w:w="605"/>
        <w:gridCol w:w="2088"/>
        <w:gridCol w:w="1800"/>
        <w:gridCol w:w="2376"/>
        <w:gridCol w:w="1586"/>
        <w:gridCol w:w="2700"/>
      </w:tblGrid>
      <w:tr w:rsidR="00355BFB" w:rsidRPr="009C207B" w14:paraId="5D5B3BE5" w14:textId="77777777" w:rsidTr="006B5DBD">
        <w:trPr>
          <w:tblHeader/>
          <w:jc w:val="center"/>
        </w:trPr>
        <w:tc>
          <w:tcPr>
            <w:tcW w:w="605" w:type="dxa"/>
            <w:vAlign w:val="center"/>
            <w:hideMark/>
          </w:tcPr>
          <w:p w14:paraId="2C32FAAB"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3AC73D6D"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088C4722"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0891903D"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586" w:type="dxa"/>
            <w:vAlign w:val="center"/>
          </w:tcPr>
          <w:p w14:paraId="53572011" w14:textId="77777777" w:rsidR="00355BFB" w:rsidRDefault="00355BFB" w:rsidP="006B5DBD">
            <w:pPr>
              <w:spacing w:after="20"/>
            </w:pPr>
            <w:r>
              <w:rPr>
                <w:rFonts w:ascii="Arial" w:hAnsi="Arial"/>
                <w:sz w:val="14"/>
              </w:rPr>
              <w:t>Vendor Support</w:t>
            </w:r>
          </w:p>
        </w:tc>
        <w:tc>
          <w:tcPr>
            <w:tcW w:w="2700" w:type="dxa"/>
            <w:vAlign w:val="center"/>
          </w:tcPr>
          <w:p w14:paraId="507616F3" w14:textId="77777777" w:rsidR="00355BFB" w:rsidRDefault="00355BFB" w:rsidP="006B5DBD">
            <w:pPr>
              <w:spacing w:after="20"/>
            </w:pPr>
            <w:r>
              <w:rPr>
                <w:rFonts w:ascii="Arial" w:hAnsi="Arial"/>
                <w:sz w:val="14"/>
              </w:rPr>
              <w:t>License Model</w:t>
            </w:r>
          </w:p>
        </w:tc>
      </w:tr>
      <w:tr w:rsidR="00355BFB" w:rsidRPr="009C207B" w14:paraId="32BECB40" w14:textId="77777777" w:rsidTr="006B5DBD">
        <w:trPr>
          <w:jc w:val="center"/>
        </w:trPr>
        <w:tc>
          <w:tcPr>
            <w:tcW w:w="605" w:type="dxa"/>
            <w:vAlign w:val="center"/>
            <w:hideMark/>
          </w:tcPr>
          <w:p w14:paraId="1015B54F"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2BD94781" w14:textId="77777777" w:rsidR="00355BFB" w:rsidRPr="009C207B" w:rsidRDefault="00355BFB" w:rsidP="006B5DBD">
            <w:pPr>
              <w:spacing w:after="20" w:line="278" w:lineRule="auto"/>
              <w:jc w:val="both"/>
            </w:pPr>
            <w:r w:rsidRPr="009C207B">
              <w:rPr>
                <w:rFonts w:ascii="Arial" w:hAnsi="Arial"/>
                <w:sz w:val="14"/>
              </w:rPr>
              <w:t>Cloudera AI</w:t>
            </w:r>
          </w:p>
        </w:tc>
        <w:tc>
          <w:tcPr>
            <w:tcW w:w="1800" w:type="dxa"/>
            <w:vAlign w:val="center"/>
            <w:hideMark/>
          </w:tcPr>
          <w:p w14:paraId="4998F55B"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0C098791" w14:textId="77777777" w:rsidR="00355BFB" w:rsidRPr="009C207B" w:rsidRDefault="00355BFB" w:rsidP="006B5DBD">
            <w:pPr>
              <w:spacing w:after="20" w:line="278" w:lineRule="auto"/>
              <w:jc w:val="both"/>
            </w:pPr>
            <w:r w:rsidRPr="009C207B">
              <w:rPr>
                <w:rFonts w:ascii="Arial" w:hAnsi="Arial"/>
                <w:sz w:val="14"/>
              </w:rPr>
              <w:t xml:space="preserve">Data science workspaces, model training, inference, model management, and </w:t>
            </w:r>
            <w:proofErr w:type="spellStart"/>
            <w:r w:rsidRPr="009C207B">
              <w:rPr>
                <w:rFonts w:ascii="Arial" w:hAnsi="Arial"/>
                <w:sz w:val="14"/>
              </w:rPr>
              <w:t>MLOps</w:t>
            </w:r>
            <w:proofErr w:type="spellEnd"/>
            <w:r w:rsidRPr="009C207B">
              <w:rPr>
                <w:rFonts w:ascii="Arial" w:hAnsi="Arial"/>
                <w:sz w:val="14"/>
              </w:rPr>
              <w:t>.</w:t>
            </w:r>
          </w:p>
        </w:tc>
        <w:tc>
          <w:tcPr>
            <w:tcW w:w="1586" w:type="dxa"/>
            <w:vAlign w:val="center"/>
          </w:tcPr>
          <w:p w14:paraId="64A2818B" w14:textId="77777777" w:rsidR="00355BFB" w:rsidRDefault="00355BFB" w:rsidP="006B5DBD">
            <w:pPr>
              <w:spacing w:after="20"/>
            </w:pPr>
            <w:r>
              <w:rPr>
                <w:rFonts w:ascii="Arial" w:hAnsi="Arial"/>
                <w:sz w:val="14"/>
              </w:rPr>
              <w:t>Cloudera</w:t>
            </w:r>
          </w:p>
        </w:tc>
        <w:tc>
          <w:tcPr>
            <w:tcW w:w="2700" w:type="dxa"/>
            <w:vAlign w:val="center"/>
          </w:tcPr>
          <w:p w14:paraId="4950905B"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111BA5F" w14:textId="77777777" w:rsidTr="006B5DBD">
        <w:trPr>
          <w:jc w:val="center"/>
        </w:trPr>
        <w:tc>
          <w:tcPr>
            <w:tcW w:w="605" w:type="dxa"/>
            <w:vAlign w:val="center"/>
            <w:hideMark/>
          </w:tcPr>
          <w:p w14:paraId="5C882812"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6E7621DD" w14:textId="77777777" w:rsidR="00355BFB" w:rsidRPr="009C207B" w:rsidRDefault="00355BFB" w:rsidP="006B5DBD">
            <w:pPr>
              <w:spacing w:after="20" w:line="278" w:lineRule="auto"/>
              <w:jc w:val="both"/>
            </w:pPr>
            <w:r w:rsidRPr="009C207B">
              <w:rPr>
                <w:rFonts w:ascii="Arial" w:hAnsi="Arial"/>
                <w:sz w:val="14"/>
              </w:rPr>
              <w:t>Tableau Server</w:t>
            </w:r>
          </w:p>
        </w:tc>
        <w:tc>
          <w:tcPr>
            <w:tcW w:w="1800" w:type="dxa"/>
            <w:vAlign w:val="center"/>
            <w:hideMark/>
          </w:tcPr>
          <w:p w14:paraId="44FE07A2" w14:textId="77777777" w:rsidR="00355BFB" w:rsidRPr="009C207B" w:rsidRDefault="00355BFB" w:rsidP="006B5DBD">
            <w:pPr>
              <w:spacing w:after="20" w:line="278" w:lineRule="auto"/>
              <w:jc w:val="both"/>
            </w:pPr>
            <w:r w:rsidRPr="009C207B">
              <w:rPr>
                <w:rFonts w:ascii="Arial" w:hAnsi="Arial"/>
                <w:sz w:val="14"/>
              </w:rPr>
              <w:t>2026.3, subject to vendor confirmation</w:t>
            </w:r>
          </w:p>
        </w:tc>
        <w:tc>
          <w:tcPr>
            <w:tcW w:w="2376" w:type="dxa"/>
            <w:vAlign w:val="center"/>
            <w:hideMark/>
          </w:tcPr>
          <w:p w14:paraId="60779E80" w14:textId="77777777" w:rsidR="00355BFB" w:rsidRPr="009C207B" w:rsidRDefault="00355BFB" w:rsidP="006B5DBD">
            <w:pPr>
              <w:spacing w:after="20" w:line="278" w:lineRule="auto"/>
              <w:jc w:val="both"/>
            </w:pPr>
            <w:r w:rsidRPr="009C207B">
              <w:rPr>
                <w:rFonts w:ascii="Arial" w:hAnsi="Arial"/>
                <w:sz w:val="14"/>
              </w:rPr>
              <w:t>Interactive dashboards, data visualization, business intelligence, and analytics.</w:t>
            </w:r>
          </w:p>
        </w:tc>
        <w:tc>
          <w:tcPr>
            <w:tcW w:w="1586" w:type="dxa"/>
            <w:vAlign w:val="center"/>
          </w:tcPr>
          <w:p w14:paraId="68088DBB" w14:textId="77777777" w:rsidR="00355BFB" w:rsidRPr="00996108" w:rsidRDefault="00355BFB" w:rsidP="006B5DBD">
            <w:pPr>
              <w:spacing w:after="20"/>
              <w:rPr>
                <w:rFonts w:ascii="Arial" w:hAnsi="Arial"/>
                <w:sz w:val="14"/>
              </w:rPr>
            </w:pPr>
            <w:r>
              <w:rPr>
                <w:rFonts w:ascii="Arial" w:hAnsi="Arial"/>
                <w:sz w:val="14"/>
              </w:rPr>
              <w:t>PRAL</w:t>
            </w:r>
          </w:p>
        </w:tc>
        <w:tc>
          <w:tcPr>
            <w:tcW w:w="2700" w:type="dxa"/>
            <w:vAlign w:val="center"/>
          </w:tcPr>
          <w:p w14:paraId="2B323B17" w14:textId="77777777" w:rsidR="00355BFB" w:rsidRPr="00863441" w:rsidRDefault="00355BFB" w:rsidP="006B5DBD">
            <w:pPr>
              <w:spacing w:after="20"/>
              <w:rPr>
                <w:rFonts w:asciiTheme="minorBidi" w:hAnsiTheme="minorBidi"/>
                <w:sz w:val="14"/>
                <w:szCs w:val="14"/>
              </w:rPr>
            </w:pPr>
            <w:r>
              <w:rPr>
                <w:rFonts w:asciiTheme="minorBidi" w:hAnsiTheme="minorBidi"/>
                <w:sz w:val="14"/>
                <w:szCs w:val="14"/>
              </w:rPr>
              <w:t>PRAL</w:t>
            </w:r>
          </w:p>
        </w:tc>
      </w:tr>
    </w:tbl>
    <w:p w14:paraId="6027A042" w14:textId="77777777" w:rsidR="00355BFB" w:rsidRPr="00355BFB" w:rsidRDefault="00355BFB" w:rsidP="00355BFB">
      <w:pPr>
        <w:pStyle w:val="Heading3"/>
      </w:pPr>
      <w:bookmarkStart w:id="22" w:name="_Toc243538513"/>
      <w:r w:rsidRPr="00355BFB">
        <w:t>4. Data Processing and Orchestration</w:t>
      </w:r>
      <w:bookmarkEnd w:id="22"/>
    </w:p>
    <w:tbl>
      <w:tblPr>
        <w:tblStyle w:val="TableGrid"/>
        <w:tblW w:w="0" w:type="auto"/>
        <w:jc w:val="center"/>
        <w:tblLayout w:type="fixed"/>
        <w:tblLook w:val="04A0" w:firstRow="1" w:lastRow="0" w:firstColumn="1" w:lastColumn="0" w:noHBand="0" w:noVBand="1"/>
      </w:tblPr>
      <w:tblGrid>
        <w:gridCol w:w="605"/>
        <w:gridCol w:w="2088"/>
        <w:gridCol w:w="1800"/>
        <w:gridCol w:w="2376"/>
        <w:gridCol w:w="1676"/>
        <w:gridCol w:w="2700"/>
      </w:tblGrid>
      <w:tr w:rsidR="00355BFB" w:rsidRPr="009C207B" w14:paraId="7074F6AA" w14:textId="77777777" w:rsidTr="006B5DBD">
        <w:trPr>
          <w:tblHeader/>
          <w:jc w:val="center"/>
        </w:trPr>
        <w:tc>
          <w:tcPr>
            <w:tcW w:w="605" w:type="dxa"/>
            <w:vAlign w:val="center"/>
            <w:hideMark/>
          </w:tcPr>
          <w:p w14:paraId="6B3BE455"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73B38158"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4875FF89"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71D8FA44"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676" w:type="dxa"/>
            <w:vAlign w:val="center"/>
          </w:tcPr>
          <w:p w14:paraId="2C05F831" w14:textId="77777777" w:rsidR="00355BFB" w:rsidRDefault="00355BFB" w:rsidP="006B5DBD">
            <w:pPr>
              <w:spacing w:after="20"/>
            </w:pPr>
            <w:r>
              <w:rPr>
                <w:rFonts w:ascii="Arial" w:hAnsi="Arial"/>
                <w:sz w:val="14"/>
              </w:rPr>
              <w:t>Vendor Support</w:t>
            </w:r>
          </w:p>
        </w:tc>
        <w:tc>
          <w:tcPr>
            <w:tcW w:w="2700" w:type="dxa"/>
            <w:vAlign w:val="center"/>
          </w:tcPr>
          <w:p w14:paraId="7C0F4271" w14:textId="77777777" w:rsidR="00355BFB" w:rsidRDefault="00355BFB" w:rsidP="006B5DBD">
            <w:pPr>
              <w:spacing w:after="20"/>
            </w:pPr>
            <w:r>
              <w:rPr>
                <w:rFonts w:ascii="Arial" w:hAnsi="Arial"/>
                <w:sz w:val="14"/>
              </w:rPr>
              <w:t>License Model</w:t>
            </w:r>
          </w:p>
        </w:tc>
      </w:tr>
      <w:tr w:rsidR="00355BFB" w:rsidRPr="009C207B" w14:paraId="6B880B30" w14:textId="77777777" w:rsidTr="006B5DBD">
        <w:trPr>
          <w:jc w:val="center"/>
        </w:trPr>
        <w:tc>
          <w:tcPr>
            <w:tcW w:w="605" w:type="dxa"/>
            <w:vAlign w:val="center"/>
            <w:hideMark/>
          </w:tcPr>
          <w:p w14:paraId="5227BD49"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59957827" w14:textId="77777777" w:rsidR="00355BFB" w:rsidRPr="009C207B" w:rsidRDefault="00355BFB" w:rsidP="006B5DBD">
            <w:pPr>
              <w:spacing w:after="20" w:line="278" w:lineRule="auto"/>
              <w:jc w:val="both"/>
            </w:pPr>
            <w:r w:rsidRPr="009C207B">
              <w:rPr>
                <w:rFonts w:ascii="Arial" w:hAnsi="Arial"/>
                <w:sz w:val="14"/>
              </w:rPr>
              <w:t>Oracle Data Integrator (ODI)</w:t>
            </w:r>
          </w:p>
        </w:tc>
        <w:tc>
          <w:tcPr>
            <w:tcW w:w="1800" w:type="dxa"/>
            <w:vAlign w:val="center"/>
            <w:hideMark/>
          </w:tcPr>
          <w:p w14:paraId="562F59D1" w14:textId="77777777" w:rsidR="00355BFB" w:rsidRPr="009C207B" w:rsidRDefault="00355BFB" w:rsidP="006B5DBD">
            <w:pPr>
              <w:spacing w:after="20" w:line="278" w:lineRule="auto"/>
              <w:jc w:val="both"/>
            </w:pPr>
            <w:r w:rsidRPr="009C207B">
              <w:rPr>
                <w:rFonts w:ascii="Arial" w:hAnsi="Arial"/>
                <w:sz w:val="14"/>
              </w:rPr>
              <w:t>14c (14.1.2), latest applicable patch</w:t>
            </w:r>
          </w:p>
        </w:tc>
        <w:tc>
          <w:tcPr>
            <w:tcW w:w="2376" w:type="dxa"/>
            <w:vAlign w:val="center"/>
            <w:hideMark/>
          </w:tcPr>
          <w:p w14:paraId="7195851C" w14:textId="77777777" w:rsidR="00355BFB" w:rsidRPr="009C207B" w:rsidRDefault="00355BFB" w:rsidP="006B5DBD">
            <w:pPr>
              <w:spacing w:after="20" w:line="278" w:lineRule="auto"/>
              <w:jc w:val="both"/>
            </w:pPr>
            <w:r w:rsidRPr="009C207B">
              <w:rPr>
                <w:rFonts w:ascii="Arial" w:hAnsi="Arial"/>
                <w:sz w:val="14"/>
              </w:rPr>
              <w:t>ELT, staging, data transformation, and scheduled integration workflows.</w:t>
            </w:r>
          </w:p>
        </w:tc>
        <w:tc>
          <w:tcPr>
            <w:tcW w:w="1676" w:type="dxa"/>
            <w:vAlign w:val="center"/>
          </w:tcPr>
          <w:p w14:paraId="10206961" w14:textId="77777777" w:rsidR="00355BFB" w:rsidRDefault="00355BFB" w:rsidP="006B5DBD">
            <w:pPr>
              <w:spacing w:after="20"/>
            </w:pPr>
            <w:r>
              <w:rPr>
                <w:rFonts w:ascii="Arial" w:hAnsi="Arial"/>
                <w:sz w:val="14"/>
              </w:rPr>
              <w:t>Oracle</w:t>
            </w:r>
          </w:p>
        </w:tc>
        <w:tc>
          <w:tcPr>
            <w:tcW w:w="2700" w:type="dxa"/>
            <w:vAlign w:val="center"/>
          </w:tcPr>
          <w:p w14:paraId="4677586C" w14:textId="77777777" w:rsidR="00355BFB" w:rsidRPr="00863441" w:rsidRDefault="00355BFB" w:rsidP="006B5DBD">
            <w:pPr>
              <w:spacing w:after="20"/>
              <w:rPr>
                <w:rFonts w:asciiTheme="minorBidi" w:hAnsiTheme="minorBidi"/>
                <w:sz w:val="14"/>
                <w:szCs w:val="14"/>
              </w:rPr>
            </w:pPr>
          </w:p>
        </w:tc>
      </w:tr>
      <w:tr w:rsidR="00355BFB" w:rsidRPr="009C207B" w14:paraId="1697947E" w14:textId="77777777" w:rsidTr="006B5DBD">
        <w:trPr>
          <w:jc w:val="center"/>
        </w:trPr>
        <w:tc>
          <w:tcPr>
            <w:tcW w:w="605" w:type="dxa"/>
            <w:vAlign w:val="center"/>
            <w:hideMark/>
          </w:tcPr>
          <w:p w14:paraId="5D22161D"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7FB7431A" w14:textId="77777777" w:rsidR="00355BFB" w:rsidRPr="009C207B" w:rsidRDefault="00355BFB" w:rsidP="006B5DBD">
            <w:pPr>
              <w:spacing w:after="20" w:line="278" w:lineRule="auto"/>
              <w:jc w:val="both"/>
            </w:pPr>
            <w:r w:rsidRPr="009C207B">
              <w:rPr>
                <w:rFonts w:ascii="Arial" w:hAnsi="Arial"/>
                <w:sz w:val="14"/>
              </w:rPr>
              <w:t>Cloudera Data Engineering</w:t>
            </w:r>
          </w:p>
        </w:tc>
        <w:tc>
          <w:tcPr>
            <w:tcW w:w="1800" w:type="dxa"/>
            <w:vAlign w:val="center"/>
            <w:hideMark/>
          </w:tcPr>
          <w:p w14:paraId="34964437"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03C3D0EB" w14:textId="77777777" w:rsidR="00355BFB" w:rsidRPr="009C207B" w:rsidRDefault="00355BFB" w:rsidP="006B5DBD">
            <w:pPr>
              <w:spacing w:after="20" w:line="278" w:lineRule="auto"/>
              <w:jc w:val="both"/>
            </w:pPr>
            <w:r w:rsidRPr="009C207B">
              <w:rPr>
                <w:rFonts w:ascii="Arial" w:hAnsi="Arial"/>
                <w:sz w:val="14"/>
              </w:rPr>
              <w:t>Managed data engineering, Spark jobs, and data pipeline orchestration.</w:t>
            </w:r>
          </w:p>
        </w:tc>
        <w:tc>
          <w:tcPr>
            <w:tcW w:w="1676" w:type="dxa"/>
            <w:vAlign w:val="center"/>
          </w:tcPr>
          <w:p w14:paraId="0A32802C" w14:textId="77777777" w:rsidR="00355BFB" w:rsidRDefault="00355BFB" w:rsidP="006B5DBD">
            <w:pPr>
              <w:spacing w:after="20"/>
            </w:pPr>
            <w:r>
              <w:rPr>
                <w:rFonts w:ascii="Arial" w:hAnsi="Arial"/>
                <w:sz w:val="14"/>
              </w:rPr>
              <w:t>Cloudera</w:t>
            </w:r>
          </w:p>
        </w:tc>
        <w:tc>
          <w:tcPr>
            <w:tcW w:w="2700" w:type="dxa"/>
            <w:vAlign w:val="center"/>
          </w:tcPr>
          <w:p w14:paraId="4E6BBF52"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EBDDE63" w14:textId="77777777" w:rsidTr="006B5DBD">
        <w:trPr>
          <w:jc w:val="center"/>
        </w:trPr>
        <w:tc>
          <w:tcPr>
            <w:tcW w:w="605" w:type="dxa"/>
            <w:vAlign w:val="center"/>
            <w:hideMark/>
          </w:tcPr>
          <w:p w14:paraId="5028683C"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3933A40F" w14:textId="77777777" w:rsidR="00355BFB" w:rsidRPr="009C207B" w:rsidRDefault="00355BFB" w:rsidP="006B5DBD">
            <w:pPr>
              <w:spacing w:after="20" w:line="278" w:lineRule="auto"/>
              <w:jc w:val="both"/>
            </w:pPr>
            <w:r w:rsidRPr="009C207B">
              <w:rPr>
                <w:rFonts w:ascii="Arial" w:hAnsi="Arial"/>
                <w:sz w:val="14"/>
              </w:rPr>
              <w:t xml:space="preserve">Apache Airflow </w:t>
            </w:r>
          </w:p>
        </w:tc>
        <w:tc>
          <w:tcPr>
            <w:tcW w:w="1800" w:type="dxa"/>
            <w:vAlign w:val="center"/>
            <w:hideMark/>
          </w:tcPr>
          <w:p w14:paraId="0D299A43" w14:textId="77777777" w:rsidR="00355BFB" w:rsidRPr="009C207B" w:rsidRDefault="00355BFB" w:rsidP="006B5DBD">
            <w:pPr>
              <w:spacing w:after="20" w:line="278" w:lineRule="auto"/>
              <w:jc w:val="both"/>
            </w:pPr>
            <w:r>
              <w:rPr>
                <w:rFonts w:ascii="Arial" w:hAnsi="Arial"/>
                <w:sz w:val="14"/>
              </w:rPr>
              <w:t>T&gt;B&gt;D</w:t>
            </w:r>
          </w:p>
        </w:tc>
        <w:tc>
          <w:tcPr>
            <w:tcW w:w="2376" w:type="dxa"/>
            <w:vAlign w:val="center"/>
            <w:hideMark/>
          </w:tcPr>
          <w:p w14:paraId="100FA268" w14:textId="77777777" w:rsidR="00355BFB" w:rsidRPr="009C207B" w:rsidRDefault="00355BFB" w:rsidP="006B5DBD">
            <w:pPr>
              <w:spacing w:after="20" w:line="278" w:lineRule="auto"/>
              <w:jc w:val="both"/>
            </w:pPr>
            <w:r w:rsidRPr="009C207B">
              <w:rPr>
                <w:rFonts w:ascii="Arial" w:hAnsi="Arial"/>
                <w:sz w:val="14"/>
              </w:rPr>
              <w:t>Workflow scheduling, task dependencies, retries, and pipeline monitoring.</w:t>
            </w:r>
          </w:p>
        </w:tc>
        <w:tc>
          <w:tcPr>
            <w:tcW w:w="1676" w:type="dxa"/>
            <w:vAlign w:val="center"/>
          </w:tcPr>
          <w:p w14:paraId="42D62DBF" w14:textId="77777777" w:rsidR="00355BFB" w:rsidRDefault="00355BFB" w:rsidP="006B5DBD">
            <w:pPr>
              <w:spacing w:after="20"/>
            </w:pPr>
            <w:r>
              <w:rPr>
                <w:rFonts w:ascii="Arial" w:hAnsi="Arial"/>
                <w:sz w:val="14"/>
              </w:rPr>
              <w:t>T&gt;B&gt;D</w:t>
            </w:r>
          </w:p>
        </w:tc>
        <w:tc>
          <w:tcPr>
            <w:tcW w:w="2700" w:type="dxa"/>
            <w:vAlign w:val="center"/>
          </w:tcPr>
          <w:p w14:paraId="2DA5DA8B"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p>
        </w:tc>
      </w:tr>
      <w:tr w:rsidR="00355BFB" w:rsidRPr="009C207B" w14:paraId="39268E76" w14:textId="77777777" w:rsidTr="006B5DBD">
        <w:trPr>
          <w:jc w:val="center"/>
        </w:trPr>
        <w:tc>
          <w:tcPr>
            <w:tcW w:w="605" w:type="dxa"/>
            <w:vAlign w:val="center"/>
            <w:hideMark/>
          </w:tcPr>
          <w:p w14:paraId="65095846"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328C6D3E" w14:textId="77777777" w:rsidR="00355BFB" w:rsidRPr="009C207B" w:rsidRDefault="00355BFB" w:rsidP="006B5DBD">
            <w:pPr>
              <w:spacing w:after="20" w:line="278" w:lineRule="auto"/>
              <w:jc w:val="both"/>
            </w:pPr>
            <w:r w:rsidRPr="009C207B">
              <w:rPr>
                <w:rFonts w:ascii="Arial" w:hAnsi="Arial"/>
                <w:sz w:val="14"/>
              </w:rPr>
              <w:t>Apache Spark on Cloudera</w:t>
            </w:r>
          </w:p>
        </w:tc>
        <w:tc>
          <w:tcPr>
            <w:tcW w:w="1800" w:type="dxa"/>
            <w:vAlign w:val="center"/>
            <w:hideMark/>
          </w:tcPr>
          <w:p w14:paraId="5047A802"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68052F50" w14:textId="77777777" w:rsidR="00355BFB" w:rsidRPr="009C207B" w:rsidRDefault="00355BFB" w:rsidP="006B5DBD">
            <w:pPr>
              <w:spacing w:after="20" w:line="278" w:lineRule="auto"/>
              <w:jc w:val="both"/>
            </w:pPr>
            <w:r w:rsidRPr="009C207B">
              <w:rPr>
                <w:rFonts w:ascii="Arial" w:hAnsi="Arial"/>
                <w:sz w:val="14"/>
              </w:rPr>
              <w:t>Distributed batch processing, data transformation, and large-scale analytics.</w:t>
            </w:r>
          </w:p>
        </w:tc>
        <w:tc>
          <w:tcPr>
            <w:tcW w:w="1676" w:type="dxa"/>
            <w:vAlign w:val="center"/>
          </w:tcPr>
          <w:p w14:paraId="29F5010E" w14:textId="77777777" w:rsidR="00355BFB" w:rsidRDefault="00355BFB" w:rsidP="006B5DBD">
            <w:pPr>
              <w:spacing w:after="20"/>
            </w:pPr>
            <w:r>
              <w:rPr>
                <w:rFonts w:ascii="Arial" w:hAnsi="Arial"/>
                <w:sz w:val="14"/>
              </w:rPr>
              <w:t xml:space="preserve">Cloudera </w:t>
            </w:r>
          </w:p>
        </w:tc>
        <w:tc>
          <w:tcPr>
            <w:tcW w:w="2700" w:type="dxa"/>
            <w:vAlign w:val="center"/>
          </w:tcPr>
          <w:p w14:paraId="37364CA1"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7136151" w14:textId="77777777" w:rsidTr="006B5DBD">
        <w:trPr>
          <w:jc w:val="center"/>
        </w:trPr>
        <w:tc>
          <w:tcPr>
            <w:tcW w:w="605" w:type="dxa"/>
            <w:vAlign w:val="center"/>
            <w:hideMark/>
          </w:tcPr>
          <w:p w14:paraId="173413C5" w14:textId="77777777" w:rsidR="00355BFB" w:rsidRPr="009C207B" w:rsidRDefault="00355BFB" w:rsidP="006B5DBD">
            <w:pPr>
              <w:spacing w:after="20" w:line="278" w:lineRule="auto"/>
              <w:jc w:val="both"/>
            </w:pPr>
            <w:r w:rsidRPr="009C207B">
              <w:rPr>
                <w:rFonts w:ascii="Arial" w:hAnsi="Arial"/>
                <w:sz w:val="14"/>
              </w:rPr>
              <w:t>5</w:t>
            </w:r>
          </w:p>
        </w:tc>
        <w:tc>
          <w:tcPr>
            <w:tcW w:w="2088" w:type="dxa"/>
            <w:vAlign w:val="center"/>
            <w:hideMark/>
          </w:tcPr>
          <w:p w14:paraId="43E72A4F" w14:textId="77777777" w:rsidR="00355BFB" w:rsidRPr="009C207B" w:rsidRDefault="00355BFB" w:rsidP="006B5DBD">
            <w:pPr>
              <w:spacing w:after="20" w:line="278" w:lineRule="auto"/>
              <w:jc w:val="both"/>
            </w:pPr>
            <w:r w:rsidRPr="009C207B">
              <w:rPr>
                <w:rFonts w:ascii="Arial" w:hAnsi="Arial"/>
                <w:sz w:val="14"/>
              </w:rPr>
              <w:t>Cloudera Streaming Analytics</w:t>
            </w:r>
          </w:p>
        </w:tc>
        <w:tc>
          <w:tcPr>
            <w:tcW w:w="1800" w:type="dxa"/>
            <w:vAlign w:val="center"/>
            <w:hideMark/>
          </w:tcPr>
          <w:p w14:paraId="164EE5F4"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6BD87F87" w14:textId="77777777" w:rsidR="00355BFB" w:rsidRPr="009C207B" w:rsidRDefault="00355BFB" w:rsidP="006B5DBD">
            <w:pPr>
              <w:spacing w:after="20" w:line="278" w:lineRule="auto"/>
              <w:jc w:val="both"/>
            </w:pPr>
            <w:r w:rsidRPr="009C207B">
              <w:rPr>
                <w:rFonts w:ascii="Arial" w:hAnsi="Arial"/>
                <w:sz w:val="14"/>
              </w:rPr>
              <w:t>Real-time event processing and streaming analytics.</w:t>
            </w:r>
          </w:p>
        </w:tc>
        <w:tc>
          <w:tcPr>
            <w:tcW w:w="1676" w:type="dxa"/>
            <w:vAlign w:val="center"/>
          </w:tcPr>
          <w:p w14:paraId="6BA15F97" w14:textId="77777777" w:rsidR="00355BFB" w:rsidRDefault="00355BFB" w:rsidP="006B5DBD">
            <w:pPr>
              <w:spacing w:after="20"/>
            </w:pPr>
            <w:r>
              <w:rPr>
                <w:rFonts w:ascii="Arial" w:hAnsi="Arial"/>
                <w:sz w:val="14"/>
              </w:rPr>
              <w:t xml:space="preserve">Cloudera </w:t>
            </w:r>
          </w:p>
        </w:tc>
        <w:tc>
          <w:tcPr>
            <w:tcW w:w="2700" w:type="dxa"/>
            <w:vAlign w:val="center"/>
          </w:tcPr>
          <w:p w14:paraId="28DD264F"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37B4B4B7" w14:textId="77777777" w:rsidTr="006B5DBD">
        <w:trPr>
          <w:jc w:val="center"/>
        </w:trPr>
        <w:tc>
          <w:tcPr>
            <w:tcW w:w="605" w:type="dxa"/>
            <w:vAlign w:val="center"/>
            <w:hideMark/>
          </w:tcPr>
          <w:p w14:paraId="4D89383E" w14:textId="77777777" w:rsidR="00355BFB" w:rsidRPr="009C207B" w:rsidRDefault="00355BFB" w:rsidP="006B5DBD">
            <w:pPr>
              <w:spacing w:after="20" w:line="278" w:lineRule="auto"/>
              <w:jc w:val="both"/>
            </w:pPr>
            <w:r w:rsidRPr="009C207B">
              <w:rPr>
                <w:rFonts w:ascii="Arial" w:hAnsi="Arial"/>
                <w:sz w:val="14"/>
              </w:rPr>
              <w:lastRenderedPageBreak/>
              <w:t>6</w:t>
            </w:r>
          </w:p>
        </w:tc>
        <w:tc>
          <w:tcPr>
            <w:tcW w:w="2088" w:type="dxa"/>
            <w:vAlign w:val="center"/>
            <w:hideMark/>
          </w:tcPr>
          <w:p w14:paraId="243F77DE" w14:textId="77777777" w:rsidR="00355BFB" w:rsidRPr="009C207B" w:rsidRDefault="00355BFB" w:rsidP="006B5DBD">
            <w:pPr>
              <w:spacing w:after="20" w:line="278" w:lineRule="auto"/>
              <w:jc w:val="both"/>
            </w:pPr>
            <w:r w:rsidRPr="009C207B">
              <w:rPr>
                <w:rFonts w:ascii="Arial" w:hAnsi="Arial"/>
                <w:sz w:val="14"/>
              </w:rPr>
              <w:t xml:space="preserve">Apache Flink </w:t>
            </w:r>
          </w:p>
        </w:tc>
        <w:tc>
          <w:tcPr>
            <w:tcW w:w="1800" w:type="dxa"/>
            <w:vAlign w:val="center"/>
            <w:hideMark/>
          </w:tcPr>
          <w:p w14:paraId="31E65538"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6C600974" w14:textId="77777777" w:rsidR="00355BFB" w:rsidRPr="009C207B" w:rsidRDefault="00355BFB" w:rsidP="006B5DBD">
            <w:pPr>
              <w:spacing w:after="20" w:line="278" w:lineRule="auto"/>
              <w:jc w:val="both"/>
            </w:pPr>
            <w:r w:rsidRPr="009C207B">
              <w:rPr>
                <w:rFonts w:ascii="Arial" w:hAnsi="Arial"/>
                <w:sz w:val="14"/>
              </w:rPr>
              <w:t>Stateful stream processing, event-time computation, and low-latency analytics.</w:t>
            </w:r>
          </w:p>
        </w:tc>
        <w:tc>
          <w:tcPr>
            <w:tcW w:w="1676" w:type="dxa"/>
            <w:vAlign w:val="center"/>
          </w:tcPr>
          <w:p w14:paraId="3B578540" w14:textId="77777777" w:rsidR="00355BFB" w:rsidRDefault="00355BFB" w:rsidP="006B5DBD">
            <w:pPr>
              <w:spacing w:after="20"/>
            </w:pPr>
            <w:r>
              <w:rPr>
                <w:rFonts w:ascii="Arial" w:hAnsi="Arial"/>
                <w:sz w:val="14"/>
              </w:rPr>
              <w:t>Cloudera</w:t>
            </w:r>
          </w:p>
        </w:tc>
        <w:tc>
          <w:tcPr>
            <w:tcW w:w="2700" w:type="dxa"/>
            <w:vAlign w:val="center"/>
          </w:tcPr>
          <w:p w14:paraId="279FC77C"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269BE34" w14:textId="77777777" w:rsidTr="006B5DBD">
        <w:trPr>
          <w:jc w:val="center"/>
        </w:trPr>
        <w:tc>
          <w:tcPr>
            <w:tcW w:w="605" w:type="dxa"/>
            <w:vAlign w:val="center"/>
            <w:hideMark/>
          </w:tcPr>
          <w:p w14:paraId="2A85B410" w14:textId="77777777" w:rsidR="00355BFB" w:rsidRPr="009C207B" w:rsidRDefault="00355BFB" w:rsidP="006B5DBD">
            <w:pPr>
              <w:spacing w:after="20" w:line="278" w:lineRule="auto"/>
              <w:jc w:val="both"/>
            </w:pPr>
            <w:r w:rsidRPr="009C207B">
              <w:rPr>
                <w:rFonts w:ascii="Arial" w:hAnsi="Arial"/>
                <w:sz w:val="14"/>
              </w:rPr>
              <w:t>7</w:t>
            </w:r>
          </w:p>
        </w:tc>
        <w:tc>
          <w:tcPr>
            <w:tcW w:w="2088" w:type="dxa"/>
            <w:vAlign w:val="center"/>
            <w:hideMark/>
          </w:tcPr>
          <w:p w14:paraId="66598CA6" w14:textId="77777777" w:rsidR="00355BFB" w:rsidRPr="009C207B" w:rsidRDefault="00355BFB" w:rsidP="006B5DBD">
            <w:pPr>
              <w:spacing w:after="20" w:line="278" w:lineRule="auto"/>
              <w:jc w:val="both"/>
            </w:pPr>
            <w:r w:rsidRPr="009C207B">
              <w:rPr>
                <w:rFonts w:ascii="Arial" w:hAnsi="Arial"/>
                <w:sz w:val="14"/>
              </w:rPr>
              <w:t>Cloudera AI</w:t>
            </w:r>
          </w:p>
        </w:tc>
        <w:tc>
          <w:tcPr>
            <w:tcW w:w="1800" w:type="dxa"/>
            <w:vAlign w:val="center"/>
            <w:hideMark/>
          </w:tcPr>
          <w:p w14:paraId="1475970C"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7E30598F" w14:textId="77777777" w:rsidR="00355BFB" w:rsidRPr="009C207B" w:rsidRDefault="00355BFB" w:rsidP="006B5DBD">
            <w:pPr>
              <w:spacing w:after="20" w:line="278" w:lineRule="auto"/>
              <w:jc w:val="both"/>
            </w:pPr>
            <w:r w:rsidRPr="009C207B">
              <w:rPr>
                <w:rFonts w:ascii="Arial" w:hAnsi="Arial"/>
                <w:sz w:val="14"/>
              </w:rPr>
              <w:t xml:space="preserve">Feature management, model registry, inference, model serving, and </w:t>
            </w:r>
            <w:proofErr w:type="spellStart"/>
            <w:r w:rsidRPr="009C207B">
              <w:rPr>
                <w:rFonts w:ascii="Arial" w:hAnsi="Arial"/>
                <w:sz w:val="14"/>
              </w:rPr>
              <w:t>MLOps</w:t>
            </w:r>
            <w:proofErr w:type="spellEnd"/>
            <w:r w:rsidRPr="009C207B">
              <w:rPr>
                <w:rFonts w:ascii="Arial" w:hAnsi="Arial"/>
                <w:sz w:val="14"/>
              </w:rPr>
              <w:t>.</w:t>
            </w:r>
          </w:p>
        </w:tc>
        <w:tc>
          <w:tcPr>
            <w:tcW w:w="1676" w:type="dxa"/>
            <w:vAlign w:val="center"/>
          </w:tcPr>
          <w:p w14:paraId="1FE8B79D" w14:textId="77777777" w:rsidR="00355BFB" w:rsidRDefault="00355BFB" w:rsidP="006B5DBD">
            <w:pPr>
              <w:spacing w:after="20"/>
            </w:pPr>
            <w:r>
              <w:rPr>
                <w:rFonts w:ascii="Arial" w:hAnsi="Arial"/>
                <w:sz w:val="14"/>
              </w:rPr>
              <w:t xml:space="preserve">Cloudera </w:t>
            </w:r>
          </w:p>
        </w:tc>
        <w:tc>
          <w:tcPr>
            <w:tcW w:w="2700" w:type="dxa"/>
            <w:vAlign w:val="center"/>
          </w:tcPr>
          <w:p w14:paraId="3DD8D4D5"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6DB2AE06" w14:textId="77777777" w:rsidR="00355BFB" w:rsidRPr="00355BFB" w:rsidRDefault="00355BFB" w:rsidP="00355BFB">
      <w:pPr>
        <w:pStyle w:val="Heading3"/>
      </w:pPr>
      <w:bookmarkStart w:id="23" w:name="_Toc243538514"/>
      <w:r w:rsidRPr="00355BFB">
        <w:t>5. Data Governance and Master Data Management</w:t>
      </w:r>
      <w:bookmarkEnd w:id="23"/>
    </w:p>
    <w:tbl>
      <w:tblPr>
        <w:tblStyle w:val="TableGrid"/>
        <w:tblW w:w="0" w:type="auto"/>
        <w:jc w:val="center"/>
        <w:tblLayout w:type="fixed"/>
        <w:tblLook w:val="04A0" w:firstRow="1" w:lastRow="0" w:firstColumn="1" w:lastColumn="0" w:noHBand="0" w:noVBand="1"/>
      </w:tblPr>
      <w:tblGrid>
        <w:gridCol w:w="605"/>
        <w:gridCol w:w="2088"/>
        <w:gridCol w:w="1800"/>
        <w:gridCol w:w="2376"/>
        <w:gridCol w:w="1676"/>
        <w:gridCol w:w="2610"/>
      </w:tblGrid>
      <w:tr w:rsidR="00355BFB" w:rsidRPr="009C207B" w14:paraId="4AE6F98B" w14:textId="77777777" w:rsidTr="006B5DBD">
        <w:trPr>
          <w:tblHeader/>
          <w:jc w:val="center"/>
        </w:trPr>
        <w:tc>
          <w:tcPr>
            <w:tcW w:w="605" w:type="dxa"/>
            <w:vAlign w:val="center"/>
            <w:hideMark/>
          </w:tcPr>
          <w:p w14:paraId="7ACB13E9"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5BC7DC09"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1D5131FE"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4EF7A641"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676" w:type="dxa"/>
            <w:vAlign w:val="center"/>
          </w:tcPr>
          <w:p w14:paraId="0DB1E24F" w14:textId="77777777" w:rsidR="00355BFB" w:rsidRDefault="00355BFB" w:rsidP="006B5DBD">
            <w:pPr>
              <w:spacing w:after="20"/>
            </w:pPr>
            <w:r>
              <w:rPr>
                <w:rFonts w:ascii="Arial" w:hAnsi="Arial"/>
                <w:sz w:val="14"/>
              </w:rPr>
              <w:t>Vendor Support</w:t>
            </w:r>
          </w:p>
        </w:tc>
        <w:tc>
          <w:tcPr>
            <w:tcW w:w="2610" w:type="dxa"/>
            <w:vAlign w:val="center"/>
          </w:tcPr>
          <w:p w14:paraId="7C43AA3E" w14:textId="77777777" w:rsidR="00355BFB" w:rsidRDefault="00355BFB" w:rsidP="006B5DBD">
            <w:pPr>
              <w:spacing w:after="20"/>
            </w:pPr>
            <w:r>
              <w:rPr>
                <w:rFonts w:ascii="Arial" w:hAnsi="Arial"/>
                <w:sz w:val="14"/>
              </w:rPr>
              <w:t>License Model</w:t>
            </w:r>
          </w:p>
        </w:tc>
      </w:tr>
      <w:tr w:rsidR="00355BFB" w:rsidRPr="009C207B" w14:paraId="5E397281" w14:textId="77777777" w:rsidTr="006B5DBD">
        <w:trPr>
          <w:jc w:val="center"/>
        </w:trPr>
        <w:tc>
          <w:tcPr>
            <w:tcW w:w="605" w:type="dxa"/>
            <w:vAlign w:val="center"/>
            <w:hideMark/>
          </w:tcPr>
          <w:p w14:paraId="1A002E6D"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1401D8C7" w14:textId="77777777" w:rsidR="00355BFB" w:rsidRPr="009C207B" w:rsidRDefault="00355BFB" w:rsidP="006B5DBD">
            <w:pPr>
              <w:spacing w:after="20" w:line="278" w:lineRule="auto"/>
              <w:jc w:val="both"/>
            </w:pPr>
            <w:proofErr w:type="spellStart"/>
            <w:r w:rsidRPr="008110CF">
              <w:rPr>
                <w:rFonts w:ascii="Arial" w:hAnsi="Arial"/>
                <w:sz w:val="14"/>
              </w:rPr>
              <w:t>Semarchy</w:t>
            </w:r>
            <w:proofErr w:type="spellEnd"/>
            <w:r w:rsidRPr="008110CF">
              <w:rPr>
                <w:rFonts w:ascii="Arial" w:hAnsi="Arial"/>
                <w:sz w:val="14"/>
              </w:rPr>
              <w:t xml:space="preserve"> Data Platform</w:t>
            </w:r>
          </w:p>
        </w:tc>
        <w:tc>
          <w:tcPr>
            <w:tcW w:w="1800" w:type="dxa"/>
            <w:vAlign w:val="center"/>
            <w:hideMark/>
          </w:tcPr>
          <w:p w14:paraId="25E60138" w14:textId="77777777" w:rsidR="00355BFB" w:rsidRPr="009C207B" w:rsidRDefault="00355BFB" w:rsidP="006B5DBD">
            <w:pPr>
              <w:spacing w:after="20" w:line="278" w:lineRule="auto"/>
              <w:jc w:val="both"/>
            </w:pPr>
            <w:r>
              <w:rPr>
                <w:rFonts w:ascii="Arial" w:hAnsi="Arial"/>
                <w:b/>
                <w:bCs/>
                <w:sz w:val="14"/>
              </w:rPr>
              <w:t>Latest Version</w:t>
            </w:r>
          </w:p>
        </w:tc>
        <w:tc>
          <w:tcPr>
            <w:tcW w:w="2376" w:type="dxa"/>
            <w:vAlign w:val="center"/>
            <w:hideMark/>
          </w:tcPr>
          <w:p w14:paraId="03C97A4B" w14:textId="77777777" w:rsidR="00355BFB" w:rsidRPr="009C207B" w:rsidRDefault="00355BFB" w:rsidP="006B5DBD">
            <w:pPr>
              <w:spacing w:after="20" w:line="278" w:lineRule="auto"/>
              <w:jc w:val="both"/>
            </w:pPr>
            <w:r w:rsidRPr="009C207B">
              <w:rPr>
                <w:rFonts w:ascii="Arial" w:hAnsi="Arial"/>
                <w:sz w:val="14"/>
              </w:rPr>
              <w:t>Enterprise data governance, metadata management, data quality, profiling, MDM, RDM, golden records, matching, and survivorship.</w:t>
            </w:r>
          </w:p>
        </w:tc>
        <w:tc>
          <w:tcPr>
            <w:tcW w:w="1676" w:type="dxa"/>
            <w:vAlign w:val="center"/>
          </w:tcPr>
          <w:p w14:paraId="63654485" w14:textId="77777777" w:rsidR="00355BFB" w:rsidRDefault="00355BFB" w:rsidP="006B5DBD">
            <w:pPr>
              <w:spacing w:after="20"/>
            </w:pPr>
            <w:proofErr w:type="spellStart"/>
            <w:r>
              <w:rPr>
                <w:rFonts w:ascii="Arial" w:hAnsi="Arial"/>
                <w:sz w:val="14"/>
              </w:rPr>
              <w:t>Semarchy</w:t>
            </w:r>
            <w:proofErr w:type="spellEnd"/>
          </w:p>
        </w:tc>
        <w:tc>
          <w:tcPr>
            <w:tcW w:w="2610" w:type="dxa"/>
            <w:vAlign w:val="center"/>
          </w:tcPr>
          <w:p w14:paraId="3F0281C7"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p>
        </w:tc>
      </w:tr>
    </w:tbl>
    <w:p w14:paraId="5CEA9614" w14:textId="77777777" w:rsidR="00355BFB" w:rsidRPr="00355BFB" w:rsidRDefault="00355BFB" w:rsidP="00355BFB">
      <w:pPr>
        <w:pStyle w:val="Heading3"/>
      </w:pPr>
      <w:bookmarkStart w:id="24" w:name="_Toc243538515"/>
      <w:r w:rsidRPr="00355BFB">
        <w:t>6. Security and Identity Management</w:t>
      </w:r>
      <w:bookmarkEnd w:id="24"/>
    </w:p>
    <w:tbl>
      <w:tblPr>
        <w:tblStyle w:val="TableGrid"/>
        <w:tblW w:w="0" w:type="auto"/>
        <w:jc w:val="center"/>
        <w:tblLayout w:type="fixed"/>
        <w:tblLook w:val="04A0" w:firstRow="1" w:lastRow="0" w:firstColumn="1" w:lastColumn="0" w:noHBand="0" w:noVBand="1"/>
      </w:tblPr>
      <w:tblGrid>
        <w:gridCol w:w="605"/>
        <w:gridCol w:w="2088"/>
        <w:gridCol w:w="1800"/>
        <w:gridCol w:w="2376"/>
        <w:gridCol w:w="1676"/>
        <w:gridCol w:w="2700"/>
      </w:tblGrid>
      <w:tr w:rsidR="00355BFB" w:rsidRPr="009C207B" w14:paraId="49299BDD" w14:textId="77777777" w:rsidTr="006B5DBD">
        <w:trPr>
          <w:tblHeader/>
          <w:jc w:val="center"/>
        </w:trPr>
        <w:tc>
          <w:tcPr>
            <w:tcW w:w="605" w:type="dxa"/>
            <w:vAlign w:val="center"/>
            <w:hideMark/>
          </w:tcPr>
          <w:p w14:paraId="2E8C6797"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5B6EDC07"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46FBE005"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47CDF3BC"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676" w:type="dxa"/>
            <w:vAlign w:val="center"/>
          </w:tcPr>
          <w:p w14:paraId="430C5DEC" w14:textId="77777777" w:rsidR="00355BFB" w:rsidRDefault="00355BFB" w:rsidP="006B5DBD">
            <w:pPr>
              <w:spacing w:after="20"/>
            </w:pPr>
            <w:r>
              <w:rPr>
                <w:rFonts w:ascii="Arial" w:hAnsi="Arial"/>
                <w:sz w:val="14"/>
              </w:rPr>
              <w:t>Vendor Support</w:t>
            </w:r>
          </w:p>
        </w:tc>
        <w:tc>
          <w:tcPr>
            <w:tcW w:w="2700" w:type="dxa"/>
            <w:vAlign w:val="center"/>
          </w:tcPr>
          <w:p w14:paraId="4C7BEC6B" w14:textId="77777777" w:rsidR="00355BFB" w:rsidRDefault="00355BFB" w:rsidP="006B5DBD">
            <w:pPr>
              <w:spacing w:after="20"/>
            </w:pPr>
            <w:r>
              <w:rPr>
                <w:rFonts w:ascii="Arial" w:hAnsi="Arial"/>
                <w:sz w:val="14"/>
              </w:rPr>
              <w:t>License Model</w:t>
            </w:r>
          </w:p>
        </w:tc>
      </w:tr>
      <w:tr w:rsidR="00355BFB" w:rsidRPr="009C207B" w14:paraId="0F00B156" w14:textId="77777777" w:rsidTr="006B5DBD">
        <w:trPr>
          <w:jc w:val="center"/>
        </w:trPr>
        <w:tc>
          <w:tcPr>
            <w:tcW w:w="605" w:type="dxa"/>
            <w:vAlign w:val="center"/>
            <w:hideMark/>
          </w:tcPr>
          <w:p w14:paraId="5C4D42B4"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1B04CFEE" w14:textId="77777777" w:rsidR="00355BFB" w:rsidRPr="009C207B" w:rsidRDefault="00355BFB" w:rsidP="006B5DBD">
            <w:pPr>
              <w:spacing w:after="20" w:line="278" w:lineRule="auto"/>
              <w:jc w:val="both"/>
            </w:pPr>
            <w:r>
              <w:rPr>
                <w:rFonts w:ascii="Arial" w:hAnsi="Arial"/>
                <w:sz w:val="14"/>
              </w:rPr>
              <w:t>SSO</w:t>
            </w:r>
          </w:p>
        </w:tc>
        <w:tc>
          <w:tcPr>
            <w:tcW w:w="1800" w:type="dxa"/>
            <w:vAlign w:val="center"/>
            <w:hideMark/>
          </w:tcPr>
          <w:p w14:paraId="22A99D74" w14:textId="77777777" w:rsidR="00355BFB" w:rsidRPr="009C207B" w:rsidRDefault="00355BFB" w:rsidP="006B5DBD">
            <w:pPr>
              <w:spacing w:after="20" w:line="278" w:lineRule="auto"/>
              <w:jc w:val="both"/>
            </w:pPr>
          </w:p>
        </w:tc>
        <w:tc>
          <w:tcPr>
            <w:tcW w:w="2376" w:type="dxa"/>
            <w:vAlign w:val="center"/>
            <w:hideMark/>
          </w:tcPr>
          <w:p w14:paraId="600A2343" w14:textId="77777777" w:rsidR="00355BFB" w:rsidRPr="009C207B" w:rsidRDefault="00355BFB" w:rsidP="006B5DBD">
            <w:pPr>
              <w:spacing w:after="20" w:line="278" w:lineRule="auto"/>
              <w:jc w:val="both"/>
            </w:pPr>
            <w:r w:rsidRPr="009C207B">
              <w:rPr>
                <w:rFonts w:ascii="Arial" w:hAnsi="Arial"/>
                <w:sz w:val="14"/>
              </w:rPr>
              <w:t>Identity management, SSO, authentication, and identity federation.</w:t>
            </w:r>
          </w:p>
        </w:tc>
        <w:tc>
          <w:tcPr>
            <w:tcW w:w="1676" w:type="dxa"/>
            <w:vAlign w:val="center"/>
          </w:tcPr>
          <w:p w14:paraId="7FF79D0C" w14:textId="77777777" w:rsidR="00355BFB" w:rsidRDefault="00355BFB" w:rsidP="006B5DBD">
            <w:pPr>
              <w:spacing w:after="20"/>
            </w:pPr>
            <w:r>
              <w:rPr>
                <w:rFonts w:ascii="Arial" w:hAnsi="Arial"/>
                <w:sz w:val="14"/>
              </w:rPr>
              <w:t>PRAL</w:t>
            </w:r>
          </w:p>
        </w:tc>
        <w:tc>
          <w:tcPr>
            <w:tcW w:w="2700" w:type="dxa"/>
            <w:vAlign w:val="center"/>
          </w:tcPr>
          <w:p w14:paraId="5950E226" w14:textId="77777777" w:rsidR="00355BFB" w:rsidRPr="00863441" w:rsidRDefault="00355BFB" w:rsidP="006B5DBD">
            <w:pPr>
              <w:spacing w:after="20"/>
              <w:rPr>
                <w:rFonts w:asciiTheme="minorBidi" w:hAnsiTheme="minorBidi"/>
                <w:sz w:val="14"/>
                <w:szCs w:val="14"/>
              </w:rPr>
            </w:pPr>
            <w:r>
              <w:rPr>
                <w:rFonts w:asciiTheme="minorBidi" w:hAnsiTheme="minorBidi"/>
                <w:sz w:val="14"/>
                <w:szCs w:val="14"/>
              </w:rPr>
              <w:t>PRAL</w:t>
            </w:r>
          </w:p>
        </w:tc>
      </w:tr>
      <w:tr w:rsidR="00355BFB" w:rsidRPr="009C207B" w14:paraId="45290EF2" w14:textId="77777777" w:rsidTr="006B5DBD">
        <w:trPr>
          <w:jc w:val="center"/>
        </w:trPr>
        <w:tc>
          <w:tcPr>
            <w:tcW w:w="605" w:type="dxa"/>
            <w:vAlign w:val="center"/>
            <w:hideMark/>
          </w:tcPr>
          <w:p w14:paraId="289FE871"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19A4F35F" w14:textId="77777777" w:rsidR="00355BFB" w:rsidRPr="009C207B" w:rsidRDefault="00355BFB" w:rsidP="006B5DBD">
            <w:pPr>
              <w:spacing w:after="20" w:line="278" w:lineRule="auto"/>
              <w:jc w:val="both"/>
            </w:pPr>
            <w:r>
              <w:rPr>
                <w:rFonts w:ascii="Arial" w:hAnsi="Arial"/>
                <w:sz w:val="14"/>
              </w:rPr>
              <w:t>AD</w:t>
            </w:r>
            <w:r w:rsidRPr="009C207B">
              <w:rPr>
                <w:rFonts w:ascii="Arial" w:hAnsi="Arial"/>
                <w:sz w:val="14"/>
              </w:rPr>
              <w:t xml:space="preserve"> / LDAP</w:t>
            </w:r>
          </w:p>
        </w:tc>
        <w:tc>
          <w:tcPr>
            <w:tcW w:w="1800" w:type="dxa"/>
            <w:vAlign w:val="center"/>
            <w:hideMark/>
          </w:tcPr>
          <w:p w14:paraId="68193F74" w14:textId="77777777" w:rsidR="00355BFB" w:rsidRPr="009C207B" w:rsidRDefault="00355BFB" w:rsidP="006B5DBD">
            <w:pPr>
              <w:spacing w:after="20" w:line="278" w:lineRule="auto"/>
              <w:jc w:val="both"/>
            </w:pPr>
          </w:p>
        </w:tc>
        <w:tc>
          <w:tcPr>
            <w:tcW w:w="2376" w:type="dxa"/>
            <w:vAlign w:val="center"/>
            <w:hideMark/>
          </w:tcPr>
          <w:p w14:paraId="2BA42AF8" w14:textId="77777777" w:rsidR="00355BFB" w:rsidRPr="009C207B" w:rsidRDefault="00355BFB" w:rsidP="006B5DBD">
            <w:pPr>
              <w:spacing w:after="20" w:line="278" w:lineRule="auto"/>
              <w:jc w:val="both"/>
            </w:pPr>
            <w:r w:rsidRPr="009C207B">
              <w:rPr>
                <w:rFonts w:ascii="Arial" w:hAnsi="Arial"/>
                <w:sz w:val="14"/>
              </w:rPr>
              <w:t>Centralized identities, directory services, group management, and authentication integration.</w:t>
            </w:r>
          </w:p>
        </w:tc>
        <w:tc>
          <w:tcPr>
            <w:tcW w:w="1676" w:type="dxa"/>
            <w:vAlign w:val="center"/>
          </w:tcPr>
          <w:p w14:paraId="5411402A" w14:textId="77777777" w:rsidR="00355BFB" w:rsidRDefault="00355BFB" w:rsidP="006B5DBD">
            <w:pPr>
              <w:spacing w:after="20"/>
            </w:pPr>
            <w:r>
              <w:rPr>
                <w:rFonts w:ascii="Arial" w:hAnsi="Arial"/>
                <w:sz w:val="14"/>
              </w:rPr>
              <w:t>PRAL</w:t>
            </w:r>
          </w:p>
        </w:tc>
        <w:tc>
          <w:tcPr>
            <w:tcW w:w="2700" w:type="dxa"/>
            <w:vAlign w:val="center"/>
          </w:tcPr>
          <w:p w14:paraId="34D75D75" w14:textId="77777777" w:rsidR="00355BFB" w:rsidRPr="00863441" w:rsidRDefault="00355BFB" w:rsidP="006B5DBD">
            <w:pPr>
              <w:spacing w:after="20"/>
              <w:rPr>
                <w:rFonts w:asciiTheme="minorBidi" w:hAnsiTheme="minorBidi"/>
                <w:sz w:val="14"/>
                <w:szCs w:val="14"/>
              </w:rPr>
            </w:pPr>
            <w:r>
              <w:rPr>
                <w:rFonts w:asciiTheme="minorBidi" w:hAnsiTheme="minorBidi"/>
                <w:sz w:val="14"/>
                <w:szCs w:val="14"/>
              </w:rPr>
              <w:t>PRAL</w:t>
            </w:r>
          </w:p>
        </w:tc>
      </w:tr>
      <w:tr w:rsidR="00355BFB" w:rsidRPr="009C207B" w14:paraId="5E7BE1C4" w14:textId="77777777" w:rsidTr="006B5DBD">
        <w:trPr>
          <w:jc w:val="center"/>
        </w:trPr>
        <w:tc>
          <w:tcPr>
            <w:tcW w:w="605" w:type="dxa"/>
            <w:vAlign w:val="center"/>
            <w:hideMark/>
          </w:tcPr>
          <w:p w14:paraId="532F31A7"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5490C868" w14:textId="77777777" w:rsidR="00355BFB" w:rsidRPr="009C207B" w:rsidRDefault="00355BFB" w:rsidP="006B5DBD">
            <w:pPr>
              <w:spacing w:after="20" w:line="278" w:lineRule="auto"/>
              <w:jc w:val="both"/>
            </w:pPr>
            <w:r w:rsidRPr="009C207B">
              <w:rPr>
                <w:rFonts w:ascii="Arial" w:hAnsi="Arial"/>
                <w:sz w:val="14"/>
              </w:rPr>
              <w:t>Cloudera Advanced Security</w:t>
            </w:r>
          </w:p>
        </w:tc>
        <w:tc>
          <w:tcPr>
            <w:tcW w:w="1800" w:type="dxa"/>
            <w:vAlign w:val="center"/>
            <w:hideMark/>
          </w:tcPr>
          <w:p w14:paraId="51651778"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2E4240B2" w14:textId="77777777" w:rsidR="00355BFB" w:rsidRPr="009C207B" w:rsidRDefault="00355BFB" w:rsidP="006B5DBD">
            <w:pPr>
              <w:spacing w:after="20" w:line="278" w:lineRule="auto"/>
              <w:jc w:val="both"/>
            </w:pPr>
            <w:r w:rsidRPr="009C207B">
              <w:rPr>
                <w:rFonts w:ascii="Arial" w:hAnsi="Arial"/>
                <w:sz w:val="14"/>
              </w:rPr>
              <w:t>Access controls, encryption, auditing, and applicable data protection capabilities.</w:t>
            </w:r>
          </w:p>
        </w:tc>
        <w:tc>
          <w:tcPr>
            <w:tcW w:w="1676" w:type="dxa"/>
            <w:vAlign w:val="center"/>
          </w:tcPr>
          <w:p w14:paraId="3EB8A7EF" w14:textId="77777777" w:rsidR="00355BFB" w:rsidRDefault="00355BFB" w:rsidP="006B5DBD">
            <w:pPr>
              <w:spacing w:after="20"/>
            </w:pPr>
            <w:r>
              <w:rPr>
                <w:rFonts w:ascii="Arial" w:hAnsi="Arial"/>
                <w:sz w:val="14"/>
              </w:rPr>
              <w:t>Cloudera</w:t>
            </w:r>
          </w:p>
        </w:tc>
        <w:tc>
          <w:tcPr>
            <w:tcW w:w="2700" w:type="dxa"/>
            <w:vAlign w:val="center"/>
          </w:tcPr>
          <w:p w14:paraId="4D0F494D"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51911164" w14:textId="77777777" w:rsidR="00355BFB" w:rsidRPr="00355BFB" w:rsidRDefault="00355BFB" w:rsidP="00355BFB">
      <w:pPr>
        <w:pStyle w:val="Heading3"/>
      </w:pPr>
      <w:bookmarkStart w:id="25" w:name="_Toc243538516"/>
      <w:r w:rsidRPr="00355BFB">
        <w:t>7. High Availability, Disaster Recovery, and Backup</w:t>
      </w:r>
      <w:bookmarkEnd w:id="25"/>
    </w:p>
    <w:tbl>
      <w:tblPr>
        <w:tblStyle w:val="TableGrid"/>
        <w:tblW w:w="0" w:type="auto"/>
        <w:jc w:val="center"/>
        <w:tblLayout w:type="fixed"/>
        <w:tblLook w:val="04A0" w:firstRow="1" w:lastRow="0" w:firstColumn="1" w:lastColumn="0" w:noHBand="0" w:noVBand="1"/>
      </w:tblPr>
      <w:tblGrid>
        <w:gridCol w:w="605"/>
        <w:gridCol w:w="2088"/>
        <w:gridCol w:w="1800"/>
        <w:gridCol w:w="2376"/>
        <w:gridCol w:w="1766"/>
        <w:gridCol w:w="2700"/>
      </w:tblGrid>
      <w:tr w:rsidR="00355BFB" w:rsidRPr="009C207B" w14:paraId="149B4E3E" w14:textId="77777777" w:rsidTr="006B5DBD">
        <w:trPr>
          <w:tblHeader/>
          <w:jc w:val="center"/>
        </w:trPr>
        <w:tc>
          <w:tcPr>
            <w:tcW w:w="605" w:type="dxa"/>
            <w:vAlign w:val="center"/>
            <w:hideMark/>
          </w:tcPr>
          <w:p w14:paraId="45550677"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69E5D49A"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3119FBD3"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4CDEAC5C"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766" w:type="dxa"/>
            <w:vAlign w:val="center"/>
          </w:tcPr>
          <w:p w14:paraId="1587360B" w14:textId="77777777" w:rsidR="00355BFB" w:rsidRDefault="00355BFB" w:rsidP="006B5DBD">
            <w:pPr>
              <w:spacing w:after="20"/>
            </w:pPr>
            <w:r>
              <w:rPr>
                <w:rFonts w:ascii="Arial" w:hAnsi="Arial"/>
                <w:sz w:val="14"/>
              </w:rPr>
              <w:t>Vendor Support</w:t>
            </w:r>
          </w:p>
        </w:tc>
        <w:tc>
          <w:tcPr>
            <w:tcW w:w="2700" w:type="dxa"/>
            <w:vAlign w:val="center"/>
          </w:tcPr>
          <w:p w14:paraId="7F30F7B1" w14:textId="77777777" w:rsidR="00355BFB" w:rsidRDefault="00355BFB" w:rsidP="006B5DBD">
            <w:pPr>
              <w:spacing w:after="20"/>
            </w:pPr>
            <w:r>
              <w:rPr>
                <w:rFonts w:ascii="Arial" w:hAnsi="Arial"/>
                <w:sz w:val="14"/>
              </w:rPr>
              <w:t>License Model</w:t>
            </w:r>
          </w:p>
        </w:tc>
      </w:tr>
      <w:tr w:rsidR="00355BFB" w:rsidRPr="009C207B" w14:paraId="30E0F112" w14:textId="77777777" w:rsidTr="006B5DBD">
        <w:trPr>
          <w:jc w:val="center"/>
        </w:trPr>
        <w:tc>
          <w:tcPr>
            <w:tcW w:w="605" w:type="dxa"/>
            <w:vAlign w:val="center"/>
            <w:hideMark/>
          </w:tcPr>
          <w:p w14:paraId="25156DA0"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421B6971" w14:textId="77777777" w:rsidR="00355BFB" w:rsidRPr="009C207B" w:rsidRDefault="00355BFB" w:rsidP="006B5DBD">
            <w:pPr>
              <w:spacing w:after="20" w:line="278" w:lineRule="auto"/>
              <w:jc w:val="both"/>
            </w:pPr>
            <w:r w:rsidRPr="009C207B">
              <w:rPr>
                <w:rFonts w:ascii="Arial" w:hAnsi="Arial"/>
                <w:sz w:val="14"/>
              </w:rPr>
              <w:t>Oracle Real Application Clusters (RAC)</w:t>
            </w:r>
          </w:p>
        </w:tc>
        <w:tc>
          <w:tcPr>
            <w:tcW w:w="1800" w:type="dxa"/>
            <w:vAlign w:val="center"/>
            <w:hideMark/>
          </w:tcPr>
          <w:p w14:paraId="30A8F77B" w14:textId="77777777" w:rsidR="00355BFB" w:rsidRPr="009C207B" w:rsidRDefault="00355BFB" w:rsidP="006B5DBD">
            <w:pPr>
              <w:spacing w:after="20" w:line="278" w:lineRule="auto"/>
              <w:jc w:val="both"/>
            </w:pPr>
            <w:r w:rsidRPr="009C207B">
              <w:rPr>
                <w:rFonts w:ascii="Arial" w:hAnsi="Arial"/>
                <w:sz w:val="14"/>
              </w:rPr>
              <w:t>Oracle</w:t>
            </w:r>
            <w:r>
              <w:rPr>
                <w:rFonts w:ascii="Arial" w:hAnsi="Arial"/>
                <w:sz w:val="14"/>
              </w:rPr>
              <w:t xml:space="preserve"> </w:t>
            </w:r>
            <w:r w:rsidRPr="009C207B">
              <w:rPr>
                <w:rFonts w:ascii="Arial" w:hAnsi="Arial"/>
                <w:sz w:val="14"/>
              </w:rPr>
              <w:t>26ai</w:t>
            </w:r>
          </w:p>
        </w:tc>
        <w:tc>
          <w:tcPr>
            <w:tcW w:w="2376" w:type="dxa"/>
            <w:vAlign w:val="center"/>
            <w:hideMark/>
          </w:tcPr>
          <w:p w14:paraId="5D2B04F2" w14:textId="77777777" w:rsidR="00355BFB" w:rsidRPr="009C207B" w:rsidRDefault="00355BFB" w:rsidP="006B5DBD">
            <w:pPr>
              <w:spacing w:after="20" w:line="278" w:lineRule="auto"/>
              <w:jc w:val="both"/>
            </w:pPr>
            <w:r w:rsidRPr="009C207B">
              <w:rPr>
                <w:rFonts w:ascii="Arial" w:hAnsi="Arial"/>
                <w:sz w:val="14"/>
              </w:rPr>
              <w:t>Database clustering, high availability, and workload distribution.</w:t>
            </w:r>
          </w:p>
        </w:tc>
        <w:tc>
          <w:tcPr>
            <w:tcW w:w="1766" w:type="dxa"/>
            <w:vAlign w:val="center"/>
          </w:tcPr>
          <w:p w14:paraId="56699AE5" w14:textId="77777777" w:rsidR="00355BFB" w:rsidRDefault="00355BFB" w:rsidP="006B5DBD">
            <w:pPr>
              <w:spacing w:after="20"/>
            </w:pPr>
            <w:r>
              <w:rPr>
                <w:rFonts w:ascii="Arial" w:hAnsi="Arial"/>
                <w:sz w:val="14"/>
              </w:rPr>
              <w:t>Oracle.</w:t>
            </w:r>
          </w:p>
        </w:tc>
        <w:tc>
          <w:tcPr>
            <w:tcW w:w="2700" w:type="dxa"/>
            <w:vAlign w:val="center"/>
          </w:tcPr>
          <w:p w14:paraId="2C681B02" w14:textId="77777777" w:rsidR="00355BFB" w:rsidRPr="00863441" w:rsidRDefault="00355BFB" w:rsidP="006B5DBD">
            <w:pPr>
              <w:spacing w:after="20"/>
              <w:rPr>
                <w:rFonts w:asciiTheme="minorBidi" w:hAnsiTheme="minorBidi"/>
                <w:sz w:val="14"/>
                <w:szCs w:val="14"/>
              </w:rPr>
            </w:pPr>
          </w:p>
        </w:tc>
      </w:tr>
      <w:tr w:rsidR="00355BFB" w:rsidRPr="009C207B" w14:paraId="2045F3CF" w14:textId="77777777" w:rsidTr="006B5DBD">
        <w:trPr>
          <w:jc w:val="center"/>
        </w:trPr>
        <w:tc>
          <w:tcPr>
            <w:tcW w:w="605" w:type="dxa"/>
            <w:vAlign w:val="center"/>
            <w:hideMark/>
          </w:tcPr>
          <w:p w14:paraId="408D151C"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7F6F9747" w14:textId="77777777" w:rsidR="00355BFB" w:rsidRPr="009C207B" w:rsidRDefault="00355BFB" w:rsidP="006B5DBD">
            <w:pPr>
              <w:spacing w:after="20" w:line="278" w:lineRule="auto"/>
              <w:jc w:val="both"/>
            </w:pPr>
            <w:r w:rsidRPr="009C207B">
              <w:rPr>
                <w:rFonts w:ascii="Arial" w:hAnsi="Arial"/>
                <w:sz w:val="14"/>
              </w:rPr>
              <w:t>Oracle Data Guard</w:t>
            </w:r>
          </w:p>
        </w:tc>
        <w:tc>
          <w:tcPr>
            <w:tcW w:w="1800" w:type="dxa"/>
            <w:vAlign w:val="center"/>
            <w:hideMark/>
          </w:tcPr>
          <w:p w14:paraId="770B8343" w14:textId="77777777" w:rsidR="00355BFB" w:rsidRPr="009C207B" w:rsidRDefault="00355BFB" w:rsidP="006B5DBD">
            <w:pPr>
              <w:spacing w:after="20" w:line="278" w:lineRule="auto"/>
              <w:jc w:val="both"/>
            </w:pPr>
            <w:r w:rsidRPr="009C207B">
              <w:rPr>
                <w:rFonts w:ascii="Arial" w:hAnsi="Arial"/>
                <w:sz w:val="14"/>
              </w:rPr>
              <w:t>Oracle 26ai</w:t>
            </w:r>
          </w:p>
        </w:tc>
        <w:tc>
          <w:tcPr>
            <w:tcW w:w="2376" w:type="dxa"/>
            <w:vAlign w:val="center"/>
            <w:hideMark/>
          </w:tcPr>
          <w:p w14:paraId="0FB7A6F1" w14:textId="77777777" w:rsidR="00355BFB" w:rsidRPr="009C207B" w:rsidRDefault="00355BFB" w:rsidP="006B5DBD">
            <w:pPr>
              <w:spacing w:after="20" w:line="278" w:lineRule="auto"/>
              <w:jc w:val="both"/>
            </w:pPr>
            <w:r w:rsidRPr="009C207B">
              <w:rPr>
                <w:rFonts w:ascii="Arial" w:hAnsi="Arial"/>
                <w:sz w:val="14"/>
              </w:rPr>
              <w:t>Standby database protection, failover, and disaster recovery.</w:t>
            </w:r>
          </w:p>
        </w:tc>
        <w:tc>
          <w:tcPr>
            <w:tcW w:w="1766" w:type="dxa"/>
            <w:vAlign w:val="center"/>
          </w:tcPr>
          <w:p w14:paraId="138C19EF" w14:textId="77777777" w:rsidR="00355BFB" w:rsidRDefault="00355BFB" w:rsidP="006B5DBD">
            <w:pPr>
              <w:spacing w:after="20"/>
            </w:pPr>
            <w:r>
              <w:rPr>
                <w:rFonts w:ascii="Arial" w:hAnsi="Arial"/>
                <w:sz w:val="14"/>
              </w:rPr>
              <w:t>Oracle.</w:t>
            </w:r>
          </w:p>
        </w:tc>
        <w:tc>
          <w:tcPr>
            <w:tcW w:w="2700" w:type="dxa"/>
            <w:vAlign w:val="center"/>
          </w:tcPr>
          <w:p w14:paraId="00CBAA03" w14:textId="77777777" w:rsidR="00355BFB" w:rsidRPr="00863441" w:rsidRDefault="00355BFB" w:rsidP="006B5DBD">
            <w:pPr>
              <w:spacing w:after="20"/>
              <w:rPr>
                <w:rFonts w:asciiTheme="minorBidi" w:hAnsiTheme="minorBidi"/>
                <w:sz w:val="14"/>
                <w:szCs w:val="14"/>
              </w:rPr>
            </w:pPr>
          </w:p>
        </w:tc>
      </w:tr>
      <w:tr w:rsidR="00355BFB" w:rsidRPr="009C207B" w14:paraId="7D7B18C6" w14:textId="77777777" w:rsidTr="006B5DBD">
        <w:trPr>
          <w:jc w:val="center"/>
        </w:trPr>
        <w:tc>
          <w:tcPr>
            <w:tcW w:w="605" w:type="dxa"/>
            <w:vAlign w:val="center"/>
            <w:hideMark/>
          </w:tcPr>
          <w:p w14:paraId="36A700F3"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3FDC4AD3" w14:textId="77777777" w:rsidR="00355BFB" w:rsidRPr="009C207B" w:rsidRDefault="00355BFB" w:rsidP="006B5DBD">
            <w:pPr>
              <w:spacing w:after="20" w:line="278" w:lineRule="auto"/>
              <w:jc w:val="both"/>
            </w:pPr>
            <w:r w:rsidRPr="009C207B">
              <w:rPr>
                <w:rFonts w:ascii="Arial" w:hAnsi="Arial"/>
                <w:sz w:val="14"/>
              </w:rPr>
              <w:t xml:space="preserve">Oracle </w:t>
            </w:r>
            <w:proofErr w:type="spellStart"/>
            <w:r w:rsidRPr="009C207B">
              <w:rPr>
                <w:rFonts w:ascii="Arial" w:hAnsi="Arial"/>
                <w:sz w:val="14"/>
              </w:rPr>
              <w:t>GoldenGate</w:t>
            </w:r>
            <w:proofErr w:type="spellEnd"/>
          </w:p>
        </w:tc>
        <w:tc>
          <w:tcPr>
            <w:tcW w:w="1800" w:type="dxa"/>
            <w:vAlign w:val="center"/>
            <w:hideMark/>
          </w:tcPr>
          <w:p w14:paraId="012F490A" w14:textId="77777777" w:rsidR="00355BFB" w:rsidRPr="009C207B" w:rsidRDefault="00355BFB" w:rsidP="006B5DBD">
            <w:pPr>
              <w:spacing w:after="20" w:line="278" w:lineRule="auto"/>
              <w:jc w:val="both"/>
            </w:pPr>
            <w:r w:rsidRPr="009C207B">
              <w:rPr>
                <w:rFonts w:ascii="Arial" w:hAnsi="Arial"/>
                <w:sz w:val="14"/>
              </w:rPr>
              <w:t>26ai</w:t>
            </w:r>
          </w:p>
        </w:tc>
        <w:tc>
          <w:tcPr>
            <w:tcW w:w="2376" w:type="dxa"/>
            <w:vAlign w:val="center"/>
            <w:hideMark/>
          </w:tcPr>
          <w:p w14:paraId="0E11A395" w14:textId="77777777" w:rsidR="00355BFB" w:rsidRPr="009C207B" w:rsidRDefault="00355BFB" w:rsidP="006B5DBD">
            <w:pPr>
              <w:spacing w:after="20" w:line="278" w:lineRule="auto"/>
              <w:jc w:val="both"/>
            </w:pPr>
            <w:r w:rsidRPr="009C207B">
              <w:rPr>
                <w:rFonts w:ascii="Arial" w:hAnsi="Arial"/>
                <w:sz w:val="14"/>
              </w:rPr>
              <w:t>Logical data replication and database synchronization.</w:t>
            </w:r>
          </w:p>
        </w:tc>
        <w:tc>
          <w:tcPr>
            <w:tcW w:w="1766" w:type="dxa"/>
            <w:vAlign w:val="center"/>
          </w:tcPr>
          <w:p w14:paraId="55BD3F47" w14:textId="77777777" w:rsidR="00355BFB" w:rsidRDefault="00355BFB" w:rsidP="006B5DBD">
            <w:pPr>
              <w:spacing w:after="20"/>
            </w:pPr>
            <w:r>
              <w:rPr>
                <w:rFonts w:ascii="Arial" w:hAnsi="Arial"/>
                <w:sz w:val="14"/>
              </w:rPr>
              <w:t xml:space="preserve">Oracle </w:t>
            </w:r>
          </w:p>
        </w:tc>
        <w:tc>
          <w:tcPr>
            <w:tcW w:w="2700" w:type="dxa"/>
            <w:vAlign w:val="center"/>
          </w:tcPr>
          <w:p w14:paraId="58317C51" w14:textId="77777777" w:rsidR="00355BFB" w:rsidRPr="00863441" w:rsidRDefault="00355BFB" w:rsidP="006B5DBD">
            <w:pPr>
              <w:spacing w:after="20"/>
              <w:rPr>
                <w:rFonts w:asciiTheme="minorBidi" w:hAnsiTheme="minorBidi"/>
                <w:sz w:val="14"/>
                <w:szCs w:val="14"/>
              </w:rPr>
            </w:pPr>
          </w:p>
        </w:tc>
      </w:tr>
      <w:tr w:rsidR="00355BFB" w:rsidRPr="009C207B" w14:paraId="2397D97E" w14:textId="77777777" w:rsidTr="006B5DBD">
        <w:trPr>
          <w:jc w:val="center"/>
        </w:trPr>
        <w:tc>
          <w:tcPr>
            <w:tcW w:w="605" w:type="dxa"/>
            <w:vAlign w:val="center"/>
            <w:hideMark/>
          </w:tcPr>
          <w:p w14:paraId="76724C9A"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19F1A6B6" w14:textId="77777777" w:rsidR="00355BFB" w:rsidRPr="009C207B" w:rsidRDefault="00355BFB" w:rsidP="006B5DBD">
            <w:pPr>
              <w:spacing w:after="20" w:line="278" w:lineRule="auto"/>
              <w:jc w:val="both"/>
            </w:pPr>
            <w:r>
              <w:rPr>
                <w:rFonts w:ascii="Arial" w:hAnsi="Arial"/>
                <w:sz w:val="14"/>
              </w:rPr>
              <w:t>Cohesity NetBackup</w:t>
            </w:r>
            <w:r w:rsidRPr="009C207B">
              <w:rPr>
                <w:rFonts w:ascii="Arial" w:hAnsi="Arial"/>
                <w:sz w:val="14"/>
              </w:rPr>
              <w:t xml:space="preserve"> </w:t>
            </w:r>
          </w:p>
        </w:tc>
        <w:tc>
          <w:tcPr>
            <w:tcW w:w="1800" w:type="dxa"/>
            <w:vAlign w:val="center"/>
            <w:hideMark/>
          </w:tcPr>
          <w:p w14:paraId="669543D8" w14:textId="77777777" w:rsidR="00355BFB" w:rsidRPr="009C207B" w:rsidRDefault="00355BFB" w:rsidP="006B5DBD">
            <w:pPr>
              <w:spacing w:after="20" w:line="278" w:lineRule="auto"/>
              <w:jc w:val="both"/>
            </w:pPr>
            <w:r w:rsidRPr="005C750C">
              <w:rPr>
                <w:rFonts w:ascii="Arial" w:hAnsi="Arial"/>
                <w:sz w:val="14"/>
              </w:rPr>
              <w:t>11.2.0.1</w:t>
            </w:r>
          </w:p>
        </w:tc>
        <w:tc>
          <w:tcPr>
            <w:tcW w:w="2376" w:type="dxa"/>
            <w:vAlign w:val="center"/>
            <w:hideMark/>
          </w:tcPr>
          <w:p w14:paraId="0758AA5C" w14:textId="77777777" w:rsidR="00355BFB" w:rsidRPr="009C207B" w:rsidRDefault="00355BFB" w:rsidP="006B5DBD">
            <w:pPr>
              <w:spacing w:after="20" w:line="278" w:lineRule="auto"/>
              <w:jc w:val="both"/>
            </w:pPr>
            <w:r w:rsidRPr="009C207B">
              <w:rPr>
                <w:rFonts w:ascii="Arial" w:hAnsi="Arial"/>
                <w:sz w:val="14"/>
              </w:rPr>
              <w:t>Enterprise backup, restoration, and immutable/WORM backup where supported.</w:t>
            </w:r>
          </w:p>
        </w:tc>
        <w:tc>
          <w:tcPr>
            <w:tcW w:w="1766" w:type="dxa"/>
            <w:vAlign w:val="center"/>
          </w:tcPr>
          <w:p w14:paraId="6F8C4CAF" w14:textId="77777777" w:rsidR="00355BFB" w:rsidRDefault="00355BFB" w:rsidP="006B5DBD">
            <w:pPr>
              <w:spacing w:after="20"/>
            </w:pPr>
            <w:r>
              <w:rPr>
                <w:rFonts w:ascii="Arial" w:hAnsi="Arial"/>
                <w:sz w:val="14"/>
              </w:rPr>
              <w:t>Cohesity vendor support.</w:t>
            </w:r>
          </w:p>
        </w:tc>
        <w:tc>
          <w:tcPr>
            <w:tcW w:w="2700" w:type="dxa"/>
            <w:vAlign w:val="center"/>
          </w:tcPr>
          <w:p w14:paraId="7466B76D" w14:textId="77777777" w:rsidR="00355BFB" w:rsidRPr="00863441" w:rsidRDefault="00355BFB" w:rsidP="006B5DBD">
            <w:pPr>
              <w:spacing w:after="20"/>
              <w:rPr>
                <w:rFonts w:asciiTheme="minorBidi" w:hAnsiTheme="minorBidi"/>
                <w:sz w:val="14"/>
                <w:szCs w:val="14"/>
              </w:rPr>
            </w:pPr>
            <w:r w:rsidRPr="00863441">
              <w:rPr>
                <w:rFonts w:asciiTheme="minorBidi" w:hAnsiTheme="minorBidi"/>
                <w:sz w:val="14"/>
                <w:szCs w:val="14"/>
                <w:highlight w:val="yellow"/>
              </w:rPr>
              <w:t>Yearly Subscription</w:t>
            </w:r>
          </w:p>
        </w:tc>
      </w:tr>
    </w:tbl>
    <w:p w14:paraId="137F8B38" w14:textId="77777777" w:rsidR="00355BFB" w:rsidRPr="00355BFB" w:rsidRDefault="00355BFB" w:rsidP="00355BFB">
      <w:pPr>
        <w:pStyle w:val="Heading3"/>
      </w:pPr>
      <w:bookmarkStart w:id="26" w:name="_Toc243538517"/>
      <w:r w:rsidRPr="00355BFB">
        <w:t>8. Observability, Operations, and DevOps</w:t>
      </w:r>
      <w:bookmarkEnd w:id="26"/>
    </w:p>
    <w:tbl>
      <w:tblPr>
        <w:tblStyle w:val="TableGrid"/>
        <w:tblW w:w="0" w:type="auto"/>
        <w:jc w:val="center"/>
        <w:tblLayout w:type="fixed"/>
        <w:tblLook w:val="04A0" w:firstRow="1" w:lastRow="0" w:firstColumn="1" w:lastColumn="0" w:noHBand="0" w:noVBand="1"/>
      </w:tblPr>
      <w:tblGrid>
        <w:gridCol w:w="605"/>
        <w:gridCol w:w="2088"/>
        <w:gridCol w:w="1800"/>
        <w:gridCol w:w="2376"/>
        <w:gridCol w:w="1766"/>
        <w:gridCol w:w="2790"/>
      </w:tblGrid>
      <w:tr w:rsidR="00355BFB" w:rsidRPr="009C207B" w14:paraId="29D81702" w14:textId="77777777" w:rsidTr="006B5DBD">
        <w:trPr>
          <w:tblHeader/>
          <w:jc w:val="center"/>
        </w:trPr>
        <w:tc>
          <w:tcPr>
            <w:tcW w:w="605" w:type="dxa"/>
            <w:vAlign w:val="center"/>
            <w:hideMark/>
          </w:tcPr>
          <w:p w14:paraId="1F0CB205"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45163904"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00962812"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1B8BF74F"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766" w:type="dxa"/>
            <w:vAlign w:val="center"/>
          </w:tcPr>
          <w:p w14:paraId="639B5116" w14:textId="77777777" w:rsidR="00355BFB" w:rsidRDefault="00355BFB" w:rsidP="006B5DBD">
            <w:pPr>
              <w:spacing w:after="20"/>
            </w:pPr>
            <w:r>
              <w:rPr>
                <w:rFonts w:ascii="Arial" w:hAnsi="Arial"/>
                <w:sz w:val="14"/>
              </w:rPr>
              <w:t>Vendor Support</w:t>
            </w:r>
          </w:p>
        </w:tc>
        <w:tc>
          <w:tcPr>
            <w:tcW w:w="2790" w:type="dxa"/>
            <w:vAlign w:val="center"/>
          </w:tcPr>
          <w:p w14:paraId="5882B7F5" w14:textId="77777777" w:rsidR="00355BFB" w:rsidRDefault="00355BFB" w:rsidP="006B5DBD">
            <w:pPr>
              <w:spacing w:after="20"/>
            </w:pPr>
            <w:r>
              <w:rPr>
                <w:rFonts w:ascii="Arial" w:hAnsi="Arial"/>
                <w:sz w:val="14"/>
              </w:rPr>
              <w:t>License Model</w:t>
            </w:r>
          </w:p>
        </w:tc>
      </w:tr>
      <w:tr w:rsidR="00355BFB" w:rsidRPr="009C207B" w14:paraId="2BBCC3DF" w14:textId="77777777" w:rsidTr="006B5DBD">
        <w:trPr>
          <w:jc w:val="center"/>
        </w:trPr>
        <w:tc>
          <w:tcPr>
            <w:tcW w:w="605" w:type="dxa"/>
            <w:vAlign w:val="center"/>
            <w:hideMark/>
          </w:tcPr>
          <w:p w14:paraId="61F77BDF"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6E57F32D" w14:textId="77777777" w:rsidR="00355BFB" w:rsidRPr="009C207B" w:rsidRDefault="00355BFB" w:rsidP="006B5DBD">
            <w:pPr>
              <w:spacing w:after="20" w:line="278" w:lineRule="auto"/>
              <w:jc w:val="both"/>
            </w:pPr>
            <w:r w:rsidRPr="009C207B">
              <w:rPr>
                <w:rFonts w:ascii="Arial" w:hAnsi="Arial"/>
                <w:sz w:val="14"/>
              </w:rPr>
              <w:t>Oracle Enterprise Manager</w:t>
            </w:r>
          </w:p>
        </w:tc>
        <w:tc>
          <w:tcPr>
            <w:tcW w:w="1800" w:type="dxa"/>
            <w:vAlign w:val="center"/>
            <w:hideMark/>
          </w:tcPr>
          <w:p w14:paraId="3F18E508" w14:textId="77777777" w:rsidR="00355BFB" w:rsidRPr="009C207B" w:rsidRDefault="00355BFB" w:rsidP="006B5DBD">
            <w:pPr>
              <w:spacing w:after="20" w:line="278" w:lineRule="auto"/>
              <w:jc w:val="both"/>
            </w:pPr>
            <w:r>
              <w:rPr>
                <w:rFonts w:ascii="Arial" w:hAnsi="Arial"/>
                <w:sz w:val="14"/>
              </w:rPr>
              <w:t>24ai</w:t>
            </w:r>
          </w:p>
        </w:tc>
        <w:tc>
          <w:tcPr>
            <w:tcW w:w="2376" w:type="dxa"/>
            <w:vAlign w:val="center"/>
            <w:hideMark/>
          </w:tcPr>
          <w:p w14:paraId="39173C19" w14:textId="77777777" w:rsidR="00355BFB" w:rsidRPr="009C207B" w:rsidRDefault="00355BFB" w:rsidP="006B5DBD">
            <w:pPr>
              <w:spacing w:after="20" w:line="278" w:lineRule="auto"/>
              <w:jc w:val="both"/>
            </w:pPr>
            <w:r w:rsidRPr="009C207B">
              <w:rPr>
                <w:rFonts w:ascii="Arial" w:hAnsi="Arial"/>
                <w:sz w:val="14"/>
              </w:rPr>
              <w:t>Oracle database monitoring, administration, diagnostics, and alerting.</w:t>
            </w:r>
          </w:p>
        </w:tc>
        <w:tc>
          <w:tcPr>
            <w:tcW w:w="1766" w:type="dxa"/>
            <w:vAlign w:val="center"/>
          </w:tcPr>
          <w:p w14:paraId="4B695CE7" w14:textId="77777777" w:rsidR="00355BFB" w:rsidRDefault="00355BFB" w:rsidP="006B5DBD">
            <w:pPr>
              <w:spacing w:after="20"/>
            </w:pPr>
            <w:r>
              <w:rPr>
                <w:rFonts w:ascii="Arial" w:hAnsi="Arial"/>
                <w:sz w:val="14"/>
              </w:rPr>
              <w:t xml:space="preserve">Oracle </w:t>
            </w:r>
          </w:p>
        </w:tc>
        <w:tc>
          <w:tcPr>
            <w:tcW w:w="2790" w:type="dxa"/>
            <w:vAlign w:val="center"/>
          </w:tcPr>
          <w:p w14:paraId="241DF13F" w14:textId="77777777" w:rsidR="00355BFB" w:rsidRPr="00863441" w:rsidRDefault="00355BFB" w:rsidP="006B5DBD">
            <w:pPr>
              <w:spacing w:after="20"/>
              <w:rPr>
                <w:rFonts w:asciiTheme="minorBidi" w:hAnsiTheme="minorBidi"/>
                <w:sz w:val="14"/>
                <w:szCs w:val="14"/>
              </w:rPr>
            </w:pPr>
          </w:p>
        </w:tc>
      </w:tr>
      <w:tr w:rsidR="00355BFB" w:rsidRPr="009C207B" w14:paraId="2AC6450B" w14:textId="77777777" w:rsidTr="006B5DBD">
        <w:trPr>
          <w:jc w:val="center"/>
        </w:trPr>
        <w:tc>
          <w:tcPr>
            <w:tcW w:w="605" w:type="dxa"/>
            <w:vAlign w:val="center"/>
            <w:hideMark/>
          </w:tcPr>
          <w:p w14:paraId="03B30E84"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0740A2E4" w14:textId="77777777" w:rsidR="00355BFB" w:rsidRPr="009C207B" w:rsidRDefault="00355BFB" w:rsidP="006B5DBD">
            <w:pPr>
              <w:spacing w:after="20" w:line="278" w:lineRule="auto"/>
              <w:jc w:val="both"/>
            </w:pPr>
            <w:r w:rsidRPr="009C207B">
              <w:rPr>
                <w:rFonts w:ascii="Arial" w:hAnsi="Arial"/>
                <w:sz w:val="14"/>
              </w:rPr>
              <w:t>Cloudera Manager</w:t>
            </w:r>
          </w:p>
        </w:tc>
        <w:tc>
          <w:tcPr>
            <w:tcW w:w="1800" w:type="dxa"/>
            <w:vAlign w:val="center"/>
            <w:hideMark/>
          </w:tcPr>
          <w:p w14:paraId="55B5BC80"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380D52C4" w14:textId="77777777" w:rsidR="00355BFB" w:rsidRPr="009C207B" w:rsidRDefault="00355BFB" w:rsidP="006B5DBD">
            <w:pPr>
              <w:spacing w:after="20" w:line="278" w:lineRule="auto"/>
              <w:jc w:val="both"/>
            </w:pPr>
            <w:r w:rsidRPr="009C207B">
              <w:rPr>
                <w:rFonts w:ascii="Arial" w:hAnsi="Arial"/>
                <w:sz w:val="14"/>
              </w:rPr>
              <w:t>Cluster administration, configuration, health monitoring, and operations.</w:t>
            </w:r>
          </w:p>
        </w:tc>
        <w:tc>
          <w:tcPr>
            <w:tcW w:w="1766" w:type="dxa"/>
            <w:vAlign w:val="center"/>
          </w:tcPr>
          <w:p w14:paraId="722D01FE" w14:textId="77777777" w:rsidR="00355BFB" w:rsidRDefault="00355BFB" w:rsidP="006B5DBD">
            <w:pPr>
              <w:spacing w:after="20"/>
            </w:pPr>
            <w:r>
              <w:rPr>
                <w:rFonts w:ascii="Arial" w:hAnsi="Arial"/>
                <w:sz w:val="14"/>
              </w:rPr>
              <w:t>Cloudera</w:t>
            </w:r>
          </w:p>
        </w:tc>
        <w:tc>
          <w:tcPr>
            <w:tcW w:w="2790" w:type="dxa"/>
            <w:vAlign w:val="center"/>
          </w:tcPr>
          <w:p w14:paraId="43B2507B"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0E9B4166" w14:textId="77777777" w:rsidTr="006B5DBD">
        <w:trPr>
          <w:jc w:val="center"/>
        </w:trPr>
        <w:tc>
          <w:tcPr>
            <w:tcW w:w="605" w:type="dxa"/>
            <w:vAlign w:val="center"/>
            <w:hideMark/>
          </w:tcPr>
          <w:p w14:paraId="13537FFB"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05617084" w14:textId="77777777" w:rsidR="00355BFB" w:rsidRPr="009C207B" w:rsidRDefault="00355BFB" w:rsidP="006B5DBD">
            <w:pPr>
              <w:spacing w:after="20" w:line="278" w:lineRule="auto"/>
              <w:jc w:val="both"/>
            </w:pPr>
            <w:r w:rsidRPr="009C207B">
              <w:rPr>
                <w:rFonts w:ascii="Arial" w:hAnsi="Arial"/>
                <w:sz w:val="14"/>
              </w:rPr>
              <w:t>Prometheus</w:t>
            </w:r>
          </w:p>
        </w:tc>
        <w:tc>
          <w:tcPr>
            <w:tcW w:w="1800" w:type="dxa"/>
            <w:vAlign w:val="center"/>
            <w:hideMark/>
          </w:tcPr>
          <w:p w14:paraId="06263180"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0245C229" w14:textId="77777777" w:rsidR="00355BFB" w:rsidRPr="009C207B" w:rsidRDefault="00355BFB" w:rsidP="006B5DBD">
            <w:pPr>
              <w:spacing w:after="20" w:line="278" w:lineRule="auto"/>
              <w:jc w:val="both"/>
            </w:pPr>
            <w:r w:rsidRPr="009C207B">
              <w:rPr>
                <w:rFonts w:ascii="Arial" w:hAnsi="Arial"/>
                <w:sz w:val="14"/>
              </w:rPr>
              <w:t>Metrics collection, time-series monitoring, and alerting.</w:t>
            </w:r>
          </w:p>
        </w:tc>
        <w:tc>
          <w:tcPr>
            <w:tcW w:w="1766" w:type="dxa"/>
            <w:vAlign w:val="center"/>
          </w:tcPr>
          <w:p w14:paraId="49365D62" w14:textId="77777777" w:rsidR="00355BFB" w:rsidRDefault="00355BFB" w:rsidP="006B5DBD">
            <w:pPr>
              <w:spacing w:after="20"/>
            </w:pPr>
            <w:r>
              <w:rPr>
                <w:rFonts w:ascii="Arial" w:hAnsi="Arial"/>
                <w:sz w:val="14"/>
              </w:rPr>
              <w:t>Cloudera</w:t>
            </w:r>
          </w:p>
        </w:tc>
        <w:tc>
          <w:tcPr>
            <w:tcW w:w="2790" w:type="dxa"/>
            <w:vAlign w:val="center"/>
          </w:tcPr>
          <w:p w14:paraId="45A9652D"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88595B6" w14:textId="77777777" w:rsidTr="006B5DBD">
        <w:trPr>
          <w:jc w:val="center"/>
        </w:trPr>
        <w:tc>
          <w:tcPr>
            <w:tcW w:w="605" w:type="dxa"/>
            <w:vAlign w:val="center"/>
            <w:hideMark/>
          </w:tcPr>
          <w:p w14:paraId="7528958E"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30FE6EEF" w14:textId="77777777" w:rsidR="00355BFB" w:rsidRPr="009C207B" w:rsidRDefault="00355BFB" w:rsidP="006B5DBD">
            <w:pPr>
              <w:spacing w:after="20" w:line="278" w:lineRule="auto"/>
              <w:jc w:val="both"/>
            </w:pPr>
            <w:r w:rsidRPr="009C207B">
              <w:rPr>
                <w:rFonts w:ascii="Arial" w:hAnsi="Arial"/>
                <w:sz w:val="14"/>
              </w:rPr>
              <w:t>Grafana</w:t>
            </w:r>
          </w:p>
        </w:tc>
        <w:tc>
          <w:tcPr>
            <w:tcW w:w="1800" w:type="dxa"/>
            <w:vAlign w:val="center"/>
            <w:hideMark/>
          </w:tcPr>
          <w:p w14:paraId="2BF29487"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1438C062" w14:textId="77777777" w:rsidR="00355BFB" w:rsidRPr="009C207B" w:rsidRDefault="00355BFB" w:rsidP="006B5DBD">
            <w:pPr>
              <w:spacing w:after="20" w:line="278" w:lineRule="auto"/>
              <w:jc w:val="both"/>
            </w:pPr>
            <w:r w:rsidRPr="009C207B">
              <w:rPr>
                <w:rFonts w:ascii="Arial" w:hAnsi="Arial"/>
                <w:sz w:val="14"/>
              </w:rPr>
              <w:t>Monitoring dashboards, metrics visualization, and operational analytics.</w:t>
            </w:r>
          </w:p>
        </w:tc>
        <w:tc>
          <w:tcPr>
            <w:tcW w:w="1766" w:type="dxa"/>
            <w:vAlign w:val="center"/>
          </w:tcPr>
          <w:p w14:paraId="60393210" w14:textId="77777777" w:rsidR="00355BFB" w:rsidRDefault="00355BFB" w:rsidP="006B5DBD">
            <w:pPr>
              <w:spacing w:after="20"/>
            </w:pPr>
            <w:r>
              <w:rPr>
                <w:rFonts w:ascii="Arial" w:hAnsi="Arial"/>
                <w:sz w:val="14"/>
              </w:rPr>
              <w:t>Cloudera</w:t>
            </w:r>
          </w:p>
        </w:tc>
        <w:tc>
          <w:tcPr>
            <w:tcW w:w="2790" w:type="dxa"/>
            <w:vAlign w:val="center"/>
          </w:tcPr>
          <w:p w14:paraId="0D426E13"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5F6C1486" w14:textId="77777777" w:rsidTr="006B5DBD">
        <w:trPr>
          <w:jc w:val="center"/>
        </w:trPr>
        <w:tc>
          <w:tcPr>
            <w:tcW w:w="605" w:type="dxa"/>
            <w:vAlign w:val="center"/>
            <w:hideMark/>
          </w:tcPr>
          <w:p w14:paraId="47CD338B" w14:textId="77777777" w:rsidR="00355BFB" w:rsidRPr="009C207B" w:rsidRDefault="00355BFB" w:rsidP="006B5DBD">
            <w:pPr>
              <w:spacing w:after="20" w:line="278" w:lineRule="auto"/>
              <w:jc w:val="both"/>
            </w:pPr>
            <w:r w:rsidRPr="009C207B">
              <w:rPr>
                <w:rFonts w:ascii="Arial" w:hAnsi="Arial"/>
                <w:sz w:val="14"/>
              </w:rPr>
              <w:t>5</w:t>
            </w:r>
          </w:p>
        </w:tc>
        <w:tc>
          <w:tcPr>
            <w:tcW w:w="2088" w:type="dxa"/>
            <w:vAlign w:val="center"/>
            <w:hideMark/>
          </w:tcPr>
          <w:p w14:paraId="263F3FD4" w14:textId="77777777" w:rsidR="00355BFB" w:rsidRPr="009C207B" w:rsidRDefault="00355BFB" w:rsidP="006B5DBD">
            <w:pPr>
              <w:spacing w:after="20" w:line="278" w:lineRule="auto"/>
              <w:jc w:val="both"/>
            </w:pPr>
            <w:r w:rsidRPr="009C207B">
              <w:rPr>
                <w:rFonts w:ascii="Arial" w:hAnsi="Arial"/>
                <w:sz w:val="14"/>
              </w:rPr>
              <w:t>Grafana Loki</w:t>
            </w:r>
          </w:p>
        </w:tc>
        <w:tc>
          <w:tcPr>
            <w:tcW w:w="1800" w:type="dxa"/>
            <w:vAlign w:val="center"/>
            <w:hideMark/>
          </w:tcPr>
          <w:p w14:paraId="638063CE"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4F81D417" w14:textId="77777777" w:rsidR="00355BFB" w:rsidRPr="009C207B" w:rsidRDefault="00355BFB" w:rsidP="006B5DBD">
            <w:pPr>
              <w:spacing w:after="20" w:line="278" w:lineRule="auto"/>
              <w:jc w:val="both"/>
            </w:pPr>
            <w:r w:rsidRPr="009C207B">
              <w:rPr>
                <w:rFonts w:ascii="Arial" w:hAnsi="Arial"/>
                <w:sz w:val="14"/>
              </w:rPr>
              <w:t>Centralized log aggregation, querying, and troubleshooting.</w:t>
            </w:r>
          </w:p>
        </w:tc>
        <w:tc>
          <w:tcPr>
            <w:tcW w:w="1766" w:type="dxa"/>
            <w:vAlign w:val="center"/>
          </w:tcPr>
          <w:p w14:paraId="42B252AB" w14:textId="77777777" w:rsidR="00355BFB" w:rsidRDefault="00355BFB" w:rsidP="006B5DBD">
            <w:pPr>
              <w:spacing w:after="20"/>
            </w:pPr>
            <w:r>
              <w:rPr>
                <w:rFonts w:ascii="Arial" w:hAnsi="Arial"/>
                <w:sz w:val="14"/>
              </w:rPr>
              <w:t>Cloudera</w:t>
            </w:r>
          </w:p>
        </w:tc>
        <w:tc>
          <w:tcPr>
            <w:tcW w:w="2790" w:type="dxa"/>
            <w:vAlign w:val="center"/>
          </w:tcPr>
          <w:p w14:paraId="4E1A3B91"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7B1A98B8" w14:textId="77777777" w:rsidTr="006B5DBD">
        <w:trPr>
          <w:jc w:val="center"/>
        </w:trPr>
        <w:tc>
          <w:tcPr>
            <w:tcW w:w="605" w:type="dxa"/>
            <w:vAlign w:val="center"/>
            <w:hideMark/>
          </w:tcPr>
          <w:p w14:paraId="505C3344" w14:textId="77777777" w:rsidR="00355BFB" w:rsidRPr="009C207B" w:rsidRDefault="00355BFB" w:rsidP="006B5DBD">
            <w:pPr>
              <w:spacing w:after="20" w:line="278" w:lineRule="auto"/>
              <w:jc w:val="both"/>
            </w:pPr>
            <w:r w:rsidRPr="009C207B">
              <w:rPr>
                <w:rFonts w:ascii="Arial" w:hAnsi="Arial"/>
                <w:sz w:val="14"/>
              </w:rPr>
              <w:t>6</w:t>
            </w:r>
          </w:p>
        </w:tc>
        <w:tc>
          <w:tcPr>
            <w:tcW w:w="2088" w:type="dxa"/>
            <w:vAlign w:val="center"/>
            <w:hideMark/>
          </w:tcPr>
          <w:p w14:paraId="7C27A8B1" w14:textId="77777777" w:rsidR="00355BFB" w:rsidRPr="009C207B" w:rsidRDefault="00355BFB" w:rsidP="006B5DBD">
            <w:pPr>
              <w:spacing w:after="20" w:line="278" w:lineRule="auto"/>
              <w:jc w:val="both"/>
            </w:pPr>
            <w:r w:rsidRPr="009C207B">
              <w:rPr>
                <w:rFonts w:ascii="Arial" w:hAnsi="Arial"/>
                <w:sz w:val="14"/>
              </w:rPr>
              <w:t>Splunk Enterprise SIEM</w:t>
            </w:r>
          </w:p>
        </w:tc>
        <w:tc>
          <w:tcPr>
            <w:tcW w:w="1800" w:type="dxa"/>
            <w:vAlign w:val="center"/>
            <w:hideMark/>
          </w:tcPr>
          <w:p w14:paraId="187F8B36" w14:textId="77777777" w:rsidR="00355BFB" w:rsidRPr="009C207B" w:rsidRDefault="00355BFB" w:rsidP="006B5DBD">
            <w:pPr>
              <w:spacing w:after="20" w:line="278" w:lineRule="auto"/>
              <w:jc w:val="both"/>
            </w:pPr>
          </w:p>
        </w:tc>
        <w:tc>
          <w:tcPr>
            <w:tcW w:w="2376" w:type="dxa"/>
            <w:vAlign w:val="center"/>
            <w:hideMark/>
          </w:tcPr>
          <w:p w14:paraId="700C424C" w14:textId="77777777" w:rsidR="00355BFB" w:rsidRPr="009C207B" w:rsidRDefault="00355BFB" w:rsidP="006B5DBD">
            <w:pPr>
              <w:spacing w:after="20" w:line="278" w:lineRule="auto"/>
              <w:jc w:val="both"/>
            </w:pPr>
            <w:r w:rsidRPr="009C207B">
              <w:rPr>
                <w:rFonts w:ascii="Arial" w:hAnsi="Arial"/>
                <w:sz w:val="14"/>
              </w:rPr>
              <w:t>Security event correlation, threat detection, audit analysis, and incident investigation.</w:t>
            </w:r>
          </w:p>
        </w:tc>
        <w:tc>
          <w:tcPr>
            <w:tcW w:w="1766" w:type="dxa"/>
            <w:vAlign w:val="center"/>
          </w:tcPr>
          <w:p w14:paraId="215859D8" w14:textId="77777777" w:rsidR="00355BFB" w:rsidRDefault="00355BFB" w:rsidP="006B5DBD">
            <w:pPr>
              <w:spacing w:after="20"/>
            </w:pPr>
            <w:r>
              <w:rPr>
                <w:rFonts w:ascii="Arial" w:hAnsi="Arial"/>
                <w:sz w:val="14"/>
              </w:rPr>
              <w:t>PRAL</w:t>
            </w:r>
          </w:p>
        </w:tc>
        <w:tc>
          <w:tcPr>
            <w:tcW w:w="2790" w:type="dxa"/>
            <w:vAlign w:val="center"/>
          </w:tcPr>
          <w:p w14:paraId="557B6D3D" w14:textId="77777777" w:rsidR="00355BFB" w:rsidRPr="00863441" w:rsidRDefault="00355BFB" w:rsidP="006B5DBD">
            <w:pPr>
              <w:spacing w:after="20"/>
              <w:rPr>
                <w:rFonts w:asciiTheme="minorBidi" w:hAnsiTheme="minorBidi"/>
                <w:sz w:val="14"/>
                <w:szCs w:val="14"/>
              </w:rPr>
            </w:pPr>
            <w:r>
              <w:rPr>
                <w:rFonts w:asciiTheme="minorBidi" w:hAnsiTheme="minorBidi"/>
                <w:sz w:val="14"/>
                <w:szCs w:val="14"/>
              </w:rPr>
              <w:t>PRAL</w:t>
            </w:r>
          </w:p>
        </w:tc>
      </w:tr>
      <w:tr w:rsidR="00355BFB" w:rsidRPr="009C207B" w14:paraId="2E865C8C" w14:textId="77777777" w:rsidTr="006B5DBD">
        <w:trPr>
          <w:jc w:val="center"/>
        </w:trPr>
        <w:tc>
          <w:tcPr>
            <w:tcW w:w="605" w:type="dxa"/>
            <w:vAlign w:val="center"/>
            <w:hideMark/>
          </w:tcPr>
          <w:p w14:paraId="4661C9B3" w14:textId="77777777" w:rsidR="00355BFB" w:rsidRPr="009C207B" w:rsidRDefault="00355BFB" w:rsidP="006B5DBD">
            <w:pPr>
              <w:spacing w:after="20" w:line="278" w:lineRule="auto"/>
              <w:jc w:val="both"/>
            </w:pPr>
            <w:r w:rsidRPr="009C207B">
              <w:rPr>
                <w:rFonts w:ascii="Arial" w:hAnsi="Arial"/>
                <w:sz w:val="14"/>
              </w:rPr>
              <w:t>7</w:t>
            </w:r>
          </w:p>
        </w:tc>
        <w:tc>
          <w:tcPr>
            <w:tcW w:w="2088" w:type="dxa"/>
            <w:vAlign w:val="center"/>
            <w:hideMark/>
          </w:tcPr>
          <w:p w14:paraId="30839F6F" w14:textId="77777777" w:rsidR="00355BFB" w:rsidRPr="009C207B" w:rsidRDefault="00355BFB" w:rsidP="006B5DBD">
            <w:pPr>
              <w:spacing w:after="20" w:line="278" w:lineRule="auto"/>
              <w:jc w:val="both"/>
            </w:pPr>
            <w:r w:rsidRPr="009C207B">
              <w:rPr>
                <w:rFonts w:ascii="Arial" w:hAnsi="Arial"/>
                <w:sz w:val="14"/>
              </w:rPr>
              <w:t>GitLab</w:t>
            </w:r>
          </w:p>
        </w:tc>
        <w:tc>
          <w:tcPr>
            <w:tcW w:w="1800" w:type="dxa"/>
            <w:vAlign w:val="center"/>
            <w:hideMark/>
          </w:tcPr>
          <w:p w14:paraId="44884322" w14:textId="77777777" w:rsidR="00355BFB" w:rsidRPr="005132F1" w:rsidRDefault="00355BFB" w:rsidP="006B5DBD">
            <w:pPr>
              <w:spacing w:after="20" w:line="278" w:lineRule="auto"/>
              <w:jc w:val="both"/>
            </w:pPr>
            <w:r w:rsidRPr="005132F1">
              <w:rPr>
                <w:rFonts w:ascii="Arial" w:hAnsi="Arial"/>
                <w:sz w:val="14"/>
              </w:rPr>
              <w:t>19.5</w:t>
            </w:r>
          </w:p>
        </w:tc>
        <w:tc>
          <w:tcPr>
            <w:tcW w:w="2376" w:type="dxa"/>
            <w:vAlign w:val="center"/>
            <w:hideMark/>
          </w:tcPr>
          <w:p w14:paraId="3A845913" w14:textId="77777777" w:rsidR="00355BFB" w:rsidRPr="009C207B" w:rsidRDefault="00355BFB" w:rsidP="006B5DBD">
            <w:pPr>
              <w:spacing w:after="20" w:line="278" w:lineRule="auto"/>
              <w:jc w:val="both"/>
            </w:pPr>
            <w:r w:rsidRPr="009C207B">
              <w:rPr>
                <w:rFonts w:ascii="Arial" w:hAnsi="Arial"/>
                <w:sz w:val="14"/>
              </w:rPr>
              <w:t>Source code management, version control, collaboration, and CI/CD pipelines.</w:t>
            </w:r>
          </w:p>
        </w:tc>
        <w:tc>
          <w:tcPr>
            <w:tcW w:w="1766" w:type="dxa"/>
            <w:vAlign w:val="center"/>
          </w:tcPr>
          <w:p w14:paraId="025A130F" w14:textId="77777777" w:rsidR="00355BFB" w:rsidRDefault="00355BFB" w:rsidP="006B5DBD">
            <w:pPr>
              <w:spacing w:after="20"/>
            </w:pPr>
            <w:r>
              <w:rPr>
                <w:rFonts w:ascii="Arial" w:hAnsi="Arial"/>
                <w:sz w:val="14"/>
              </w:rPr>
              <w:t xml:space="preserve">GitLab </w:t>
            </w:r>
          </w:p>
        </w:tc>
        <w:tc>
          <w:tcPr>
            <w:tcW w:w="2790" w:type="dxa"/>
            <w:vAlign w:val="center"/>
          </w:tcPr>
          <w:p w14:paraId="5499E22B"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User Based</w:t>
            </w:r>
          </w:p>
        </w:tc>
      </w:tr>
      <w:tr w:rsidR="00355BFB" w:rsidRPr="009C207B" w14:paraId="017FCF07" w14:textId="77777777" w:rsidTr="006B5DBD">
        <w:trPr>
          <w:jc w:val="center"/>
        </w:trPr>
        <w:tc>
          <w:tcPr>
            <w:tcW w:w="605" w:type="dxa"/>
            <w:vAlign w:val="center"/>
            <w:hideMark/>
          </w:tcPr>
          <w:p w14:paraId="739937EE" w14:textId="77777777" w:rsidR="00355BFB" w:rsidRPr="009C207B" w:rsidRDefault="00355BFB" w:rsidP="006B5DBD">
            <w:pPr>
              <w:spacing w:after="20" w:line="278" w:lineRule="auto"/>
              <w:jc w:val="both"/>
            </w:pPr>
            <w:r w:rsidRPr="009C207B">
              <w:rPr>
                <w:rFonts w:ascii="Arial" w:hAnsi="Arial"/>
                <w:sz w:val="14"/>
              </w:rPr>
              <w:t>8</w:t>
            </w:r>
          </w:p>
        </w:tc>
        <w:tc>
          <w:tcPr>
            <w:tcW w:w="2088" w:type="dxa"/>
            <w:vAlign w:val="center"/>
            <w:hideMark/>
          </w:tcPr>
          <w:p w14:paraId="580393D4" w14:textId="77777777" w:rsidR="00355BFB" w:rsidRPr="009C207B" w:rsidRDefault="00355BFB" w:rsidP="006B5DBD">
            <w:pPr>
              <w:spacing w:after="20" w:line="278" w:lineRule="auto"/>
              <w:jc w:val="both"/>
            </w:pPr>
            <w:r w:rsidRPr="009C207B">
              <w:rPr>
                <w:rFonts w:ascii="Arial" w:hAnsi="Arial"/>
                <w:sz w:val="14"/>
              </w:rPr>
              <w:t>Argo CD</w:t>
            </w:r>
          </w:p>
        </w:tc>
        <w:tc>
          <w:tcPr>
            <w:tcW w:w="1800" w:type="dxa"/>
            <w:vAlign w:val="center"/>
            <w:hideMark/>
          </w:tcPr>
          <w:p w14:paraId="1C4B1B49"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08628F3F" w14:textId="77777777" w:rsidR="00355BFB" w:rsidRPr="009C207B" w:rsidRDefault="00355BFB" w:rsidP="006B5DBD">
            <w:pPr>
              <w:spacing w:after="20" w:line="278" w:lineRule="auto"/>
              <w:jc w:val="both"/>
            </w:pPr>
            <w:proofErr w:type="spellStart"/>
            <w:r w:rsidRPr="009C207B">
              <w:rPr>
                <w:rFonts w:ascii="Arial" w:hAnsi="Arial"/>
                <w:sz w:val="14"/>
              </w:rPr>
              <w:t>GitOps</w:t>
            </w:r>
            <w:proofErr w:type="spellEnd"/>
            <w:r w:rsidRPr="009C207B">
              <w:rPr>
                <w:rFonts w:ascii="Arial" w:hAnsi="Arial"/>
                <w:sz w:val="14"/>
              </w:rPr>
              <w:t>-based application deployment, configuration synchronization, and deployment drift detection.</w:t>
            </w:r>
          </w:p>
        </w:tc>
        <w:tc>
          <w:tcPr>
            <w:tcW w:w="1766" w:type="dxa"/>
            <w:vAlign w:val="center"/>
          </w:tcPr>
          <w:p w14:paraId="481E218D" w14:textId="77777777" w:rsidR="00355BFB" w:rsidRDefault="00355BFB" w:rsidP="006B5DBD">
            <w:pPr>
              <w:spacing w:after="20"/>
            </w:pPr>
            <w:r>
              <w:rPr>
                <w:rFonts w:ascii="Arial" w:hAnsi="Arial"/>
                <w:sz w:val="14"/>
              </w:rPr>
              <w:t>Cloudera</w:t>
            </w:r>
          </w:p>
        </w:tc>
        <w:tc>
          <w:tcPr>
            <w:tcW w:w="2790" w:type="dxa"/>
            <w:vAlign w:val="center"/>
          </w:tcPr>
          <w:p w14:paraId="46FA0ADE"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1F35F3FF" w14:textId="77777777" w:rsidR="00355BFB" w:rsidRPr="00355BFB" w:rsidRDefault="00355BFB" w:rsidP="00355BFB">
      <w:pPr>
        <w:pStyle w:val="Heading3"/>
      </w:pPr>
      <w:bookmarkStart w:id="27" w:name="_Toc243538518"/>
      <w:r w:rsidRPr="00355BFB">
        <w:t>9. API Management Framework</w:t>
      </w:r>
      <w:bookmarkEnd w:id="27"/>
    </w:p>
    <w:tbl>
      <w:tblPr>
        <w:tblStyle w:val="TableGrid"/>
        <w:tblW w:w="0" w:type="auto"/>
        <w:jc w:val="center"/>
        <w:tblLayout w:type="fixed"/>
        <w:tblLook w:val="04A0" w:firstRow="1" w:lastRow="0" w:firstColumn="1" w:lastColumn="0" w:noHBand="0" w:noVBand="1"/>
      </w:tblPr>
      <w:tblGrid>
        <w:gridCol w:w="605"/>
        <w:gridCol w:w="2088"/>
        <w:gridCol w:w="1800"/>
        <w:gridCol w:w="2376"/>
        <w:gridCol w:w="1856"/>
        <w:gridCol w:w="2880"/>
      </w:tblGrid>
      <w:tr w:rsidR="00355BFB" w:rsidRPr="009C207B" w14:paraId="1B48F9CB" w14:textId="77777777" w:rsidTr="006B5DBD">
        <w:trPr>
          <w:tblHeader/>
          <w:jc w:val="center"/>
        </w:trPr>
        <w:tc>
          <w:tcPr>
            <w:tcW w:w="605" w:type="dxa"/>
            <w:vAlign w:val="center"/>
            <w:hideMark/>
          </w:tcPr>
          <w:p w14:paraId="73DE36CE"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2EE978E2"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4DCF3185"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20AB96BB"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856" w:type="dxa"/>
            <w:vAlign w:val="center"/>
          </w:tcPr>
          <w:p w14:paraId="71C24E7C" w14:textId="77777777" w:rsidR="00355BFB" w:rsidRDefault="00355BFB" w:rsidP="006B5DBD">
            <w:pPr>
              <w:spacing w:after="20"/>
            </w:pPr>
            <w:r>
              <w:rPr>
                <w:rFonts w:ascii="Arial" w:hAnsi="Arial"/>
                <w:sz w:val="14"/>
              </w:rPr>
              <w:t>Vendor Support</w:t>
            </w:r>
          </w:p>
        </w:tc>
        <w:tc>
          <w:tcPr>
            <w:tcW w:w="2880" w:type="dxa"/>
            <w:vAlign w:val="center"/>
          </w:tcPr>
          <w:p w14:paraId="4649E0FC" w14:textId="77777777" w:rsidR="00355BFB" w:rsidRDefault="00355BFB" w:rsidP="006B5DBD">
            <w:pPr>
              <w:spacing w:after="20"/>
            </w:pPr>
            <w:r>
              <w:rPr>
                <w:rFonts w:ascii="Arial" w:hAnsi="Arial"/>
                <w:sz w:val="14"/>
              </w:rPr>
              <w:t>License Model</w:t>
            </w:r>
          </w:p>
        </w:tc>
      </w:tr>
      <w:tr w:rsidR="00355BFB" w:rsidRPr="009C207B" w14:paraId="2FBDA865" w14:textId="77777777" w:rsidTr="006B5DBD">
        <w:trPr>
          <w:jc w:val="center"/>
        </w:trPr>
        <w:tc>
          <w:tcPr>
            <w:tcW w:w="605" w:type="dxa"/>
            <w:vAlign w:val="center"/>
            <w:hideMark/>
          </w:tcPr>
          <w:p w14:paraId="59A396D8"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73DEBBDA" w14:textId="77777777" w:rsidR="00355BFB" w:rsidRPr="009C207B" w:rsidRDefault="00355BFB" w:rsidP="006B5DBD">
            <w:pPr>
              <w:spacing w:after="20" w:line="278" w:lineRule="auto"/>
              <w:jc w:val="both"/>
            </w:pPr>
            <w:r w:rsidRPr="009C207B">
              <w:rPr>
                <w:rFonts w:ascii="Arial" w:hAnsi="Arial"/>
                <w:sz w:val="14"/>
              </w:rPr>
              <w:t>WSO2 API Manager</w:t>
            </w:r>
          </w:p>
        </w:tc>
        <w:tc>
          <w:tcPr>
            <w:tcW w:w="1800" w:type="dxa"/>
            <w:vAlign w:val="center"/>
            <w:hideMark/>
          </w:tcPr>
          <w:p w14:paraId="42D97CCD" w14:textId="77777777" w:rsidR="00355BFB" w:rsidRDefault="00355BFB" w:rsidP="006B5DBD">
            <w:pPr>
              <w:spacing w:after="20" w:line="278" w:lineRule="auto"/>
              <w:jc w:val="both"/>
              <w:rPr>
                <w:rFonts w:ascii="Arial" w:hAnsi="Arial"/>
                <w:sz w:val="14"/>
              </w:rPr>
            </w:pPr>
            <w:r w:rsidRPr="009C207B">
              <w:rPr>
                <w:rFonts w:ascii="Arial" w:hAnsi="Arial"/>
                <w:sz w:val="14"/>
              </w:rPr>
              <w:t>4.7.0</w:t>
            </w:r>
          </w:p>
          <w:p w14:paraId="2C959FD0" w14:textId="77777777" w:rsidR="00355BFB" w:rsidRPr="009C207B" w:rsidRDefault="00355BFB" w:rsidP="006B5DBD">
            <w:pPr>
              <w:spacing w:after="20" w:line="278" w:lineRule="auto"/>
              <w:jc w:val="both"/>
            </w:pPr>
          </w:p>
        </w:tc>
        <w:tc>
          <w:tcPr>
            <w:tcW w:w="2376" w:type="dxa"/>
            <w:vAlign w:val="center"/>
            <w:hideMark/>
          </w:tcPr>
          <w:p w14:paraId="0320B227" w14:textId="77777777" w:rsidR="00355BFB" w:rsidRPr="009C207B" w:rsidRDefault="00355BFB" w:rsidP="006B5DBD">
            <w:pPr>
              <w:spacing w:after="20" w:line="278" w:lineRule="auto"/>
              <w:jc w:val="both"/>
            </w:pPr>
            <w:r w:rsidRPr="009C207B">
              <w:rPr>
                <w:rFonts w:ascii="Arial" w:hAnsi="Arial"/>
                <w:sz w:val="14"/>
              </w:rPr>
              <w:t xml:space="preserve">REST/SOAP API management, authentication, throttling, </w:t>
            </w:r>
            <w:r w:rsidRPr="009C207B">
              <w:rPr>
                <w:rFonts w:ascii="Arial" w:hAnsi="Arial"/>
                <w:sz w:val="14"/>
              </w:rPr>
              <w:lastRenderedPageBreak/>
              <w:t>versioning, auditing, and governed data service exposure.</w:t>
            </w:r>
          </w:p>
        </w:tc>
        <w:tc>
          <w:tcPr>
            <w:tcW w:w="1856" w:type="dxa"/>
            <w:vAlign w:val="center"/>
          </w:tcPr>
          <w:p w14:paraId="185F2F81" w14:textId="77777777" w:rsidR="00355BFB" w:rsidRDefault="00355BFB" w:rsidP="006B5DBD">
            <w:pPr>
              <w:spacing w:after="20"/>
            </w:pPr>
            <w:r>
              <w:rPr>
                <w:rFonts w:ascii="Arial" w:hAnsi="Arial"/>
                <w:sz w:val="14"/>
              </w:rPr>
              <w:lastRenderedPageBreak/>
              <w:t>WSO2 support</w:t>
            </w:r>
          </w:p>
        </w:tc>
        <w:tc>
          <w:tcPr>
            <w:tcW w:w="2880" w:type="dxa"/>
            <w:vAlign w:val="center"/>
          </w:tcPr>
          <w:p w14:paraId="16AE1739"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p>
        </w:tc>
      </w:tr>
    </w:tbl>
    <w:p w14:paraId="19F1F77F" w14:textId="77777777" w:rsidR="00355BFB" w:rsidRPr="00355BFB" w:rsidRDefault="00355BFB" w:rsidP="00355BFB">
      <w:pPr>
        <w:pStyle w:val="Heading3"/>
      </w:pPr>
      <w:bookmarkStart w:id="28" w:name="_Toc243538519"/>
      <w:r w:rsidRPr="00355BFB">
        <w:t>10. Data Consumption and Presentation</w:t>
      </w:r>
      <w:bookmarkEnd w:id="28"/>
    </w:p>
    <w:tbl>
      <w:tblPr>
        <w:tblStyle w:val="TableGrid"/>
        <w:tblW w:w="11605" w:type="dxa"/>
        <w:jc w:val="center"/>
        <w:tblLayout w:type="fixed"/>
        <w:tblLook w:val="04A0" w:firstRow="1" w:lastRow="0" w:firstColumn="1" w:lastColumn="0" w:noHBand="0" w:noVBand="1"/>
      </w:tblPr>
      <w:tblGrid>
        <w:gridCol w:w="605"/>
        <w:gridCol w:w="2088"/>
        <w:gridCol w:w="1800"/>
        <w:gridCol w:w="2376"/>
        <w:gridCol w:w="1856"/>
        <w:gridCol w:w="2880"/>
      </w:tblGrid>
      <w:tr w:rsidR="00355BFB" w:rsidRPr="009C207B" w14:paraId="3B762397" w14:textId="77777777" w:rsidTr="006B5DBD">
        <w:trPr>
          <w:tblHeader/>
          <w:jc w:val="center"/>
        </w:trPr>
        <w:tc>
          <w:tcPr>
            <w:tcW w:w="605" w:type="dxa"/>
            <w:vAlign w:val="center"/>
            <w:hideMark/>
          </w:tcPr>
          <w:p w14:paraId="72B07D94"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77CE8AAD" w14:textId="77777777" w:rsidR="00355BFB" w:rsidRPr="009C207B" w:rsidRDefault="00355BFB" w:rsidP="006B5DBD">
            <w:pPr>
              <w:spacing w:after="20" w:line="278" w:lineRule="auto"/>
              <w:jc w:val="both"/>
              <w:rPr>
                <w:b/>
                <w:bCs/>
              </w:rPr>
            </w:pPr>
            <w:r w:rsidRPr="009C207B">
              <w:rPr>
                <w:rFonts w:ascii="Arial" w:hAnsi="Arial"/>
                <w:b/>
                <w:bCs/>
                <w:sz w:val="14"/>
              </w:rPr>
              <w:t>Software Component</w:t>
            </w:r>
          </w:p>
        </w:tc>
        <w:tc>
          <w:tcPr>
            <w:tcW w:w="1800" w:type="dxa"/>
            <w:vAlign w:val="center"/>
            <w:hideMark/>
          </w:tcPr>
          <w:p w14:paraId="49AB0F0D"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426D3778"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856" w:type="dxa"/>
            <w:vAlign w:val="center"/>
          </w:tcPr>
          <w:p w14:paraId="72F5D6F3" w14:textId="77777777" w:rsidR="00355BFB" w:rsidRDefault="00355BFB" w:rsidP="006B5DBD">
            <w:pPr>
              <w:spacing w:after="20"/>
            </w:pPr>
            <w:r>
              <w:rPr>
                <w:rFonts w:ascii="Arial" w:hAnsi="Arial"/>
                <w:sz w:val="14"/>
              </w:rPr>
              <w:t>Vendor Support</w:t>
            </w:r>
          </w:p>
        </w:tc>
        <w:tc>
          <w:tcPr>
            <w:tcW w:w="2880" w:type="dxa"/>
            <w:vAlign w:val="center"/>
          </w:tcPr>
          <w:p w14:paraId="5C4418BE" w14:textId="77777777" w:rsidR="00355BFB" w:rsidRDefault="00355BFB" w:rsidP="006B5DBD">
            <w:pPr>
              <w:spacing w:after="20"/>
            </w:pPr>
            <w:r>
              <w:rPr>
                <w:rFonts w:ascii="Arial" w:hAnsi="Arial"/>
                <w:sz w:val="14"/>
              </w:rPr>
              <w:t>License Model</w:t>
            </w:r>
          </w:p>
        </w:tc>
      </w:tr>
      <w:tr w:rsidR="00355BFB" w:rsidRPr="009C207B" w14:paraId="3DAE2D3C" w14:textId="77777777" w:rsidTr="006B5DBD">
        <w:trPr>
          <w:jc w:val="center"/>
        </w:trPr>
        <w:tc>
          <w:tcPr>
            <w:tcW w:w="605" w:type="dxa"/>
            <w:vAlign w:val="center"/>
            <w:hideMark/>
          </w:tcPr>
          <w:p w14:paraId="3E402748"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3E2FBD50" w14:textId="77777777" w:rsidR="00355BFB" w:rsidRPr="009C207B" w:rsidRDefault="00355BFB" w:rsidP="006B5DBD">
            <w:pPr>
              <w:spacing w:after="20" w:line="278" w:lineRule="auto"/>
              <w:jc w:val="both"/>
            </w:pPr>
            <w:r w:rsidRPr="009C207B">
              <w:rPr>
                <w:rFonts w:ascii="Arial" w:hAnsi="Arial"/>
                <w:sz w:val="14"/>
              </w:rPr>
              <w:t>Tableau Server</w:t>
            </w:r>
          </w:p>
        </w:tc>
        <w:tc>
          <w:tcPr>
            <w:tcW w:w="1800" w:type="dxa"/>
            <w:vAlign w:val="center"/>
            <w:hideMark/>
          </w:tcPr>
          <w:p w14:paraId="487E7CD4" w14:textId="77777777" w:rsidR="00355BFB" w:rsidRPr="009C207B" w:rsidRDefault="00355BFB" w:rsidP="006B5DBD">
            <w:pPr>
              <w:spacing w:after="20" w:line="278" w:lineRule="auto"/>
              <w:jc w:val="both"/>
            </w:pPr>
            <w:r w:rsidRPr="009C207B">
              <w:rPr>
                <w:rFonts w:ascii="Arial" w:hAnsi="Arial"/>
                <w:sz w:val="14"/>
              </w:rPr>
              <w:t>2026.3</w:t>
            </w:r>
          </w:p>
        </w:tc>
        <w:tc>
          <w:tcPr>
            <w:tcW w:w="2376" w:type="dxa"/>
            <w:vAlign w:val="center"/>
            <w:hideMark/>
          </w:tcPr>
          <w:p w14:paraId="3787B7E5" w14:textId="77777777" w:rsidR="00355BFB" w:rsidRPr="009C207B" w:rsidRDefault="00355BFB" w:rsidP="006B5DBD">
            <w:pPr>
              <w:spacing w:after="20" w:line="278" w:lineRule="auto"/>
              <w:jc w:val="both"/>
            </w:pPr>
            <w:r w:rsidRPr="009C207B">
              <w:rPr>
                <w:rFonts w:ascii="Arial" w:hAnsi="Arial"/>
                <w:sz w:val="14"/>
              </w:rPr>
              <w:t>Self-service BI, enterprise dashboards, and interactive visualization.</w:t>
            </w:r>
          </w:p>
        </w:tc>
        <w:tc>
          <w:tcPr>
            <w:tcW w:w="1856" w:type="dxa"/>
            <w:vAlign w:val="center"/>
          </w:tcPr>
          <w:p w14:paraId="6CA68EBA" w14:textId="77777777" w:rsidR="00355BFB" w:rsidRDefault="00355BFB" w:rsidP="006B5DBD">
            <w:pPr>
              <w:spacing w:after="20"/>
            </w:pPr>
            <w:r>
              <w:rPr>
                <w:rFonts w:ascii="Arial" w:hAnsi="Arial"/>
                <w:sz w:val="14"/>
              </w:rPr>
              <w:t>PRAL</w:t>
            </w:r>
          </w:p>
        </w:tc>
        <w:tc>
          <w:tcPr>
            <w:tcW w:w="2880" w:type="dxa"/>
            <w:vAlign w:val="center"/>
          </w:tcPr>
          <w:p w14:paraId="4CBE5ACC" w14:textId="77777777" w:rsidR="00355BFB" w:rsidRPr="00863441" w:rsidRDefault="00355BFB" w:rsidP="006B5DBD">
            <w:pPr>
              <w:spacing w:after="20"/>
              <w:rPr>
                <w:rFonts w:asciiTheme="minorBidi" w:hAnsiTheme="minorBidi"/>
                <w:sz w:val="14"/>
                <w:szCs w:val="14"/>
              </w:rPr>
            </w:pPr>
            <w:r>
              <w:rPr>
                <w:rFonts w:asciiTheme="minorBidi" w:hAnsiTheme="minorBidi"/>
                <w:sz w:val="14"/>
                <w:szCs w:val="14"/>
              </w:rPr>
              <w:t>PRAL</w:t>
            </w:r>
          </w:p>
        </w:tc>
      </w:tr>
      <w:tr w:rsidR="00355BFB" w:rsidRPr="009C207B" w14:paraId="59746BA7" w14:textId="77777777" w:rsidTr="006B5DBD">
        <w:trPr>
          <w:jc w:val="center"/>
        </w:trPr>
        <w:tc>
          <w:tcPr>
            <w:tcW w:w="605" w:type="dxa"/>
            <w:vAlign w:val="center"/>
            <w:hideMark/>
          </w:tcPr>
          <w:p w14:paraId="5E0A2A91"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470FD95D" w14:textId="77777777" w:rsidR="00355BFB" w:rsidRPr="009C207B" w:rsidRDefault="00355BFB" w:rsidP="006B5DBD">
            <w:pPr>
              <w:spacing w:after="20" w:line="278" w:lineRule="auto"/>
              <w:jc w:val="both"/>
            </w:pPr>
            <w:r w:rsidRPr="009C207B">
              <w:rPr>
                <w:rFonts w:ascii="Arial" w:hAnsi="Arial"/>
                <w:sz w:val="14"/>
              </w:rPr>
              <w:t>Oracle Analytics Server (OAS)</w:t>
            </w:r>
          </w:p>
        </w:tc>
        <w:tc>
          <w:tcPr>
            <w:tcW w:w="1800" w:type="dxa"/>
            <w:vAlign w:val="center"/>
            <w:hideMark/>
          </w:tcPr>
          <w:p w14:paraId="461292B6" w14:textId="77777777" w:rsidR="00355BFB" w:rsidRPr="009C207B" w:rsidRDefault="00355BFB" w:rsidP="006B5DBD">
            <w:pPr>
              <w:spacing w:after="20" w:line="278" w:lineRule="auto"/>
              <w:jc w:val="both"/>
            </w:pPr>
            <w:r>
              <w:rPr>
                <w:rFonts w:ascii="Arial" w:hAnsi="Arial"/>
                <w:sz w:val="14"/>
              </w:rPr>
              <w:t>26</w:t>
            </w:r>
          </w:p>
        </w:tc>
        <w:tc>
          <w:tcPr>
            <w:tcW w:w="2376" w:type="dxa"/>
            <w:vAlign w:val="center"/>
            <w:hideMark/>
          </w:tcPr>
          <w:p w14:paraId="5193265C" w14:textId="77777777" w:rsidR="00355BFB" w:rsidRPr="009C207B" w:rsidRDefault="00355BFB" w:rsidP="006B5DBD">
            <w:pPr>
              <w:spacing w:after="20" w:line="278" w:lineRule="auto"/>
              <w:jc w:val="both"/>
            </w:pPr>
            <w:r w:rsidRPr="009C207B">
              <w:rPr>
                <w:rFonts w:ascii="Arial" w:hAnsi="Arial"/>
                <w:sz w:val="14"/>
              </w:rPr>
              <w:t>Customer-managed enterprise reporting, dashboards, and analytics.</w:t>
            </w:r>
          </w:p>
        </w:tc>
        <w:tc>
          <w:tcPr>
            <w:tcW w:w="1856" w:type="dxa"/>
            <w:vAlign w:val="center"/>
          </w:tcPr>
          <w:p w14:paraId="153373E3" w14:textId="77777777" w:rsidR="00355BFB" w:rsidRDefault="00355BFB" w:rsidP="006B5DBD">
            <w:pPr>
              <w:spacing w:after="20"/>
            </w:pPr>
            <w:r>
              <w:rPr>
                <w:rFonts w:ascii="Arial" w:hAnsi="Arial"/>
                <w:sz w:val="14"/>
              </w:rPr>
              <w:t>Oracle</w:t>
            </w:r>
          </w:p>
        </w:tc>
        <w:tc>
          <w:tcPr>
            <w:tcW w:w="2880" w:type="dxa"/>
            <w:vAlign w:val="center"/>
          </w:tcPr>
          <w:p w14:paraId="71F1847C" w14:textId="77777777" w:rsidR="00355BFB" w:rsidRPr="00863441" w:rsidRDefault="00355BFB" w:rsidP="006B5DBD">
            <w:pPr>
              <w:spacing w:after="20"/>
              <w:rPr>
                <w:rFonts w:asciiTheme="minorBidi" w:hAnsiTheme="minorBidi"/>
                <w:sz w:val="14"/>
                <w:szCs w:val="14"/>
              </w:rPr>
            </w:pPr>
          </w:p>
        </w:tc>
      </w:tr>
      <w:tr w:rsidR="00355BFB" w:rsidRPr="009C207B" w14:paraId="35AA5F08" w14:textId="77777777" w:rsidTr="006B5DBD">
        <w:trPr>
          <w:jc w:val="center"/>
        </w:trPr>
        <w:tc>
          <w:tcPr>
            <w:tcW w:w="605" w:type="dxa"/>
            <w:vAlign w:val="center"/>
            <w:hideMark/>
          </w:tcPr>
          <w:p w14:paraId="6252C101" w14:textId="77777777" w:rsidR="00355BFB" w:rsidRPr="009C207B" w:rsidRDefault="00355BFB" w:rsidP="006B5DBD">
            <w:pPr>
              <w:spacing w:after="20" w:line="278" w:lineRule="auto"/>
              <w:jc w:val="both"/>
            </w:pPr>
            <w:r>
              <w:rPr>
                <w:rFonts w:ascii="Arial" w:hAnsi="Arial"/>
                <w:sz w:val="14"/>
              </w:rPr>
              <w:t>3</w:t>
            </w:r>
          </w:p>
        </w:tc>
        <w:tc>
          <w:tcPr>
            <w:tcW w:w="2088" w:type="dxa"/>
            <w:vAlign w:val="center"/>
            <w:hideMark/>
          </w:tcPr>
          <w:p w14:paraId="1BC32D50" w14:textId="77777777" w:rsidR="00355BFB" w:rsidRPr="009C207B" w:rsidRDefault="00355BFB" w:rsidP="006B5DBD">
            <w:pPr>
              <w:spacing w:after="20" w:line="278" w:lineRule="auto"/>
              <w:jc w:val="both"/>
            </w:pPr>
            <w:r w:rsidRPr="009C207B">
              <w:rPr>
                <w:rFonts w:ascii="Arial" w:hAnsi="Arial"/>
                <w:sz w:val="14"/>
              </w:rPr>
              <w:t>Cloudera AI</w:t>
            </w:r>
          </w:p>
        </w:tc>
        <w:tc>
          <w:tcPr>
            <w:tcW w:w="1800" w:type="dxa"/>
            <w:vAlign w:val="center"/>
            <w:hideMark/>
          </w:tcPr>
          <w:p w14:paraId="29AE29C2"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1984CD32" w14:textId="77777777" w:rsidR="00355BFB" w:rsidRPr="009C207B" w:rsidRDefault="00355BFB" w:rsidP="006B5DBD">
            <w:pPr>
              <w:spacing w:after="20" w:line="278" w:lineRule="auto"/>
              <w:jc w:val="both"/>
            </w:pPr>
            <w:r w:rsidRPr="009C207B">
              <w:rPr>
                <w:rFonts w:ascii="Arial" w:hAnsi="Arial"/>
                <w:sz w:val="14"/>
              </w:rPr>
              <w:t>AI/ML inference, model serving, and consumption of predictive outputs.</w:t>
            </w:r>
          </w:p>
        </w:tc>
        <w:tc>
          <w:tcPr>
            <w:tcW w:w="1856" w:type="dxa"/>
            <w:vAlign w:val="center"/>
          </w:tcPr>
          <w:p w14:paraId="16C0C937" w14:textId="77777777" w:rsidR="00355BFB" w:rsidRDefault="00355BFB" w:rsidP="006B5DBD">
            <w:pPr>
              <w:spacing w:after="20"/>
            </w:pPr>
            <w:r>
              <w:rPr>
                <w:rFonts w:ascii="Arial" w:hAnsi="Arial"/>
                <w:sz w:val="14"/>
              </w:rPr>
              <w:t>Cloudera</w:t>
            </w:r>
          </w:p>
        </w:tc>
        <w:tc>
          <w:tcPr>
            <w:tcW w:w="2880" w:type="dxa"/>
            <w:vAlign w:val="center"/>
          </w:tcPr>
          <w:p w14:paraId="7CF3F27B"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640C839B" w14:textId="77777777" w:rsidR="00355BFB" w:rsidRPr="00355BFB" w:rsidRDefault="00355BFB" w:rsidP="00355BFB">
      <w:pPr>
        <w:pStyle w:val="Heading3"/>
      </w:pPr>
      <w:bookmarkStart w:id="29" w:name="_Toc243538520"/>
      <w:r w:rsidRPr="00355BFB">
        <w:t>11. Cloudera Platform Baseline</w:t>
      </w:r>
      <w:bookmarkEnd w:id="29"/>
    </w:p>
    <w:tbl>
      <w:tblPr>
        <w:tblStyle w:val="TableGrid"/>
        <w:tblW w:w="0" w:type="auto"/>
        <w:jc w:val="center"/>
        <w:tblLayout w:type="fixed"/>
        <w:tblLook w:val="04A0" w:firstRow="1" w:lastRow="0" w:firstColumn="1" w:lastColumn="0" w:noHBand="0" w:noVBand="1"/>
      </w:tblPr>
      <w:tblGrid>
        <w:gridCol w:w="605"/>
        <w:gridCol w:w="2088"/>
        <w:gridCol w:w="1800"/>
        <w:gridCol w:w="2376"/>
        <w:gridCol w:w="1766"/>
        <w:gridCol w:w="2970"/>
      </w:tblGrid>
      <w:tr w:rsidR="00355BFB" w:rsidRPr="009C207B" w14:paraId="542EE56C" w14:textId="77777777" w:rsidTr="006B5DBD">
        <w:trPr>
          <w:tblHeader/>
          <w:jc w:val="center"/>
        </w:trPr>
        <w:tc>
          <w:tcPr>
            <w:tcW w:w="605" w:type="dxa"/>
            <w:vAlign w:val="center"/>
            <w:hideMark/>
          </w:tcPr>
          <w:p w14:paraId="4F21B902" w14:textId="77777777" w:rsidR="00355BFB" w:rsidRPr="009C207B" w:rsidRDefault="00355BFB" w:rsidP="006B5DBD">
            <w:pPr>
              <w:spacing w:after="20" w:line="278" w:lineRule="auto"/>
              <w:jc w:val="both"/>
              <w:rPr>
                <w:b/>
                <w:bCs/>
              </w:rPr>
            </w:pPr>
            <w:r w:rsidRPr="009C207B">
              <w:rPr>
                <w:rFonts w:ascii="Arial" w:hAnsi="Arial"/>
                <w:b/>
                <w:bCs/>
                <w:sz w:val="14"/>
              </w:rPr>
              <w:t>S. No.</w:t>
            </w:r>
          </w:p>
        </w:tc>
        <w:tc>
          <w:tcPr>
            <w:tcW w:w="2088" w:type="dxa"/>
            <w:vAlign w:val="center"/>
            <w:hideMark/>
          </w:tcPr>
          <w:p w14:paraId="5BC36A8D" w14:textId="77777777" w:rsidR="00355BFB" w:rsidRPr="009C207B" w:rsidRDefault="00355BFB" w:rsidP="006B5DBD">
            <w:pPr>
              <w:spacing w:after="20" w:line="278" w:lineRule="auto"/>
              <w:jc w:val="both"/>
              <w:rPr>
                <w:b/>
                <w:bCs/>
              </w:rPr>
            </w:pPr>
            <w:r w:rsidRPr="009C207B">
              <w:rPr>
                <w:rFonts w:ascii="Arial" w:hAnsi="Arial"/>
                <w:b/>
                <w:bCs/>
                <w:sz w:val="14"/>
              </w:rPr>
              <w:t>Platform Component</w:t>
            </w:r>
          </w:p>
        </w:tc>
        <w:tc>
          <w:tcPr>
            <w:tcW w:w="1800" w:type="dxa"/>
            <w:vAlign w:val="center"/>
            <w:hideMark/>
          </w:tcPr>
          <w:p w14:paraId="72DB817B" w14:textId="77777777" w:rsidR="00355BFB" w:rsidRPr="009C207B" w:rsidRDefault="00355BFB" w:rsidP="006B5DBD">
            <w:pPr>
              <w:spacing w:after="20" w:line="278" w:lineRule="auto"/>
              <w:jc w:val="both"/>
              <w:rPr>
                <w:b/>
                <w:bCs/>
              </w:rPr>
            </w:pPr>
            <w:r w:rsidRPr="009C207B">
              <w:rPr>
                <w:rFonts w:ascii="Arial" w:hAnsi="Arial"/>
                <w:b/>
                <w:bCs/>
                <w:sz w:val="14"/>
              </w:rPr>
              <w:t>Proposed Version</w:t>
            </w:r>
          </w:p>
        </w:tc>
        <w:tc>
          <w:tcPr>
            <w:tcW w:w="2376" w:type="dxa"/>
            <w:vAlign w:val="center"/>
            <w:hideMark/>
          </w:tcPr>
          <w:p w14:paraId="6A0338DA" w14:textId="77777777" w:rsidR="00355BFB" w:rsidRPr="009C207B" w:rsidRDefault="00355BFB" w:rsidP="006B5DBD">
            <w:pPr>
              <w:spacing w:after="20" w:line="278" w:lineRule="auto"/>
              <w:jc w:val="both"/>
              <w:rPr>
                <w:b/>
                <w:bCs/>
              </w:rPr>
            </w:pPr>
            <w:r w:rsidRPr="009C207B">
              <w:rPr>
                <w:rFonts w:ascii="Arial" w:hAnsi="Arial"/>
                <w:b/>
                <w:bCs/>
                <w:sz w:val="14"/>
              </w:rPr>
              <w:t>Functionality</w:t>
            </w:r>
          </w:p>
        </w:tc>
        <w:tc>
          <w:tcPr>
            <w:tcW w:w="1766" w:type="dxa"/>
            <w:vAlign w:val="center"/>
          </w:tcPr>
          <w:p w14:paraId="18A8F610" w14:textId="77777777" w:rsidR="00355BFB" w:rsidRDefault="00355BFB" w:rsidP="006B5DBD">
            <w:pPr>
              <w:spacing w:after="20"/>
            </w:pPr>
            <w:r>
              <w:rPr>
                <w:rFonts w:ascii="Arial" w:hAnsi="Arial"/>
                <w:sz w:val="14"/>
              </w:rPr>
              <w:t>Vendor Support</w:t>
            </w:r>
          </w:p>
        </w:tc>
        <w:tc>
          <w:tcPr>
            <w:tcW w:w="2970" w:type="dxa"/>
            <w:vAlign w:val="center"/>
          </w:tcPr>
          <w:p w14:paraId="24F488C0" w14:textId="77777777" w:rsidR="00355BFB" w:rsidRDefault="00355BFB" w:rsidP="006B5DBD">
            <w:pPr>
              <w:spacing w:after="20"/>
            </w:pPr>
            <w:r>
              <w:rPr>
                <w:rFonts w:ascii="Arial" w:hAnsi="Arial"/>
                <w:sz w:val="14"/>
              </w:rPr>
              <w:t>License Model</w:t>
            </w:r>
          </w:p>
        </w:tc>
      </w:tr>
      <w:tr w:rsidR="00355BFB" w:rsidRPr="009C207B" w14:paraId="0BB760DC" w14:textId="77777777" w:rsidTr="006B5DBD">
        <w:trPr>
          <w:jc w:val="center"/>
        </w:trPr>
        <w:tc>
          <w:tcPr>
            <w:tcW w:w="605" w:type="dxa"/>
            <w:vAlign w:val="center"/>
            <w:hideMark/>
          </w:tcPr>
          <w:p w14:paraId="26243880" w14:textId="77777777" w:rsidR="00355BFB" w:rsidRPr="009C207B" w:rsidRDefault="00355BFB" w:rsidP="006B5DBD">
            <w:pPr>
              <w:spacing w:after="20" w:line="278" w:lineRule="auto"/>
              <w:jc w:val="both"/>
            </w:pPr>
            <w:r w:rsidRPr="009C207B">
              <w:rPr>
                <w:rFonts w:ascii="Arial" w:hAnsi="Arial"/>
                <w:sz w:val="14"/>
              </w:rPr>
              <w:t>1</w:t>
            </w:r>
          </w:p>
        </w:tc>
        <w:tc>
          <w:tcPr>
            <w:tcW w:w="2088" w:type="dxa"/>
            <w:vAlign w:val="center"/>
            <w:hideMark/>
          </w:tcPr>
          <w:p w14:paraId="56985F4A" w14:textId="77777777" w:rsidR="00355BFB" w:rsidRPr="009C207B" w:rsidRDefault="00355BFB" w:rsidP="006B5DBD">
            <w:pPr>
              <w:spacing w:after="20" w:line="278" w:lineRule="auto"/>
              <w:jc w:val="both"/>
            </w:pPr>
            <w:r w:rsidRPr="009C207B">
              <w:rPr>
                <w:rFonts w:ascii="Arial" w:hAnsi="Arial"/>
                <w:sz w:val="14"/>
              </w:rPr>
              <w:t>Cloudera Runtime</w:t>
            </w:r>
          </w:p>
        </w:tc>
        <w:tc>
          <w:tcPr>
            <w:tcW w:w="1800" w:type="dxa"/>
            <w:vAlign w:val="center"/>
            <w:hideMark/>
          </w:tcPr>
          <w:p w14:paraId="2E8C7D17"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5EA7A1B6" w14:textId="77777777" w:rsidR="00355BFB" w:rsidRPr="009C207B" w:rsidRDefault="00355BFB" w:rsidP="006B5DBD">
            <w:pPr>
              <w:spacing w:after="20" w:line="278" w:lineRule="auto"/>
              <w:jc w:val="both"/>
            </w:pPr>
            <w:r w:rsidRPr="009C207B">
              <w:rPr>
                <w:rFonts w:ascii="Arial" w:hAnsi="Arial"/>
                <w:sz w:val="14"/>
              </w:rPr>
              <w:t>Core enterprise data platform for supported storage, processing, and integration services.</w:t>
            </w:r>
          </w:p>
        </w:tc>
        <w:tc>
          <w:tcPr>
            <w:tcW w:w="1766" w:type="dxa"/>
            <w:vAlign w:val="center"/>
          </w:tcPr>
          <w:p w14:paraId="5FF3B276" w14:textId="77777777" w:rsidR="00355BFB" w:rsidRDefault="00355BFB" w:rsidP="006B5DBD">
            <w:pPr>
              <w:spacing w:after="20"/>
            </w:pPr>
            <w:r>
              <w:rPr>
                <w:rFonts w:ascii="Arial" w:hAnsi="Arial"/>
                <w:sz w:val="14"/>
              </w:rPr>
              <w:t>Cloudera</w:t>
            </w:r>
          </w:p>
        </w:tc>
        <w:tc>
          <w:tcPr>
            <w:tcW w:w="2970" w:type="dxa"/>
            <w:vAlign w:val="center"/>
          </w:tcPr>
          <w:p w14:paraId="23122F90"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4334DA75" w14:textId="77777777" w:rsidTr="006B5DBD">
        <w:trPr>
          <w:jc w:val="center"/>
        </w:trPr>
        <w:tc>
          <w:tcPr>
            <w:tcW w:w="605" w:type="dxa"/>
            <w:vAlign w:val="center"/>
            <w:hideMark/>
          </w:tcPr>
          <w:p w14:paraId="150B9E95" w14:textId="77777777" w:rsidR="00355BFB" w:rsidRPr="009C207B" w:rsidRDefault="00355BFB" w:rsidP="006B5DBD">
            <w:pPr>
              <w:spacing w:after="20" w:line="278" w:lineRule="auto"/>
              <w:jc w:val="both"/>
            </w:pPr>
            <w:r w:rsidRPr="009C207B">
              <w:rPr>
                <w:rFonts w:ascii="Arial" w:hAnsi="Arial"/>
                <w:sz w:val="14"/>
              </w:rPr>
              <w:t>2</w:t>
            </w:r>
          </w:p>
        </w:tc>
        <w:tc>
          <w:tcPr>
            <w:tcW w:w="2088" w:type="dxa"/>
            <w:vAlign w:val="center"/>
            <w:hideMark/>
          </w:tcPr>
          <w:p w14:paraId="79CF789E" w14:textId="77777777" w:rsidR="00355BFB" w:rsidRPr="009C207B" w:rsidRDefault="00355BFB" w:rsidP="006B5DBD">
            <w:pPr>
              <w:spacing w:after="20" w:line="278" w:lineRule="auto"/>
              <w:jc w:val="both"/>
            </w:pPr>
            <w:r w:rsidRPr="009C207B">
              <w:rPr>
                <w:rFonts w:ascii="Arial" w:hAnsi="Arial"/>
                <w:sz w:val="14"/>
              </w:rPr>
              <w:t>Cloudera Manager</w:t>
            </w:r>
          </w:p>
        </w:tc>
        <w:tc>
          <w:tcPr>
            <w:tcW w:w="1800" w:type="dxa"/>
            <w:vAlign w:val="center"/>
            <w:hideMark/>
          </w:tcPr>
          <w:p w14:paraId="275331F9"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3DB0D893" w14:textId="77777777" w:rsidR="00355BFB" w:rsidRPr="009C207B" w:rsidRDefault="00355BFB" w:rsidP="006B5DBD">
            <w:pPr>
              <w:spacing w:after="20" w:line="278" w:lineRule="auto"/>
              <w:jc w:val="both"/>
            </w:pPr>
            <w:r w:rsidRPr="009C207B">
              <w:rPr>
                <w:rFonts w:ascii="Arial" w:hAnsi="Arial"/>
                <w:sz w:val="14"/>
              </w:rPr>
              <w:t>Centralized cluster administration and monitoring.</w:t>
            </w:r>
          </w:p>
        </w:tc>
        <w:tc>
          <w:tcPr>
            <w:tcW w:w="1766" w:type="dxa"/>
            <w:vAlign w:val="center"/>
          </w:tcPr>
          <w:p w14:paraId="4471654E" w14:textId="77777777" w:rsidR="00355BFB" w:rsidRDefault="00355BFB" w:rsidP="006B5DBD">
            <w:pPr>
              <w:spacing w:after="20"/>
              <w:rPr>
                <w:rFonts w:ascii="Arial" w:hAnsi="Arial"/>
                <w:sz w:val="14"/>
              </w:rPr>
            </w:pPr>
            <w:r>
              <w:rPr>
                <w:rFonts w:ascii="Arial" w:hAnsi="Arial"/>
                <w:sz w:val="14"/>
              </w:rPr>
              <w:t>Cloudera</w:t>
            </w:r>
          </w:p>
          <w:p w14:paraId="4D483C60" w14:textId="77777777" w:rsidR="00355BFB" w:rsidRDefault="00355BFB" w:rsidP="006B5DBD">
            <w:pPr>
              <w:spacing w:after="20"/>
            </w:pPr>
          </w:p>
        </w:tc>
        <w:tc>
          <w:tcPr>
            <w:tcW w:w="2970" w:type="dxa"/>
            <w:vAlign w:val="center"/>
          </w:tcPr>
          <w:p w14:paraId="6740FCF3"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7CF1B954" w14:textId="77777777" w:rsidTr="006B5DBD">
        <w:trPr>
          <w:jc w:val="center"/>
        </w:trPr>
        <w:tc>
          <w:tcPr>
            <w:tcW w:w="605" w:type="dxa"/>
            <w:vAlign w:val="center"/>
            <w:hideMark/>
          </w:tcPr>
          <w:p w14:paraId="5DAD8EB9" w14:textId="77777777" w:rsidR="00355BFB" w:rsidRPr="009C207B" w:rsidRDefault="00355BFB" w:rsidP="006B5DBD">
            <w:pPr>
              <w:spacing w:after="20" w:line="278" w:lineRule="auto"/>
              <w:jc w:val="both"/>
            </w:pPr>
            <w:r w:rsidRPr="009C207B">
              <w:rPr>
                <w:rFonts w:ascii="Arial" w:hAnsi="Arial"/>
                <w:sz w:val="14"/>
              </w:rPr>
              <w:t>3</w:t>
            </w:r>
          </w:p>
        </w:tc>
        <w:tc>
          <w:tcPr>
            <w:tcW w:w="2088" w:type="dxa"/>
            <w:vAlign w:val="center"/>
            <w:hideMark/>
          </w:tcPr>
          <w:p w14:paraId="66492F57" w14:textId="77777777" w:rsidR="00355BFB" w:rsidRPr="009C207B" w:rsidRDefault="00355BFB" w:rsidP="006B5DBD">
            <w:pPr>
              <w:spacing w:after="20" w:line="278" w:lineRule="auto"/>
              <w:jc w:val="both"/>
            </w:pPr>
            <w:r w:rsidRPr="009C207B">
              <w:rPr>
                <w:rFonts w:ascii="Arial" w:hAnsi="Arial"/>
                <w:sz w:val="14"/>
              </w:rPr>
              <w:t>Cloudera Data Services</w:t>
            </w:r>
          </w:p>
        </w:tc>
        <w:tc>
          <w:tcPr>
            <w:tcW w:w="1800" w:type="dxa"/>
            <w:vAlign w:val="center"/>
            <w:hideMark/>
          </w:tcPr>
          <w:p w14:paraId="20A9F82C"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33A2621D" w14:textId="77777777" w:rsidR="00355BFB" w:rsidRPr="009C207B" w:rsidRDefault="00355BFB" w:rsidP="006B5DBD">
            <w:pPr>
              <w:spacing w:after="20" w:line="278" w:lineRule="auto"/>
              <w:jc w:val="both"/>
            </w:pPr>
            <w:r w:rsidRPr="009C207B">
              <w:rPr>
                <w:rFonts w:ascii="Arial" w:hAnsi="Arial"/>
                <w:sz w:val="14"/>
              </w:rPr>
              <w:t>Data engineering and AI services, subject to the selected deployment architecture.</w:t>
            </w:r>
          </w:p>
        </w:tc>
        <w:tc>
          <w:tcPr>
            <w:tcW w:w="1766" w:type="dxa"/>
            <w:vAlign w:val="center"/>
          </w:tcPr>
          <w:p w14:paraId="779AB9DD" w14:textId="77777777" w:rsidR="00355BFB" w:rsidRDefault="00355BFB" w:rsidP="006B5DBD">
            <w:pPr>
              <w:spacing w:after="20"/>
            </w:pPr>
            <w:r>
              <w:rPr>
                <w:rFonts w:ascii="Arial" w:hAnsi="Arial"/>
                <w:sz w:val="14"/>
              </w:rPr>
              <w:t xml:space="preserve">Cloudera </w:t>
            </w:r>
          </w:p>
        </w:tc>
        <w:tc>
          <w:tcPr>
            <w:tcW w:w="2970" w:type="dxa"/>
            <w:vAlign w:val="center"/>
          </w:tcPr>
          <w:p w14:paraId="05D9507F"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r w:rsidR="00355BFB" w:rsidRPr="009C207B" w14:paraId="30F708DD" w14:textId="77777777" w:rsidTr="006B5DBD">
        <w:trPr>
          <w:jc w:val="center"/>
        </w:trPr>
        <w:tc>
          <w:tcPr>
            <w:tcW w:w="605" w:type="dxa"/>
            <w:vAlign w:val="center"/>
            <w:hideMark/>
          </w:tcPr>
          <w:p w14:paraId="605FB743" w14:textId="77777777" w:rsidR="00355BFB" w:rsidRPr="009C207B" w:rsidRDefault="00355BFB" w:rsidP="006B5DBD">
            <w:pPr>
              <w:spacing w:after="20" w:line="278" w:lineRule="auto"/>
              <w:jc w:val="both"/>
            </w:pPr>
            <w:r w:rsidRPr="009C207B">
              <w:rPr>
                <w:rFonts w:ascii="Arial" w:hAnsi="Arial"/>
                <w:sz w:val="14"/>
              </w:rPr>
              <w:t>4</w:t>
            </w:r>
          </w:p>
        </w:tc>
        <w:tc>
          <w:tcPr>
            <w:tcW w:w="2088" w:type="dxa"/>
            <w:vAlign w:val="center"/>
            <w:hideMark/>
          </w:tcPr>
          <w:p w14:paraId="530666F8" w14:textId="77777777" w:rsidR="00355BFB" w:rsidRPr="009C207B" w:rsidRDefault="00355BFB" w:rsidP="006B5DBD">
            <w:pPr>
              <w:spacing w:after="20" w:line="278" w:lineRule="auto"/>
              <w:jc w:val="both"/>
            </w:pPr>
            <w:r w:rsidRPr="009C207B">
              <w:rPr>
                <w:rFonts w:ascii="Arial" w:hAnsi="Arial"/>
                <w:sz w:val="14"/>
              </w:rPr>
              <w:t>Apache Spark</w:t>
            </w:r>
          </w:p>
        </w:tc>
        <w:tc>
          <w:tcPr>
            <w:tcW w:w="1800" w:type="dxa"/>
            <w:vAlign w:val="center"/>
            <w:hideMark/>
          </w:tcPr>
          <w:p w14:paraId="37A92BEF" w14:textId="77777777" w:rsidR="00355BFB" w:rsidRPr="009C207B" w:rsidRDefault="00355BFB" w:rsidP="006B5DBD">
            <w:pPr>
              <w:spacing w:after="20" w:line="278" w:lineRule="auto"/>
              <w:jc w:val="both"/>
            </w:pPr>
            <w:r>
              <w:rPr>
                <w:rFonts w:ascii="Arial" w:hAnsi="Arial"/>
                <w:sz w:val="14"/>
              </w:rPr>
              <w:t>Cloudera Latest Release</w:t>
            </w:r>
          </w:p>
        </w:tc>
        <w:tc>
          <w:tcPr>
            <w:tcW w:w="2376" w:type="dxa"/>
            <w:vAlign w:val="center"/>
            <w:hideMark/>
          </w:tcPr>
          <w:p w14:paraId="7007429E" w14:textId="77777777" w:rsidR="00355BFB" w:rsidRPr="009C207B" w:rsidRDefault="00355BFB" w:rsidP="006B5DBD">
            <w:pPr>
              <w:spacing w:after="20" w:line="278" w:lineRule="auto"/>
              <w:jc w:val="both"/>
            </w:pPr>
            <w:r w:rsidRPr="009C207B">
              <w:rPr>
                <w:rFonts w:ascii="Arial" w:hAnsi="Arial"/>
                <w:sz w:val="14"/>
              </w:rPr>
              <w:t>Distributed data processing and transformation.</w:t>
            </w:r>
          </w:p>
        </w:tc>
        <w:tc>
          <w:tcPr>
            <w:tcW w:w="1766" w:type="dxa"/>
            <w:vAlign w:val="center"/>
          </w:tcPr>
          <w:p w14:paraId="61939C96" w14:textId="77777777" w:rsidR="00355BFB" w:rsidRDefault="00355BFB" w:rsidP="006B5DBD">
            <w:pPr>
              <w:spacing w:after="20"/>
            </w:pPr>
            <w:r>
              <w:rPr>
                <w:rFonts w:ascii="Arial" w:hAnsi="Arial"/>
                <w:sz w:val="14"/>
              </w:rPr>
              <w:t>Cloudera</w:t>
            </w:r>
          </w:p>
        </w:tc>
        <w:tc>
          <w:tcPr>
            <w:tcW w:w="2970" w:type="dxa"/>
            <w:vAlign w:val="center"/>
          </w:tcPr>
          <w:p w14:paraId="76EB03A0" w14:textId="77777777" w:rsidR="00355BFB" w:rsidRPr="00863441" w:rsidRDefault="00355BFB" w:rsidP="006B5DBD">
            <w:pPr>
              <w:spacing w:after="20"/>
              <w:rPr>
                <w:rFonts w:asciiTheme="minorBidi" w:hAnsiTheme="minorBidi"/>
                <w:sz w:val="14"/>
                <w:szCs w:val="14"/>
              </w:rPr>
            </w:pPr>
            <w:r w:rsidRPr="0017695D">
              <w:rPr>
                <w:rFonts w:asciiTheme="minorBidi" w:hAnsiTheme="minorBidi"/>
                <w:sz w:val="14"/>
                <w:szCs w:val="14"/>
              </w:rPr>
              <w:t>Yearly Subscription</w:t>
            </w:r>
            <w:r>
              <w:rPr>
                <w:rFonts w:asciiTheme="minorBidi" w:hAnsiTheme="minorBidi"/>
                <w:sz w:val="14"/>
                <w:szCs w:val="14"/>
              </w:rPr>
              <w:br/>
              <w:t>Cores + RAM + Storage</w:t>
            </w:r>
          </w:p>
        </w:tc>
      </w:tr>
    </w:tbl>
    <w:p w14:paraId="101BC3F4" w14:textId="77777777" w:rsidR="00355BFB" w:rsidRDefault="00355BFB" w:rsidP="00355BFB">
      <w:pPr>
        <w:jc w:val="both"/>
      </w:pPr>
    </w:p>
    <w:p w14:paraId="5818EF45" w14:textId="2196904A" w:rsidR="009C2C7E" w:rsidRDefault="009C2C7E" w:rsidP="00CB742D">
      <w:pPr>
        <w:jc w:val="both"/>
        <w:rPr>
          <w:b/>
          <w:bCs/>
          <w:color w:val="1F3864"/>
          <w:sz w:val="30"/>
          <w:szCs w:val="30"/>
        </w:rPr>
      </w:pPr>
      <w:r>
        <w:rPr>
          <w:b/>
          <w:bCs/>
          <w:color w:val="1F3864"/>
          <w:sz w:val="30"/>
          <w:szCs w:val="30"/>
        </w:rPr>
        <w:br w:type="page"/>
      </w:r>
    </w:p>
    <w:p w14:paraId="3841C437" w14:textId="45790E0B" w:rsidR="00C15A4B" w:rsidRPr="00355BFB" w:rsidRDefault="00673469" w:rsidP="00355BFB">
      <w:pPr>
        <w:pStyle w:val="Heading1"/>
        <w:numPr>
          <w:ilvl w:val="0"/>
          <w:numId w:val="3"/>
        </w:numPr>
        <w:pBdr>
          <w:bottom w:val="single" w:sz="8" w:space="4" w:color="1F3864"/>
        </w:pBdr>
        <w:spacing w:after="180"/>
        <w:ind w:left="270"/>
        <w:jc w:val="both"/>
        <w:rPr>
          <w:b/>
          <w:bCs/>
          <w:color w:val="2E5FA3"/>
          <w:sz w:val="30"/>
          <w:szCs w:val="30"/>
        </w:rPr>
      </w:pPr>
      <w:bookmarkStart w:id="30" w:name="_Toc243538521"/>
      <w:r w:rsidRPr="00355BFB">
        <w:rPr>
          <w:b/>
          <w:bCs/>
          <w:color w:val="2E5FA3"/>
          <w:sz w:val="30"/>
          <w:szCs w:val="30"/>
        </w:rPr>
        <w:lastRenderedPageBreak/>
        <w:t>Conclusion</w:t>
      </w:r>
      <w:bookmarkEnd w:id="30"/>
    </w:p>
    <w:p w14:paraId="4E114021" w14:textId="36899A1F" w:rsidR="00C15A4B" w:rsidRPr="00F704C3" w:rsidRDefault="00673469" w:rsidP="00CB742D">
      <w:pPr>
        <w:spacing w:after="160" w:line="276" w:lineRule="auto"/>
        <w:jc w:val="both"/>
        <w:rPr>
          <w:b/>
          <w:bCs/>
        </w:rPr>
      </w:pPr>
      <w:r>
        <w:t xml:space="preserve">This Reference Architecture delivers a single, governed, secure and highly available Central Data Hub that unifies FBR's fragmented source systems into one authoritative platform. By combining Oracle's engineered performance and transactional integrity, HPE </w:t>
      </w:r>
      <w:proofErr w:type="spellStart"/>
      <w:r>
        <w:t>Alletra's</w:t>
      </w:r>
      <w:proofErr w:type="spellEnd"/>
      <w:r>
        <w:t xml:space="preserve"> scalable S3-compatible object storage and Redis Enterprise's low-latency in-memory serving with Cloudera's open, horizontally scalable processing and AI/ML capability — governed end-to-end by </w:t>
      </w:r>
      <w:proofErr w:type="spellStart"/>
      <w:r w:rsidR="00F704C3" w:rsidRPr="00F704C3">
        <w:t>Semarchy</w:t>
      </w:r>
      <w:proofErr w:type="spellEnd"/>
      <w:r w:rsidR="00F704C3" w:rsidRPr="00F704C3">
        <w:t xml:space="preserve"> Data Platform</w:t>
      </w:r>
      <w:r>
        <w:t>, exposed through the WSO2 API Manager, and protected by a uniform security and HA/DR fabric — the platform is designed to support FBR's full spectrum of needs, from statutory pixel-perfect reporting and executive dashboards, to a 360-degree Taxpayer view, to predictive risk-scoring and compliance analytics, on a foundation that is auditable, legally defensible, and built to scale with FBR's future data volumes and use cases.</w:t>
      </w:r>
    </w:p>
    <w:sectPr w:rsidR="00C15A4B" w:rsidRPr="00F704C3">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373D7" w14:textId="77777777" w:rsidR="000901D3" w:rsidRDefault="000901D3">
      <w:r>
        <w:separator/>
      </w:r>
    </w:p>
  </w:endnote>
  <w:endnote w:type="continuationSeparator" w:id="0">
    <w:p w14:paraId="469C5177" w14:textId="77777777" w:rsidR="000901D3" w:rsidRDefault="00090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2547" w14:textId="77777777" w:rsidR="00C15A4B" w:rsidRDefault="00673469">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5279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5279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51262" w14:textId="77777777" w:rsidR="000901D3" w:rsidRDefault="000901D3">
      <w:r>
        <w:separator/>
      </w:r>
    </w:p>
  </w:footnote>
  <w:footnote w:type="continuationSeparator" w:id="0">
    <w:p w14:paraId="1808F17B" w14:textId="77777777" w:rsidR="000901D3" w:rsidRDefault="00090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7D04" w14:textId="19A24887" w:rsidR="00C15A4B" w:rsidRDefault="00673469">
    <w:pPr>
      <w:pBdr>
        <w:bottom w:val="single" w:sz="4" w:space="4" w:color="BFBFBF"/>
      </w:pBdr>
      <w:jc w:val="right"/>
    </w:pPr>
    <w:r>
      <w:rPr>
        <w:i/>
        <w:iCs/>
        <w:color w:val="808080"/>
        <w:sz w:val="16"/>
        <w:szCs w:val="16"/>
      </w:rPr>
      <w:t>PRAL | Central Data Hub — Reference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D23"/>
    <w:multiLevelType w:val="hybridMultilevel"/>
    <w:tmpl w:val="53B4914A"/>
    <w:lvl w:ilvl="0" w:tplc="4ED4A688">
      <w:start w:val="1"/>
      <w:numFmt w:val="bullet"/>
      <w:lvlText w:val="●"/>
      <w:lvlJc w:val="left"/>
      <w:pPr>
        <w:ind w:left="504" w:hanging="288"/>
      </w:pPr>
    </w:lvl>
    <w:lvl w:ilvl="1" w:tplc="45F42EEC">
      <w:start w:val="1"/>
      <w:numFmt w:val="bullet"/>
      <w:lvlText w:val="○"/>
      <w:lvlJc w:val="left"/>
      <w:pPr>
        <w:ind w:left="1008" w:hanging="288"/>
      </w:pPr>
    </w:lvl>
    <w:lvl w:ilvl="2" w:tplc="8C263628">
      <w:numFmt w:val="decimal"/>
      <w:lvlText w:val=""/>
      <w:lvlJc w:val="left"/>
    </w:lvl>
    <w:lvl w:ilvl="3" w:tplc="2C58B976">
      <w:numFmt w:val="decimal"/>
      <w:lvlText w:val=""/>
      <w:lvlJc w:val="left"/>
    </w:lvl>
    <w:lvl w:ilvl="4" w:tplc="738C3A40">
      <w:numFmt w:val="decimal"/>
      <w:lvlText w:val=""/>
      <w:lvlJc w:val="left"/>
    </w:lvl>
    <w:lvl w:ilvl="5" w:tplc="17B00628">
      <w:numFmt w:val="decimal"/>
      <w:lvlText w:val=""/>
      <w:lvlJc w:val="left"/>
    </w:lvl>
    <w:lvl w:ilvl="6" w:tplc="9178271A">
      <w:numFmt w:val="decimal"/>
      <w:lvlText w:val=""/>
      <w:lvlJc w:val="left"/>
    </w:lvl>
    <w:lvl w:ilvl="7" w:tplc="949221F2">
      <w:numFmt w:val="decimal"/>
      <w:lvlText w:val=""/>
      <w:lvlJc w:val="left"/>
    </w:lvl>
    <w:lvl w:ilvl="8" w:tplc="8A902DD2">
      <w:numFmt w:val="decimal"/>
      <w:lvlText w:val=""/>
      <w:lvlJc w:val="left"/>
    </w:lvl>
  </w:abstractNum>
  <w:abstractNum w:abstractNumId="1" w15:restartNumberingAfterBreak="0">
    <w:nsid w:val="20A5166C"/>
    <w:multiLevelType w:val="hybridMultilevel"/>
    <w:tmpl w:val="B3D0E57A"/>
    <w:lvl w:ilvl="0" w:tplc="3C98F458">
      <w:start w:val="1"/>
      <w:numFmt w:val="bullet"/>
      <w:lvlText w:val="●"/>
      <w:lvlJc w:val="left"/>
      <w:pPr>
        <w:ind w:left="720" w:hanging="360"/>
      </w:pPr>
    </w:lvl>
    <w:lvl w:ilvl="1" w:tplc="8968D928">
      <w:start w:val="1"/>
      <w:numFmt w:val="bullet"/>
      <w:lvlText w:val="○"/>
      <w:lvlJc w:val="left"/>
      <w:pPr>
        <w:ind w:left="1440" w:hanging="360"/>
      </w:pPr>
    </w:lvl>
    <w:lvl w:ilvl="2" w:tplc="4BF0B44A">
      <w:start w:val="1"/>
      <w:numFmt w:val="bullet"/>
      <w:lvlText w:val="■"/>
      <w:lvlJc w:val="left"/>
      <w:pPr>
        <w:ind w:left="2160" w:hanging="360"/>
      </w:pPr>
    </w:lvl>
    <w:lvl w:ilvl="3" w:tplc="051A0EE6">
      <w:start w:val="1"/>
      <w:numFmt w:val="bullet"/>
      <w:lvlText w:val="●"/>
      <w:lvlJc w:val="left"/>
      <w:pPr>
        <w:ind w:left="2880" w:hanging="360"/>
      </w:pPr>
    </w:lvl>
    <w:lvl w:ilvl="4" w:tplc="D0F60BF6">
      <w:start w:val="1"/>
      <w:numFmt w:val="bullet"/>
      <w:lvlText w:val="○"/>
      <w:lvlJc w:val="left"/>
      <w:pPr>
        <w:ind w:left="3600" w:hanging="360"/>
      </w:pPr>
    </w:lvl>
    <w:lvl w:ilvl="5" w:tplc="54362EB4">
      <w:start w:val="1"/>
      <w:numFmt w:val="bullet"/>
      <w:lvlText w:val="■"/>
      <w:lvlJc w:val="left"/>
      <w:pPr>
        <w:ind w:left="4320" w:hanging="360"/>
      </w:pPr>
    </w:lvl>
    <w:lvl w:ilvl="6" w:tplc="0D6C5B32">
      <w:start w:val="1"/>
      <w:numFmt w:val="bullet"/>
      <w:lvlText w:val="●"/>
      <w:lvlJc w:val="left"/>
      <w:pPr>
        <w:ind w:left="5040" w:hanging="360"/>
      </w:pPr>
    </w:lvl>
    <w:lvl w:ilvl="7" w:tplc="F78EB034">
      <w:start w:val="1"/>
      <w:numFmt w:val="bullet"/>
      <w:lvlText w:val="●"/>
      <w:lvlJc w:val="left"/>
      <w:pPr>
        <w:ind w:left="5760" w:hanging="360"/>
      </w:pPr>
    </w:lvl>
    <w:lvl w:ilvl="8" w:tplc="6AC8FB4C">
      <w:start w:val="1"/>
      <w:numFmt w:val="bullet"/>
      <w:lvlText w:val="●"/>
      <w:lvlJc w:val="left"/>
      <w:pPr>
        <w:ind w:left="6480" w:hanging="360"/>
      </w:pPr>
    </w:lvl>
  </w:abstractNum>
  <w:abstractNum w:abstractNumId="2" w15:restartNumberingAfterBreak="0">
    <w:nsid w:val="213D5E8B"/>
    <w:multiLevelType w:val="hybridMultilevel"/>
    <w:tmpl w:val="7A86D0CE"/>
    <w:lvl w:ilvl="0" w:tplc="F180807E">
      <w:start w:val="1"/>
      <w:numFmt w:val="decimal"/>
      <w:lvlText w:val="%1."/>
      <w:lvlJc w:val="left"/>
      <w:pPr>
        <w:ind w:left="504" w:hanging="360"/>
      </w:pPr>
    </w:lvl>
    <w:lvl w:ilvl="1" w:tplc="EFA89A94">
      <w:numFmt w:val="decimal"/>
      <w:lvlText w:val=""/>
      <w:lvlJc w:val="left"/>
    </w:lvl>
    <w:lvl w:ilvl="2" w:tplc="A7F039C0">
      <w:numFmt w:val="decimal"/>
      <w:lvlText w:val=""/>
      <w:lvlJc w:val="left"/>
    </w:lvl>
    <w:lvl w:ilvl="3" w:tplc="CAE67802">
      <w:numFmt w:val="decimal"/>
      <w:lvlText w:val=""/>
      <w:lvlJc w:val="left"/>
    </w:lvl>
    <w:lvl w:ilvl="4" w:tplc="6B26F1FA">
      <w:numFmt w:val="decimal"/>
      <w:lvlText w:val=""/>
      <w:lvlJc w:val="left"/>
    </w:lvl>
    <w:lvl w:ilvl="5" w:tplc="BB449C12">
      <w:numFmt w:val="decimal"/>
      <w:lvlText w:val=""/>
      <w:lvlJc w:val="left"/>
    </w:lvl>
    <w:lvl w:ilvl="6" w:tplc="F1001DE0">
      <w:numFmt w:val="decimal"/>
      <w:lvlText w:val=""/>
      <w:lvlJc w:val="left"/>
    </w:lvl>
    <w:lvl w:ilvl="7" w:tplc="886ACE7C">
      <w:numFmt w:val="decimal"/>
      <w:lvlText w:val=""/>
      <w:lvlJc w:val="left"/>
    </w:lvl>
    <w:lvl w:ilvl="8" w:tplc="FFD8C846">
      <w:numFmt w:val="decimal"/>
      <w:lvlText w:val=""/>
      <w:lvlJc w:val="left"/>
    </w:lvl>
  </w:abstractNum>
  <w:abstractNum w:abstractNumId="3" w15:restartNumberingAfterBreak="0">
    <w:nsid w:val="2F8405C1"/>
    <w:multiLevelType w:val="multilevel"/>
    <w:tmpl w:val="F97E181E"/>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1EB2658"/>
    <w:multiLevelType w:val="hybridMultilevel"/>
    <w:tmpl w:val="9C74A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832C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006578">
    <w:abstractNumId w:val="1"/>
    <w:lvlOverride w:ilvl="0">
      <w:startOverride w:val="1"/>
    </w:lvlOverride>
  </w:num>
  <w:num w:numId="2" w16cid:durableId="244262144">
    <w:abstractNumId w:val="0"/>
    <w:lvlOverride w:ilvl="0">
      <w:startOverride w:val="1"/>
    </w:lvlOverride>
  </w:num>
  <w:num w:numId="3" w16cid:durableId="1915165341">
    <w:abstractNumId w:val="3"/>
  </w:num>
  <w:num w:numId="4" w16cid:durableId="1449884908">
    <w:abstractNumId w:val="4"/>
  </w:num>
  <w:num w:numId="5" w16cid:durableId="1643578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A4B"/>
    <w:rsid w:val="00080601"/>
    <w:rsid w:val="000901D3"/>
    <w:rsid w:val="000C5EB3"/>
    <w:rsid w:val="000F767A"/>
    <w:rsid w:val="00131B25"/>
    <w:rsid w:val="001C0A92"/>
    <w:rsid w:val="001F1F40"/>
    <w:rsid w:val="002D100E"/>
    <w:rsid w:val="00346267"/>
    <w:rsid w:val="00355BFB"/>
    <w:rsid w:val="00385CE9"/>
    <w:rsid w:val="00405CB4"/>
    <w:rsid w:val="00474015"/>
    <w:rsid w:val="004B0683"/>
    <w:rsid w:val="005015CE"/>
    <w:rsid w:val="005D56D1"/>
    <w:rsid w:val="0065228B"/>
    <w:rsid w:val="00673469"/>
    <w:rsid w:val="00674BD7"/>
    <w:rsid w:val="006940BD"/>
    <w:rsid w:val="00727F33"/>
    <w:rsid w:val="0075279E"/>
    <w:rsid w:val="00830B1B"/>
    <w:rsid w:val="008F2996"/>
    <w:rsid w:val="009449D6"/>
    <w:rsid w:val="00997CDC"/>
    <w:rsid w:val="009A7EF0"/>
    <w:rsid w:val="009C2C7E"/>
    <w:rsid w:val="00AB6C03"/>
    <w:rsid w:val="00B003B9"/>
    <w:rsid w:val="00B53FA3"/>
    <w:rsid w:val="00C1415A"/>
    <w:rsid w:val="00C15A4B"/>
    <w:rsid w:val="00C6667C"/>
    <w:rsid w:val="00C96CBB"/>
    <w:rsid w:val="00CB742D"/>
    <w:rsid w:val="00CE6C61"/>
    <w:rsid w:val="00DF430A"/>
    <w:rsid w:val="00E159A0"/>
    <w:rsid w:val="00E30AC8"/>
    <w:rsid w:val="00E3590A"/>
    <w:rsid w:val="00EA1A96"/>
    <w:rsid w:val="00F704C3"/>
    <w:rsid w:val="00FF06A0"/>
    <w:rsid w:val="00FF2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FCB6"/>
  <w15:docId w15:val="{7E887188-F339-4B4F-9D55-D845BD75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449D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9449D6"/>
    <w:pPr>
      <w:spacing w:after="100"/>
    </w:pPr>
  </w:style>
  <w:style w:type="paragraph" w:styleId="TOC3">
    <w:name w:val="toc 3"/>
    <w:basedOn w:val="Normal"/>
    <w:next w:val="Normal"/>
    <w:autoRedefine/>
    <w:uiPriority w:val="39"/>
    <w:unhideWhenUsed/>
    <w:rsid w:val="009449D6"/>
    <w:pPr>
      <w:spacing w:after="100"/>
      <w:ind w:left="420"/>
    </w:pPr>
  </w:style>
  <w:style w:type="paragraph" w:styleId="TOC2">
    <w:name w:val="toc 2"/>
    <w:basedOn w:val="Normal"/>
    <w:next w:val="Normal"/>
    <w:autoRedefine/>
    <w:uiPriority w:val="39"/>
    <w:unhideWhenUsed/>
    <w:rsid w:val="009449D6"/>
    <w:pPr>
      <w:spacing w:after="100"/>
      <w:ind w:left="210"/>
    </w:pPr>
  </w:style>
  <w:style w:type="paragraph" w:styleId="NormalWeb">
    <w:name w:val="Normal (Web)"/>
    <w:basedOn w:val="Normal"/>
    <w:uiPriority w:val="99"/>
    <w:semiHidden/>
    <w:unhideWhenUsed/>
    <w:rsid w:val="0065228B"/>
    <w:rPr>
      <w:rFonts w:ascii="Times New Roman" w:hAnsi="Times New Roman" w:cs="Times New Roman"/>
      <w:sz w:val="24"/>
      <w:szCs w:val="24"/>
    </w:rPr>
  </w:style>
  <w:style w:type="table" w:styleId="TableGrid">
    <w:name w:val="Table Grid"/>
    <w:basedOn w:val="TableNormal"/>
    <w:uiPriority w:val="39"/>
    <w:rsid w:val="00355BFB"/>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5CE9"/>
    <w:pPr>
      <w:tabs>
        <w:tab w:val="center" w:pos="4680"/>
        <w:tab w:val="right" w:pos="9360"/>
      </w:tabs>
    </w:pPr>
  </w:style>
  <w:style w:type="character" w:customStyle="1" w:styleId="HeaderChar">
    <w:name w:val="Header Char"/>
    <w:basedOn w:val="DefaultParagraphFont"/>
    <w:link w:val="Header"/>
    <w:uiPriority w:val="99"/>
    <w:rsid w:val="00385CE9"/>
  </w:style>
  <w:style w:type="paragraph" w:styleId="Footer">
    <w:name w:val="footer"/>
    <w:basedOn w:val="Normal"/>
    <w:link w:val="FooterChar"/>
    <w:uiPriority w:val="99"/>
    <w:unhideWhenUsed/>
    <w:rsid w:val="00385CE9"/>
    <w:pPr>
      <w:tabs>
        <w:tab w:val="center" w:pos="4680"/>
        <w:tab w:val="right" w:pos="9360"/>
      </w:tabs>
    </w:pPr>
  </w:style>
  <w:style w:type="character" w:customStyle="1" w:styleId="FooterChar">
    <w:name w:val="Footer Char"/>
    <w:basedOn w:val="DefaultParagraphFont"/>
    <w:link w:val="Footer"/>
    <w:uiPriority w:val="99"/>
    <w:rsid w:val="00385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8A84D-A3A3-4A4E-A125-3EA4D4CE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24</Pages>
  <Words>7796</Words>
  <Characters>44442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Ishtiaq Hussain</cp:lastModifiedBy>
  <cp:revision>24</cp:revision>
  <dcterms:created xsi:type="dcterms:W3CDTF">2026-09-24T15:46:00Z</dcterms:created>
  <dcterms:modified xsi:type="dcterms:W3CDTF">2026-10-22T00:15:00Z</dcterms:modified>
</cp:coreProperties>
</file>