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85578" w14:textId="77777777" w:rsidR="00D11800" w:rsidRDefault="00000000">
      <w:pPr>
        <w:pStyle w:val="Heading1"/>
      </w:pPr>
      <w:r>
        <w:t>Data Governance Tool</w:t>
      </w:r>
    </w:p>
    <w:p w14:paraId="00BED85B" w14:textId="77777777" w:rsidR="00D11800" w:rsidRDefault="00000000">
      <w:pPr>
        <w:pStyle w:val="Heading2"/>
      </w:pPr>
      <w:r>
        <w:t>1. Introduction and Proposed Tool</w:t>
      </w:r>
    </w:p>
    <w:p w14:paraId="347EB882" w14:textId="3AC74768" w:rsidR="00D11800" w:rsidRDefault="00000000">
      <w:r>
        <w:t xml:space="preserve">The Central Data Hub consolidates data from </w:t>
      </w:r>
      <w:r w:rsidR="00E23D99">
        <w:t>multiple systems</w:t>
      </w:r>
      <w:r>
        <w:t xml:space="preserve"> into a Bronze, Silver, Gold and Cache medallion architecture. Governance across that estate must be enforced by a single, commercially supported platform and not by loosely connected utilities. In line with the tender requirement, we propose an </w:t>
      </w:r>
      <w:r>
        <w:rPr>
          <w:b/>
        </w:rPr>
        <w:t>enterprise-grade data governance tool backed by vendor support with a defined SLA</w:t>
      </w:r>
      <w:r>
        <w:t>.</w:t>
      </w:r>
    </w:p>
    <w:p w14:paraId="7C791576" w14:textId="77777777" w:rsidR="00D11800" w:rsidRDefault="00000000">
      <w:r>
        <w:rPr>
          <w:b/>
        </w:rPr>
        <w:t>Proposed tool: Semarchy Data Platform</w:t>
      </w:r>
      <w:r>
        <w:t xml:space="preserve"> – a commercially licensed, vendor-supported platform that delivers governance and catalog, data quality, and Master and Reference Data Management from one repository and one metadata and policy store. The platform is deployed fully on-premises inside FBR's perimeter, with no public cloud dependency.</w:t>
      </w:r>
    </w:p>
    <w:p w14:paraId="4C394B16" w14:textId="77777777" w:rsidR="00D11800" w:rsidRDefault="00000000">
      <w:r>
        <w:t>The proposal does not rely on any community-supported or open-source tool without enterprise support. Every governance capability described in this section is delivered by the licensed product and is covered by the vendor's support agreement.</w:t>
      </w:r>
    </w:p>
    <w:p w14:paraId="4D026CEC" w14:textId="77777777" w:rsidR="00D11800" w:rsidRDefault="00000000">
      <w:pPr>
        <w:pStyle w:val="Heading2"/>
      </w:pPr>
      <w:r>
        <w:t>2. Compliance with the Tool Requirement</w:t>
      </w:r>
    </w:p>
    <w:tbl>
      <w:tblPr>
        <w:tblStyle w:val="TableGrid"/>
        <w:tblW w:w="0" w:type="auto"/>
        <w:tblLayout w:type="fixed"/>
        <w:tblLook w:val="0420" w:firstRow="1" w:lastRow="0" w:firstColumn="0" w:lastColumn="0" w:noHBand="0" w:noVBand="1"/>
      </w:tblPr>
      <w:tblGrid>
        <w:gridCol w:w="4440"/>
        <w:gridCol w:w="4920"/>
      </w:tblGrid>
      <w:tr w:rsidR="00D11800" w14:paraId="31C071BC" w14:textId="77777777">
        <w:trPr>
          <w:tblHeader/>
        </w:trPr>
        <w:tc>
          <w:tcPr>
            <w:tcW w:w="4440" w:type="dxa"/>
            <w:shd w:val="clear" w:color="auto" w:fill="F2F2F2"/>
          </w:tcPr>
          <w:p w14:paraId="71198315" w14:textId="77777777" w:rsidR="00D11800" w:rsidRDefault="00000000">
            <w:r>
              <w:t>Tender requirement</w:t>
            </w:r>
          </w:p>
        </w:tc>
        <w:tc>
          <w:tcPr>
            <w:tcW w:w="4920" w:type="dxa"/>
            <w:shd w:val="clear" w:color="auto" w:fill="F2F2F2"/>
          </w:tcPr>
          <w:p w14:paraId="7AC6A54D" w14:textId="77777777" w:rsidR="00D11800" w:rsidRDefault="00000000">
            <w:r>
              <w:t>Our response</w:t>
            </w:r>
          </w:p>
        </w:tc>
      </w:tr>
      <w:tr w:rsidR="00D11800" w14:paraId="1FF8BBD3" w14:textId="77777777">
        <w:tc>
          <w:tcPr>
            <w:tcW w:w="4440" w:type="dxa"/>
          </w:tcPr>
          <w:p w14:paraId="3ED80F64" w14:textId="77777777" w:rsidR="00D11800" w:rsidRDefault="00000000">
            <w:r>
              <w:t>Enterprise-grade data governance tool</w:t>
            </w:r>
          </w:p>
        </w:tc>
        <w:tc>
          <w:tcPr>
            <w:tcW w:w="4920" w:type="dxa"/>
          </w:tcPr>
          <w:p w14:paraId="01D33DDB" w14:textId="77777777" w:rsidR="00D11800" w:rsidRDefault="00000000">
            <w:r>
              <w:t>Semarchy Data Platform, a commercial enterprise product, single repository for governance, quality and master data</w:t>
            </w:r>
          </w:p>
        </w:tc>
      </w:tr>
      <w:tr w:rsidR="00D11800" w14:paraId="7DB6C761" w14:textId="77777777">
        <w:tc>
          <w:tcPr>
            <w:tcW w:w="4440" w:type="dxa"/>
          </w:tcPr>
          <w:p w14:paraId="244A4926" w14:textId="77777777" w:rsidR="00D11800" w:rsidRDefault="00000000">
            <w:r>
              <w:t>Backed by vendor support with a defined SLA</w:t>
            </w:r>
          </w:p>
        </w:tc>
        <w:tc>
          <w:tcPr>
            <w:tcW w:w="4920" w:type="dxa"/>
          </w:tcPr>
          <w:p w14:paraId="50E509D3" w14:textId="77777777" w:rsidR="00D11800" w:rsidRDefault="00000000">
            <w:r>
              <w:t>Annual enterprise support subscription with severity-based response and resolution targets (Section 3)</w:t>
            </w:r>
          </w:p>
        </w:tc>
      </w:tr>
      <w:tr w:rsidR="00D11800" w14:paraId="59027991" w14:textId="77777777">
        <w:tc>
          <w:tcPr>
            <w:tcW w:w="4440" w:type="dxa"/>
          </w:tcPr>
          <w:p w14:paraId="680BCB5F" w14:textId="77777777" w:rsidR="00D11800" w:rsidRDefault="00000000">
            <w:r>
              <w:t>No community or unsupported open-source tools</w:t>
            </w:r>
          </w:p>
        </w:tc>
        <w:tc>
          <w:tcPr>
            <w:tcW w:w="4920" w:type="dxa"/>
          </w:tcPr>
          <w:p w14:paraId="2785F486" w14:textId="77777777" w:rsidR="00D11800" w:rsidRDefault="00000000">
            <w:r>
              <w:t>None proposed; all governance components are licensed and vendor-supported</w:t>
            </w:r>
          </w:p>
        </w:tc>
      </w:tr>
      <w:tr w:rsidR="00D11800" w14:paraId="4B0CACAD" w14:textId="77777777">
        <w:tc>
          <w:tcPr>
            <w:tcW w:w="4440" w:type="dxa"/>
          </w:tcPr>
          <w:p w14:paraId="4EFE950E" w14:textId="77777777" w:rsidR="00D11800" w:rsidRDefault="00000000">
            <w:r>
              <w:t>Aligned with latest DAMA-DMBOK principles</w:t>
            </w:r>
          </w:p>
        </w:tc>
        <w:tc>
          <w:tcPr>
            <w:tcW w:w="4920" w:type="dxa"/>
          </w:tcPr>
          <w:p w14:paraId="17A90AB6" w14:textId="77777777" w:rsidR="00D11800" w:rsidRDefault="00000000">
            <w:r>
              <w:t>Capabilities mapped to the DAMA-DMBOK2 (2nd Edition, Revised) knowledge areas (Section 4)</w:t>
            </w:r>
          </w:p>
        </w:tc>
      </w:tr>
      <w:tr w:rsidR="00D11800" w14:paraId="753A73CC" w14:textId="77777777">
        <w:tc>
          <w:tcPr>
            <w:tcW w:w="4440" w:type="dxa"/>
          </w:tcPr>
          <w:p w14:paraId="40494A68" w14:textId="77777777" w:rsidR="00D11800" w:rsidRDefault="00000000">
            <w:r>
              <w:t>Business Glossary</w:t>
            </w:r>
          </w:p>
        </w:tc>
        <w:tc>
          <w:tcPr>
            <w:tcW w:w="4920" w:type="dxa"/>
          </w:tcPr>
          <w:p w14:paraId="56B83E4A" w14:textId="77777777" w:rsidR="00D11800" w:rsidRDefault="00000000">
            <w:r>
              <w:t>Delivered (Section 5.1)</w:t>
            </w:r>
          </w:p>
        </w:tc>
      </w:tr>
      <w:tr w:rsidR="00D11800" w14:paraId="52EFBD2D" w14:textId="77777777">
        <w:tc>
          <w:tcPr>
            <w:tcW w:w="4440" w:type="dxa"/>
          </w:tcPr>
          <w:p w14:paraId="5E794DEC" w14:textId="77777777" w:rsidR="00D11800" w:rsidRDefault="00000000">
            <w:r>
              <w:t>Data Quality</w:t>
            </w:r>
          </w:p>
        </w:tc>
        <w:tc>
          <w:tcPr>
            <w:tcW w:w="4920" w:type="dxa"/>
          </w:tcPr>
          <w:p w14:paraId="6EAF3777" w14:textId="77777777" w:rsidR="00D11800" w:rsidRDefault="00000000">
            <w:r>
              <w:t>Delivered (Section 5.2)</w:t>
            </w:r>
          </w:p>
        </w:tc>
      </w:tr>
      <w:tr w:rsidR="00D11800" w14:paraId="5C205570" w14:textId="77777777">
        <w:tc>
          <w:tcPr>
            <w:tcW w:w="4440" w:type="dxa"/>
          </w:tcPr>
          <w:p w14:paraId="52394562" w14:textId="77777777" w:rsidR="00D11800" w:rsidRDefault="00000000">
            <w:r>
              <w:t>Data Classification</w:t>
            </w:r>
          </w:p>
        </w:tc>
        <w:tc>
          <w:tcPr>
            <w:tcW w:w="4920" w:type="dxa"/>
          </w:tcPr>
          <w:p w14:paraId="7A2798DD" w14:textId="77777777" w:rsidR="00D11800" w:rsidRDefault="00000000">
            <w:r>
              <w:t>Delivered (Section 5.3)</w:t>
            </w:r>
          </w:p>
        </w:tc>
      </w:tr>
      <w:tr w:rsidR="00D11800" w14:paraId="4B819B18" w14:textId="77777777">
        <w:tc>
          <w:tcPr>
            <w:tcW w:w="4440" w:type="dxa"/>
          </w:tcPr>
          <w:p w14:paraId="5F7A8CF7" w14:textId="77777777" w:rsidR="00D11800" w:rsidRDefault="00000000">
            <w:r>
              <w:t>Data Ownership and Stewardship</w:t>
            </w:r>
          </w:p>
        </w:tc>
        <w:tc>
          <w:tcPr>
            <w:tcW w:w="4920" w:type="dxa"/>
          </w:tcPr>
          <w:p w14:paraId="7B7ED36B" w14:textId="77777777" w:rsidR="00D11800" w:rsidRDefault="00000000">
            <w:r>
              <w:t>Delivered (Section 5.4)</w:t>
            </w:r>
          </w:p>
        </w:tc>
      </w:tr>
      <w:tr w:rsidR="00D11800" w14:paraId="77BC3516" w14:textId="77777777">
        <w:tc>
          <w:tcPr>
            <w:tcW w:w="4440" w:type="dxa"/>
          </w:tcPr>
          <w:p w14:paraId="4627BEDC" w14:textId="77777777" w:rsidR="00D11800" w:rsidRDefault="00000000">
            <w:r>
              <w:t>Metadata Management</w:t>
            </w:r>
          </w:p>
        </w:tc>
        <w:tc>
          <w:tcPr>
            <w:tcW w:w="4920" w:type="dxa"/>
          </w:tcPr>
          <w:p w14:paraId="7DD1E146" w14:textId="77777777" w:rsidR="00D11800" w:rsidRDefault="00000000">
            <w:r>
              <w:t>Delivered (Section 5.5)</w:t>
            </w:r>
          </w:p>
        </w:tc>
      </w:tr>
      <w:tr w:rsidR="00D11800" w14:paraId="20690B86" w14:textId="77777777">
        <w:tc>
          <w:tcPr>
            <w:tcW w:w="4440" w:type="dxa"/>
          </w:tcPr>
          <w:p w14:paraId="0A4D742C" w14:textId="77777777" w:rsidR="00D11800" w:rsidRDefault="00000000">
            <w:r>
              <w:t>Data Lineage</w:t>
            </w:r>
          </w:p>
        </w:tc>
        <w:tc>
          <w:tcPr>
            <w:tcW w:w="4920" w:type="dxa"/>
          </w:tcPr>
          <w:p w14:paraId="586E741B" w14:textId="77777777" w:rsidR="00D11800" w:rsidRDefault="00000000">
            <w:r>
              <w:t>Delivered (Section 5.6)</w:t>
            </w:r>
          </w:p>
        </w:tc>
      </w:tr>
      <w:tr w:rsidR="00D11800" w14:paraId="1609F110" w14:textId="77777777">
        <w:tc>
          <w:tcPr>
            <w:tcW w:w="4440" w:type="dxa"/>
          </w:tcPr>
          <w:p w14:paraId="78EBD3BD" w14:textId="77777777" w:rsidR="00D11800" w:rsidRDefault="00000000">
            <w:r>
              <w:lastRenderedPageBreak/>
              <w:t>Master Data Management</w:t>
            </w:r>
          </w:p>
        </w:tc>
        <w:tc>
          <w:tcPr>
            <w:tcW w:w="4920" w:type="dxa"/>
          </w:tcPr>
          <w:p w14:paraId="0A27057B" w14:textId="77777777" w:rsidR="00D11800" w:rsidRDefault="00000000">
            <w:r>
              <w:t>Delivered, with Reference Data Management (Section 5.7)</w:t>
            </w:r>
          </w:p>
        </w:tc>
      </w:tr>
    </w:tbl>
    <w:p w14:paraId="1671C131" w14:textId="77777777" w:rsidR="00D11800" w:rsidRDefault="00000000">
      <w:pPr>
        <w:pStyle w:val="Heading2"/>
      </w:pPr>
      <w:r>
        <w:t>3. Vendor Support Model and SLA</w:t>
      </w:r>
    </w:p>
    <w:p w14:paraId="250D2821" w14:textId="77777777" w:rsidR="00D11800" w:rsidRDefault="00000000">
      <w:r>
        <w:t>The governance platform is covered by an enterprise support agreement for the full contract period. The support model includes:</w:t>
      </w:r>
    </w:p>
    <w:p w14:paraId="04C93DBA" w14:textId="77777777" w:rsidR="00D11800" w:rsidRDefault="00000000">
      <w:pPr>
        <w:pStyle w:val="ListParagraph"/>
        <w:numPr>
          <w:ilvl w:val="0"/>
          <w:numId w:val="2"/>
        </w:numPr>
      </w:pPr>
      <w:r>
        <w:rPr>
          <w:b/>
        </w:rPr>
        <w:t>Defined support channels:</w:t>
      </w:r>
      <w:r>
        <w:t xml:space="preserve"> ticketing portal, email and telephone escalation for FBR and PRAL named contacts.</w:t>
      </w:r>
    </w:p>
    <w:p w14:paraId="3751C3D7" w14:textId="77777777" w:rsidR="00D11800" w:rsidRDefault="00000000">
      <w:pPr>
        <w:pStyle w:val="ListParagraph"/>
        <w:numPr>
          <w:ilvl w:val="0"/>
          <w:numId w:val="2"/>
        </w:numPr>
      </w:pPr>
      <w:r>
        <w:rPr>
          <w:b/>
        </w:rPr>
        <w:t>Severity-based SLA:</w:t>
      </w:r>
      <w:r>
        <w:t xml:space="preserve"> response and resolution targets tied to the business impact of the incident.</w:t>
      </w:r>
    </w:p>
    <w:p w14:paraId="56D2DC95" w14:textId="77777777" w:rsidR="00D11800" w:rsidRDefault="00000000">
      <w:pPr>
        <w:pStyle w:val="ListParagraph"/>
        <w:numPr>
          <w:ilvl w:val="0"/>
          <w:numId w:val="2"/>
        </w:numPr>
      </w:pPr>
      <w:r>
        <w:rPr>
          <w:b/>
        </w:rPr>
        <w:t>Product maintenance:</w:t>
      </w:r>
      <w:r>
        <w:t xml:space="preserve"> access to patches, fixes, minor and major version upgrades and release notes throughout the support term.</w:t>
      </w:r>
    </w:p>
    <w:p w14:paraId="726512EC" w14:textId="77777777" w:rsidR="00D11800" w:rsidRDefault="00000000">
      <w:pPr>
        <w:pStyle w:val="ListParagraph"/>
        <w:numPr>
          <w:ilvl w:val="0"/>
          <w:numId w:val="2"/>
        </w:numPr>
      </w:pPr>
      <w:r>
        <w:rPr>
          <w:b/>
        </w:rPr>
        <w:t>Escalation path:</w:t>
      </w:r>
      <w:r>
        <w:t xml:space="preserve"> a defined escalation ladder from support engineer to engineering management, with an assigned technical account contact.</w:t>
      </w:r>
    </w:p>
    <w:p w14:paraId="2A93DCED" w14:textId="77777777" w:rsidR="00D11800" w:rsidRDefault="00000000">
      <w:pPr>
        <w:pStyle w:val="ListParagraph"/>
        <w:numPr>
          <w:ilvl w:val="0"/>
          <w:numId w:val="2"/>
        </w:numPr>
      </w:pPr>
      <w:r>
        <w:rPr>
          <w:b/>
        </w:rPr>
        <w:t>Local delivery cover:</w:t>
      </w:r>
      <w:r>
        <w:t xml:space="preserve"> the Implementation Manager (IM) team acts as first-line support for FBR and raises vendor tickets on FBR's behalf, so that issues are triaged and tracked from a single point.</w:t>
      </w:r>
    </w:p>
    <w:tbl>
      <w:tblPr>
        <w:tblStyle w:val="TableGrid"/>
        <w:tblW w:w="0" w:type="auto"/>
        <w:tblLayout w:type="fixed"/>
        <w:tblLook w:val="0420" w:firstRow="1" w:lastRow="0" w:firstColumn="0" w:lastColumn="0" w:noHBand="0" w:noVBand="1"/>
      </w:tblPr>
      <w:tblGrid>
        <w:gridCol w:w="1742"/>
        <w:gridCol w:w="4162"/>
        <w:gridCol w:w="1518"/>
        <w:gridCol w:w="1938"/>
      </w:tblGrid>
      <w:tr w:rsidR="00D11800" w14:paraId="690582F1" w14:textId="77777777">
        <w:trPr>
          <w:tblHeader/>
        </w:trPr>
        <w:tc>
          <w:tcPr>
            <w:tcW w:w="1742" w:type="dxa"/>
            <w:shd w:val="clear" w:color="auto" w:fill="F2F2F2"/>
          </w:tcPr>
          <w:p w14:paraId="058F26E0" w14:textId="77777777" w:rsidR="00D11800" w:rsidRDefault="00000000">
            <w:r>
              <w:t>Severity</w:t>
            </w:r>
          </w:p>
        </w:tc>
        <w:tc>
          <w:tcPr>
            <w:tcW w:w="4162" w:type="dxa"/>
            <w:shd w:val="clear" w:color="auto" w:fill="F2F2F2"/>
          </w:tcPr>
          <w:p w14:paraId="5FD30A62" w14:textId="77777777" w:rsidR="00D11800" w:rsidRDefault="00000000">
            <w:r>
              <w:t>Definition</w:t>
            </w:r>
          </w:p>
        </w:tc>
        <w:tc>
          <w:tcPr>
            <w:tcW w:w="1518" w:type="dxa"/>
            <w:shd w:val="clear" w:color="auto" w:fill="F2F2F2"/>
          </w:tcPr>
          <w:p w14:paraId="3E42357B" w14:textId="77777777" w:rsidR="00D11800" w:rsidRDefault="00000000">
            <w:r>
              <w:t>Initial response target</w:t>
            </w:r>
          </w:p>
        </w:tc>
        <w:tc>
          <w:tcPr>
            <w:tcW w:w="1938" w:type="dxa"/>
            <w:shd w:val="clear" w:color="auto" w:fill="F2F2F2"/>
          </w:tcPr>
          <w:p w14:paraId="0D0A8E65" w14:textId="77777777" w:rsidR="00D11800" w:rsidRDefault="00000000">
            <w:r>
              <w:t>Target restoration / workaround</w:t>
            </w:r>
          </w:p>
        </w:tc>
      </w:tr>
      <w:tr w:rsidR="00D11800" w14:paraId="7C7A205E" w14:textId="77777777">
        <w:tc>
          <w:tcPr>
            <w:tcW w:w="1742" w:type="dxa"/>
          </w:tcPr>
          <w:p w14:paraId="137D57FB" w14:textId="77777777" w:rsidR="00D11800" w:rsidRDefault="00000000">
            <w:r>
              <w:t>Severity 1 – Critical</w:t>
            </w:r>
          </w:p>
        </w:tc>
        <w:tc>
          <w:tcPr>
            <w:tcW w:w="4162" w:type="dxa"/>
          </w:tcPr>
          <w:p w14:paraId="4AA4F866" w14:textId="77777777" w:rsidR="00D11800" w:rsidRDefault="00000000">
            <w:r>
              <w:t>Platform unavailable or data integrity at risk in production</w:t>
            </w:r>
          </w:p>
        </w:tc>
        <w:tc>
          <w:tcPr>
            <w:tcW w:w="1518" w:type="dxa"/>
          </w:tcPr>
          <w:p w14:paraId="35DA2E15" w14:textId="6AF77864" w:rsidR="00D11800" w:rsidRDefault="00E23D99">
            <w:r>
              <w:t>2 hour, 24x7</w:t>
            </w:r>
          </w:p>
        </w:tc>
        <w:tc>
          <w:tcPr>
            <w:tcW w:w="1938" w:type="dxa"/>
          </w:tcPr>
          <w:p w14:paraId="0E26AAFB" w14:textId="53BB759A" w:rsidR="00D11800" w:rsidRDefault="00E23D99">
            <w:r>
              <w:t>8 hours</w:t>
            </w:r>
          </w:p>
        </w:tc>
      </w:tr>
      <w:tr w:rsidR="00D11800" w14:paraId="0A9DE570" w14:textId="77777777">
        <w:tc>
          <w:tcPr>
            <w:tcW w:w="1742" w:type="dxa"/>
          </w:tcPr>
          <w:p w14:paraId="7438B766" w14:textId="77777777" w:rsidR="00D11800" w:rsidRDefault="00000000">
            <w:r>
              <w:t>Severity 2 – High</w:t>
            </w:r>
          </w:p>
        </w:tc>
        <w:tc>
          <w:tcPr>
            <w:tcW w:w="4162" w:type="dxa"/>
          </w:tcPr>
          <w:p w14:paraId="3EE0AAA2" w14:textId="77777777" w:rsidR="00D11800" w:rsidRDefault="00000000">
            <w:r>
              <w:t>Major function degraded, no acceptable workaround</w:t>
            </w:r>
          </w:p>
        </w:tc>
        <w:tc>
          <w:tcPr>
            <w:tcW w:w="1518" w:type="dxa"/>
          </w:tcPr>
          <w:p w14:paraId="4BFED5F4" w14:textId="77777777" w:rsidR="00D11800" w:rsidRDefault="00000000">
            <w:r>
              <w:t>4 hours</w:t>
            </w:r>
          </w:p>
        </w:tc>
        <w:tc>
          <w:tcPr>
            <w:tcW w:w="1938" w:type="dxa"/>
          </w:tcPr>
          <w:p w14:paraId="0A62C7F6" w14:textId="77777777" w:rsidR="00D11800" w:rsidRDefault="00000000">
            <w:r>
              <w:t>1 business day</w:t>
            </w:r>
          </w:p>
        </w:tc>
      </w:tr>
      <w:tr w:rsidR="00D11800" w14:paraId="16E49000" w14:textId="77777777">
        <w:tc>
          <w:tcPr>
            <w:tcW w:w="1742" w:type="dxa"/>
          </w:tcPr>
          <w:p w14:paraId="6677AE96" w14:textId="77777777" w:rsidR="00D11800" w:rsidRDefault="00000000">
            <w:r>
              <w:t>Severity 3 – Medium</w:t>
            </w:r>
          </w:p>
        </w:tc>
        <w:tc>
          <w:tcPr>
            <w:tcW w:w="4162" w:type="dxa"/>
          </w:tcPr>
          <w:p w14:paraId="1871937A" w14:textId="77777777" w:rsidR="00D11800" w:rsidRDefault="00000000">
            <w:r>
              <w:t>Partial or non-critical impact, workaround available</w:t>
            </w:r>
          </w:p>
        </w:tc>
        <w:tc>
          <w:tcPr>
            <w:tcW w:w="1518" w:type="dxa"/>
          </w:tcPr>
          <w:p w14:paraId="583360C6" w14:textId="77777777" w:rsidR="00D11800" w:rsidRDefault="00000000">
            <w:r>
              <w:t>1 business day</w:t>
            </w:r>
          </w:p>
        </w:tc>
        <w:tc>
          <w:tcPr>
            <w:tcW w:w="1938" w:type="dxa"/>
          </w:tcPr>
          <w:p w14:paraId="46146146" w14:textId="77777777" w:rsidR="00D11800" w:rsidRDefault="00000000">
            <w:r>
              <w:t>5 business days</w:t>
            </w:r>
          </w:p>
        </w:tc>
      </w:tr>
      <w:tr w:rsidR="00D11800" w14:paraId="18FFDF17" w14:textId="77777777">
        <w:tc>
          <w:tcPr>
            <w:tcW w:w="1742" w:type="dxa"/>
          </w:tcPr>
          <w:p w14:paraId="5975141C" w14:textId="77777777" w:rsidR="00D11800" w:rsidRDefault="00000000">
            <w:r>
              <w:t>Severity 4 – Low</w:t>
            </w:r>
          </w:p>
        </w:tc>
        <w:tc>
          <w:tcPr>
            <w:tcW w:w="4162" w:type="dxa"/>
          </w:tcPr>
          <w:p w14:paraId="7B915447" w14:textId="77777777" w:rsidR="00D11800" w:rsidRDefault="00000000">
            <w:r>
              <w:t>Question, documentation or enhancement request</w:t>
            </w:r>
          </w:p>
        </w:tc>
        <w:tc>
          <w:tcPr>
            <w:tcW w:w="1518" w:type="dxa"/>
          </w:tcPr>
          <w:p w14:paraId="115B2D65" w14:textId="77777777" w:rsidR="00D11800" w:rsidRDefault="00000000">
            <w:r>
              <w:t>2 business days</w:t>
            </w:r>
          </w:p>
        </w:tc>
        <w:tc>
          <w:tcPr>
            <w:tcW w:w="1938" w:type="dxa"/>
          </w:tcPr>
          <w:p w14:paraId="71E92A12" w14:textId="77777777" w:rsidR="00D11800" w:rsidRDefault="00000000">
            <w:r>
              <w:t>Next maintenance release</w:t>
            </w:r>
          </w:p>
        </w:tc>
      </w:tr>
    </w:tbl>
    <w:p w14:paraId="2B1E3439" w14:textId="77777777" w:rsidR="00D11800" w:rsidRDefault="00000000">
      <w:r>
        <w:t>The SLA is incorporated in the support agreement and reported to FBR through periodic service reviews covering ticket volumes, response and resolution performance and upgrade planning.</w:t>
      </w:r>
    </w:p>
    <w:p w14:paraId="40C63165" w14:textId="77777777" w:rsidR="00D11800" w:rsidRDefault="00000000">
      <w:pPr>
        <w:pStyle w:val="Heading2"/>
      </w:pPr>
      <w:r>
        <w:t>4. DAMA-DMBOK Alignment</w:t>
      </w:r>
    </w:p>
    <w:p w14:paraId="0E61BC7F" w14:textId="77777777" w:rsidR="00D11800" w:rsidRDefault="00000000">
      <w:r>
        <w:t>The tool and the governance operating model are mapped to the DAMA-DMBOK2 knowledge areas. Data Governance sits at the centre of the framework, and the other areas are delivered as governed capabilities of the same platform.</w:t>
      </w:r>
    </w:p>
    <w:tbl>
      <w:tblPr>
        <w:tblStyle w:val="TableGrid"/>
        <w:tblW w:w="0" w:type="auto"/>
        <w:tblLayout w:type="fixed"/>
        <w:tblLook w:val="0420" w:firstRow="1" w:lastRow="0" w:firstColumn="0" w:lastColumn="0" w:noHBand="0" w:noVBand="1"/>
      </w:tblPr>
      <w:tblGrid>
        <w:gridCol w:w="1874"/>
        <w:gridCol w:w="4319"/>
        <w:gridCol w:w="3166"/>
      </w:tblGrid>
      <w:tr w:rsidR="00D11800" w14:paraId="69ED2C86" w14:textId="77777777">
        <w:trPr>
          <w:tblHeader/>
        </w:trPr>
        <w:tc>
          <w:tcPr>
            <w:tcW w:w="1874" w:type="dxa"/>
            <w:shd w:val="clear" w:color="auto" w:fill="F2F2F2"/>
          </w:tcPr>
          <w:p w14:paraId="56890E94" w14:textId="77777777" w:rsidR="00D11800" w:rsidRDefault="00000000">
            <w:r>
              <w:t>DAMA-DMBOK knowledge area</w:t>
            </w:r>
          </w:p>
        </w:tc>
        <w:tc>
          <w:tcPr>
            <w:tcW w:w="4319" w:type="dxa"/>
            <w:shd w:val="clear" w:color="auto" w:fill="F2F2F2"/>
          </w:tcPr>
          <w:p w14:paraId="630137AE" w14:textId="77777777" w:rsidR="00D11800" w:rsidRDefault="00000000">
            <w:r>
              <w:t>Capability delivered</w:t>
            </w:r>
          </w:p>
        </w:tc>
        <w:tc>
          <w:tcPr>
            <w:tcW w:w="3166" w:type="dxa"/>
            <w:shd w:val="clear" w:color="auto" w:fill="F2F2F2"/>
          </w:tcPr>
          <w:p w14:paraId="40C1E7FA" w14:textId="77777777" w:rsidR="00D11800" w:rsidRDefault="00000000">
            <w:r>
              <w:t>Semarchy Data Platform function</w:t>
            </w:r>
          </w:p>
        </w:tc>
      </w:tr>
      <w:tr w:rsidR="00D11800" w14:paraId="74B91248" w14:textId="77777777">
        <w:tc>
          <w:tcPr>
            <w:tcW w:w="1874" w:type="dxa"/>
          </w:tcPr>
          <w:p w14:paraId="4AD1EE31" w14:textId="77777777" w:rsidR="00D11800" w:rsidRDefault="00000000">
            <w:r>
              <w:lastRenderedPageBreak/>
              <w:t>Data Governance</w:t>
            </w:r>
          </w:p>
        </w:tc>
        <w:tc>
          <w:tcPr>
            <w:tcW w:w="4319" w:type="dxa"/>
          </w:tcPr>
          <w:p w14:paraId="72AB9BA6" w14:textId="77777777" w:rsidR="00D11800" w:rsidRDefault="00000000">
            <w:r>
              <w:t>Three-tier stewardship, policies, approval workflows, five-year audit history</w:t>
            </w:r>
          </w:p>
        </w:tc>
        <w:tc>
          <w:tcPr>
            <w:tcW w:w="3166" w:type="dxa"/>
          </w:tcPr>
          <w:p w14:paraId="3C7F24F1" w14:textId="77777777" w:rsidR="00D11800" w:rsidRDefault="00000000">
            <w:r>
              <w:t>Governance workflows, roles, data spaces and history</w:t>
            </w:r>
          </w:p>
        </w:tc>
      </w:tr>
      <w:tr w:rsidR="00D11800" w14:paraId="1BD8F0F1" w14:textId="77777777">
        <w:tc>
          <w:tcPr>
            <w:tcW w:w="1874" w:type="dxa"/>
          </w:tcPr>
          <w:p w14:paraId="7AFF4119" w14:textId="77777777" w:rsidR="00D11800" w:rsidRDefault="00000000">
            <w:r>
              <w:t>Metadata Management</w:t>
            </w:r>
          </w:p>
        </w:tc>
        <w:tc>
          <w:tcPr>
            <w:tcW w:w="4319" w:type="dxa"/>
          </w:tcPr>
          <w:p w14:paraId="2D71607B" w14:textId="77777777" w:rsidR="00D11800" w:rsidRDefault="00000000">
            <w:r>
              <w:t>Business, technical and operational metadata, catalog</w:t>
            </w:r>
          </w:p>
        </w:tc>
        <w:tc>
          <w:tcPr>
            <w:tcW w:w="3166" w:type="dxa"/>
          </w:tcPr>
          <w:p w14:paraId="718F2705" w14:textId="77777777" w:rsidR="00D11800" w:rsidRDefault="00000000">
            <w:r>
              <w:t>Metadata catalog</w:t>
            </w:r>
          </w:p>
        </w:tc>
      </w:tr>
      <w:tr w:rsidR="00D11800" w14:paraId="105C0715" w14:textId="77777777">
        <w:tc>
          <w:tcPr>
            <w:tcW w:w="1874" w:type="dxa"/>
          </w:tcPr>
          <w:p w14:paraId="6CA0066B" w14:textId="77777777" w:rsidR="00D11800" w:rsidRDefault="00000000">
            <w:r>
              <w:t>Data Quality</w:t>
            </w:r>
          </w:p>
        </w:tc>
        <w:tc>
          <w:tcPr>
            <w:tcW w:w="4319" w:type="dxa"/>
          </w:tcPr>
          <w:p w14:paraId="522331E7" w14:textId="77777777" w:rsidR="00D11800" w:rsidRDefault="00000000">
            <w:r>
              <w:t>Profiling, rules, scoring, gated publication, certification</w:t>
            </w:r>
          </w:p>
        </w:tc>
        <w:tc>
          <w:tcPr>
            <w:tcW w:w="3166" w:type="dxa"/>
          </w:tcPr>
          <w:p w14:paraId="2B3E4EA6" w14:textId="77777777" w:rsidR="00D11800" w:rsidRDefault="00000000">
            <w:r>
              <w:t>Data quality rules engine and scoring</w:t>
            </w:r>
          </w:p>
        </w:tc>
      </w:tr>
      <w:tr w:rsidR="00D11800" w14:paraId="73169441" w14:textId="77777777">
        <w:tc>
          <w:tcPr>
            <w:tcW w:w="1874" w:type="dxa"/>
          </w:tcPr>
          <w:p w14:paraId="35885CC3" w14:textId="77777777" w:rsidR="00D11800" w:rsidRDefault="00000000">
            <w:r>
              <w:t>Reference and Master Data</w:t>
            </w:r>
          </w:p>
        </w:tc>
        <w:tc>
          <w:tcPr>
            <w:tcW w:w="4319" w:type="dxa"/>
          </w:tcPr>
          <w:p w14:paraId="4B5B7E27" w14:textId="77777777" w:rsidR="00D11800" w:rsidRDefault="00000000">
            <w:r>
              <w:t>Golden Records, matching, survivorship, reference code lifecycle</w:t>
            </w:r>
          </w:p>
        </w:tc>
        <w:tc>
          <w:tcPr>
            <w:tcW w:w="3166" w:type="dxa"/>
          </w:tcPr>
          <w:p w14:paraId="10038BCB" w14:textId="77777777" w:rsidR="00D11800" w:rsidRDefault="00000000">
            <w:r>
              <w:t>MDM and RDM</w:t>
            </w:r>
          </w:p>
        </w:tc>
      </w:tr>
      <w:tr w:rsidR="00D11800" w14:paraId="67CAF00C" w14:textId="77777777">
        <w:tc>
          <w:tcPr>
            <w:tcW w:w="1874" w:type="dxa"/>
          </w:tcPr>
          <w:p w14:paraId="44427394" w14:textId="77777777" w:rsidR="00D11800" w:rsidRDefault="00000000">
            <w:r>
              <w:t>Data Security</w:t>
            </w:r>
          </w:p>
        </w:tc>
        <w:tc>
          <w:tcPr>
            <w:tcW w:w="4319" w:type="dxa"/>
          </w:tcPr>
          <w:p w14:paraId="4458D93F" w14:textId="77777777" w:rsidR="00D11800" w:rsidRDefault="00000000">
            <w:r>
              <w:t>Classification-driven masking, encryption and access approval</w:t>
            </w:r>
          </w:p>
        </w:tc>
        <w:tc>
          <w:tcPr>
            <w:tcW w:w="3166" w:type="dxa"/>
          </w:tcPr>
          <w:p w14:paraId="1F930F9E" w14:textId="77777777" w:rsidR="00D11800" w:rsidRDefault="00000000">
            <w:r>
              <w:t>Classification labels, ownership and approval workflows feeding enforcement points</w:t>
            </w:r>
          </w:p>
        </w:tc>
      </w:tr>
      <w:tr w:rsidR="00D11800" w14:paraId="20699B43" w14:textId="77777777">
        <w:tc>
          <w:tcPr>
            <w:tcW w:w="1874" w:type="dxa"/>
          </w:tcPr>
          <w:p w14:paraId="6F67D96B" w14:textId="77777777" w:rsidR="00D11800" w:rsidRDefault="00000000">
            <w:r>
              <w:t>Data Architecture and Integration</w:t>
            </w:r>
          </w:p>
        </w:tc>
        <w:tc>
          <w:tcPr>
            <w:tcW w:w="4319" w:type="dxa"/>
          </w:tcPr>
          <w:p w14:paraId="7E0CCEA2" w14:textId="77777777" w:rsidR="00D11800" w:rsidRDefault="00000000">
            <w:r>
              <w:t>Lineage across ingestion, medallion layers and serving</w:t>
            </w:r>
          </w:p>
        </w:tc>
        <w:tc>
          <w:tcPr>
            <w:tcW w:w="3166" w:type="dxa"/>
          </w:tcPr>
          <w:p w14:paraId="4C602B4A" w14:textId="77777777" w:rsidR="00D11800" w:rsidRDefault="00000000">
            <w:r>
              <w:t>Lineage graph and metadata exchange</w:t>
            </w:r>
          </w:p>
        </w:tc>
      </w:tr>
    </w:tbl>
    <w:p w14:paraId="0E7629F7" w14:textId="77777777" w:rsidR="00D11800" w:rsidRDefault="00000000">
      <w:pPr>
        <w:pStyle w:val="Heading2"/>
      </w:pPr>
      <w:r>
        <w:t>5. Required Governance Capabilities</w:t>
      </w:r>
    </w:p>
    <w:p w14:paraId="6634AD4A" w14:textId="77777777" w:rsidR="00D11800" w:rsidRDefault="00000000">
      <w:pPr>
        <w:pStyle w:val="Heading3"/>
      </w:pPr>
      <w:r>
        <w:t>5.1 Business Glossary</w:t>
      </w:r>
    </w:p>
    <w:p w14:paraId="0DE8D171" w14:textId="77777777" w:rsidR="00D11800" w:rsidRDefault="00000000">
      <w:pPr>
        <w:pStyle w:val="ListParagraph"/>
        <w:numPr>
          <w:ilvl w:val="0"/>
          <w:numId w:val="3"/>
        </w:numPr>
      </w:pPr>
      <w:r>
        <w:t>Authoritative business terms (for example Taxpayer, NTN, STRN, Filing Period, Refund) with owner, definition, approved status and related terms.</w:t>
      </w:r>
    </w:p>
    <w:p w14:paraId="37B7A28F" w14:textId="77777777" w:rsidR="00D11800" w:rsidRDefault="00000000">
      <w:pPr>
        <w:pStyle w:val="ListParagraph"/>
        <w:numPr>
          <w:ilvl w:val="0"/>
          <w:numId w:val="3"/>
        </w:numPr>
      </w:pPr>
      <w:r>
        <w:t>Terms are linked to technical assets such as tables, columns, reports and APIs, so business and technical users share one vocabulary.</w:t>
      </w:r>
    </w:p>
    <w:p w14:paraId="1AE41EDE" w14:textId="77777777" w:rsidR="00D11800" w:rsidRDefault="00000000">
      <w:pPr>
        <w:pStyle w:val="ListParagraph"/>
        <w:numPr>
          <w:ilvl w:val="0"/>
          <w:numId w:val="3"/>
        </w:numPr>
      </w:pPr>
      <w:r>
        <w:t>Glossary changes are versioned and pass through an approval workflow, with five-year audit retention.</w:t>
      </w:r>
    </w:p>
    <w:p w14:paraId="3C80F919" w14:textId="77777777" w:rsidR="00D11800" w:rsidRDefault="00000000">
      <w:pPr>
        <w:pStyle w:val="Heading3"/>
      </w:pPr>
      <w:r>
        <w:t>5.2 Data Quality</w:t>
      </w:r>
    </w:p>
    <w:p w14:paraId="3AE114BD" w14:textId="77777777" w:rsidR="00D11800" w:rsidRDefault="00000000">
      <w:pPr>
        <w:pStyle w:val="ListParagraph"/>
        <w:numPr>
          <w:ilvl w:val="0"/>
          <w:numId w:val="4"/>
        </w:numPr>
      </w:pPr>
      <w:r>
        <w:t>A central rules engine checks completeness, accuracy, consistency, uniqueness, timeliness and reasonability at ingestion, transformation and publication.</w:t>
      </w:r>
    </w:p>
    <w:p w14:paraId="67E57CA3" w14:textId="77777777" w:rsidR="00D11800" w:rsidRDefault="00000000">
      <w:pPr>
        <w:pStyle w:val="ListParagraph"/>
        <w:numPr>
          <w:ilvl w:val="0"/>
          <w:numId w:val="4"/>
        </w:numPr>
      </w:pPr>
      <w:r>
        <w:t>A composite Data Quality Score is computed for each dataset, and publication to Gold is blocked below a configurable threshold.</w:t>
      </w:r>
    </w:p>
    <w:p w14:paraId="69EB5B38" w14:textId="77777777" w:rsidR="00D11800" w:rsidRDefault="00000000">
      <w:pPr>
        <w:pStyle w:val="ListParagraph"/>
        <w:numPr>
          <w:ilvl w:val="0"/>
          <w:numId w:val="4"/>
        </w:numPr>
      </w:pPr>
      <w:r>
        <w:t>Records that fail critical rules are quarantined for steward review rather than silently dropped or passed through.</w:t>
      </w:r>
    </w:p>
    <w:p w14:paraId="051763AA" w14:textId="77777777" w:rsidR="00D11800" w:rsidRDefault="00000000">
      <w:pPr>
        <w:pStyle w:val="ListParagraph"/>
        <w:numPr>
          <w:ilvl w:val="0"/>
          <w:numId w:val="4"/>
        </w:numPr>
      </w:pPr>
      <w:r>
        <w:t>Certified datasets receive a Data Quality Certificate recorded in the repository.</w:t>
      </w:r>
    </w:p>
    <w:p w14:paraId="6D572EF2" w14:textId="77777777" w:rsidR="00D11800" w:rsidRDefault="00000000">
      <w:pPr>
        <w:pStyle w:val="Heading3"/>
      </w:pPr>
      <w:r>
        <w:t>5.3 Data Classification</w:t>
      </w:r>
    </w:p>
    <w:p w14:paraId="44B0F0FA" w14:textId="77777777" w:rsidR="00D11800" w:rsidRDefault="00000000">
      <w:r>
        <w:t xml:space="preserve">Data is classified through approved workflows using a four-level scheme: </w:t>
      </w:r>
      <w:r>
        <w:rPr>
          <w:b/>
        </w:rPr>
        <w:t>Public, Internal, Confidential and Restricted (PII / Sensitive)</w:t>
      </w:r>
      <w:r>
        <w:t xml:space="preserve">. The label is recorded in the catalog and propagated automatically to </w:t>
      </w:r>
      <w:r>
        <w:lastRenderedPageBreak/>
        <w:t>downstream tables, columns, APIs and reports. It then drives access policy, field-level encryption, dynamic masking, audit intensity and retention at the CDH enforcement points.</w:t>
      </w:r>
    </w:p>
    <w:p w14:paraId="5319726C" w14:textId="77777777" w:rsidR="00D11800" w:rsidRDefault="00000000">
      <w:pPr>
        <w:pStyle w:val="Heading3"/>
      </w:pPr>
      <w:r>
        <w:t>5.4 Data Ownership and Stewardship</w:t>
      </w:r>
    </w:p>
    <w:tbl>
      <w:tblPr>
        <w:tblStyle w:val="TableGrid"/>
        <w:tblW w:w="0" w:type="auto"/>
        <w:tblLayout w:type="fixed"/>
        <w:tblLook w:val="0420" w:firstRow="1" w:lastRow="0" w:firstColumn="0" w:lastColumn="0" w:noHBand="0" w:noVBand="1"/>
      </w:tblPr>
      <w:tblGrid>
        <w:gridCol w:w="3021"/>
        <w:gridCol w:w="6338"/>
      </w:tblGrid>
      <w:tr w:rsidR="00D11800" w14:paraId="66D84060" w14:textId="77777777">
        <w:trPr>
          <w:tblHeader/>
        </w:trPr>
        <w:tc>
          <w:tcPr>
            <w:tcW w:w="3021" w:type="dxa"/>
            <w:shd w:val="clear" w:color="auto" w:fill="F2F2F2"/>
          </w:tcPr>
          <w:p w14:paraId="12477DA4" w14:textId="77777777" w:rsidR="00D11800" w:rsidRDefault="00000000">
            <w:r>
              <w:t>Role</w:t>
            </w:r>
          </w:p>
        </w:tc>
        <w:tc>
          <w:tcPr>
            <w:tcW w:w="6338" w:type="dxa"/>
            <w:shd w:val="clear" w:color="auto" w:fill="F2F2F2"/>
          </w:tcPr>
          <w:p w14:paraId="5BABBF56" w14:textId="77777777" w:rsidR="00D11800" w:rsidRDefault="00000000">
            <w:r>
              <w:t>Responsibilities</w:t>
            </w:r>
          </w:p>
        </w:tc>
      </w:tr>
      <w:tr w:rsidR="00D11800" w14:paraId="2C404B67" w14:textId="77777777">
        <w:tc>
          <w:tcPr>
            <w:tcW w:w="3021" w:type="dxa"/>
          </w:tcPr>
          <w:p w14:paraId="112A7F91" w14:textId="77777777" w:rsidR="00D11800" w:rsidRDefault="00000000">
            <w:r>
              <w:t>Executive Steward</w:t>
            </w:r>
          </w:p>
        </w:tc>
        <w:tc>
          <w:tcPr>
            <w:tcW w:w="6338" w:type="dxa"/>
          </w:tcPr>
          <w:p w14:paraId="266C853D" w14:textId="06385CE6" w:rsidR="00D11800" w:rsidRDefault="00000000">
            <w:r>
              <w:t>Sponsors the program, approves policies and standards, resolves escalations</w:t>
            </w:r>
          </w:p>
        </w:tc>
      </w:tr>
      <w:tr w:rsidR="00D11800" w14:paraId="6FD7BCDD" w14:textId="77777777">
        <w:tc>
          <w:tcPr>
            <w:tcW w:w="3021" w:type="dxa"/>
          </w:tcPr>
          <w:p w14:paraId="39998AE1" w14:textId="77777777" w:rsidR="00D11800" w:rsidRDefault="00000000">
            <w:r>
              <w:t>Domain Data Owner</w:t>
            </w:r>
          </w:p>
        </w:tc>
        <w:tc>
          <w:tcPr>
            <w:tcW w:w="6338" w:type="dxa"/>
          </w:tcPr>
          <w:p w14:paraId="5271B91F" w14:textId="77777777" w:rsidR="00D11800" w:rsidRDefault="00000000">
            <w:r>
              <w:t>Accountable for a tax domain; approves access to restricted data, defines quality thresholds, certifies data products</w:t>
            </w:r>
          </w:p>
        </w:tc>
      </w:tr>
      <w:tr w:rsidR="00D11800" w14:paraId="356997B4" w14:textId="77777777">
        <w:tc>
          <w:tcPr>
            <w:tcW w:w="3021" w:type="dxa"/>
          </w:tcPr>
          <w:p w14:paraId="42756BFC" w14:textId="77777777" w:rsidR="00D11800" w:rsidRDefault="00000000">
            <w:r>
              <w:t>Data Custodian</w:t>
            </w:r>
          </w:p>
        </w:tc>
        <w:tc>
          <w:tcPr>
            <w:tcW w:w="6338" w:type="dxa"/>
          </w:tcPr>
          <w:p w14:paraId="2DBC8C92" w14:textId="77777777" w:rsidR="00D11800" w:rsidRDefault="00000000">
            <w:r>
              <w:t>Operates and safeguards data technically; implements controls, executes remediation, manages technical metadata</w:t>
            </w:r>
          </w:p>
        </w:tc>
      </w:tr>
    </w:tbl>
    <w:p w14:paraId="2EEDA5FD" w14:textId="77777777" w:rsidR="00D11800" w:rsidRDefault="00000000">
      <w:r>
        <w:t>Ownership is recorded against every dataset, glossary term and data product. Stewardship workflows handle quality exceptions, change requests, access approvals and policy exceptions, each with a recorded decision trail.</w:t>
      </w:r>
    </w:p>
    <w:p w14:paraId="6E05AD54" w14:textId="77777777" w:rsidR="00D11800" w:rsidRDefault="00000000">
      <w:pPr>
        <w:pStyle w:val="Heading3"/>
      </w:pPr>
      <w:r>
        <w:t>5.5 Metadata Management</w:t>
      </w:r>
    </w:p>
    <w:p w14:paraId="6AD76839" w14:textId="77777777" w:rsidR="00D11800" w:rsidRDefault="00000000">
      <w:r>
        <w:t>The platform manages three classes of metadata in one repository:</w:t>
      </w:r>
    </w:p>
    <w:p w14:paraId="64C64485" w14:textId="77777777" w:rsidR="00D11800" w:rsidRDefault="00000000">
      <w:pPr>
        <w:pStyle w:val="ListParagraph"/>
        <w:numPr>
          <w:ilvl w:val="0"/>
          <w:numId w:val="5"/>
        </w:numPr>
      </w:pPr>
      <w:r>
        <w:rPr>
          <w:b/>
        </w:rPr>
        <w:t>Business metadata:</w:t>
      </w:r>
      <w:r>
        <w:t xml:space="preserve"> terms, definitions, owners, policies and classification.</w:t>
      </w:r>
    </w:p>
    <w:p w14:paraId="253F9F39" w14:textId="77777777" w:rsidR="00D11800" w:rsidRDefault="00000000">
      <w:pPr>
        <w:pStyle w:val="ListParagraph"/>
        <w:numPr>
          <w:ilvl w:val="0"/>
          <w:numId w:val="5"/>
        </w:numPr>
      </w:pPr>
      <w:r>
        <w:rPr>
          <w:b/>
        </w:rPr>
        <w:t>Technical metadata:</w:t>
      </w:r>
      <w:r>
        <w:t xml:space="preserve"> schemas, data types, formats, source-to-target mappings and partitions.</w:t>
      </w:r>
    </w:p>
    <w:p w14:paraId="14CC1FAE" w14:textId="77777777" w:rsidR="00D11800" w:rsidRDefault="00000000">
      <w:pPr>
        <w:pStyle w:val="ListParagraph"/>
        <w:numPr>
          <w:ilvl w:val="0"/>
          <w:numId w:val="5"/>
        </w:numPr>
      </w:pPr>
      <w:r>
        <w:rPr>
          <w:b/>
        </w:rPr>
        <w:t>Operational metadata:</w:t>
      </w:r>
      <w:r>
        <w:t xml:space="preserve"> pipeline runs, load statistics, quality scores, timestamps and lineage events.</w:t>
      </w:r>
    </w:p>
    <w:p w14:paraId="75E8251C" w14:textId="77777777" w:rsidR="00D11800" w:rsidRDefault="00000000">
      <w:r>
        <w:t>Every source system is registered in the catalog before onboarding. Metadata is exchanged with the hub, processing, BI and MDM layers so that definitions, classification and lineage propagate to downstream consumers. The searchable catalog shows description, owner, steward, classification, quality score, certification status, lineage and usage guidance for each asset.</w:t>
      </w:r>
    </w:p>
    <w:p w14:paraId="65E48746" w14:textId="77777777" w:rsidR="00D11800" w:rsidRDefault="00000000">
      <w:pPr>
        <w:pStyle w:val="Heading3"/>
      </w:pPr>
      <w:r>
        <w:t>5.6 Data Lineage</w:t>
      </w:r>
    </w:p>
    <w:p w14:paraId="0B267C0C" w14:textId="77777777" w:rsidR="00D11800" w:rsidRDefault="00000000">
      <w:pPr>
        <w:pStyle w:val="ListParagraph"/>
        <w:numPr>
          <w:ilvl w:val="0"/>
          <w:numId w:val="6"/>
        </w:numPr>
      </w:pPr>
      <w:r>
        <w:t>End-to-end lineage from the originating source record, through GoldenGate, NiFi and Kafka ingestion, Bronze, Silver and Gold transformations, to Redis serving and BI reports.</w:t>
      </w:r>
    </w:p>
    <w:p w14:paraId="5E719640" w14:textId="77777777" w:rsidR="00D11800" w:rsidRDefault="00000000">
      <w:pPr>
        <w:pStyle w:val="ListParagraph"/>
        <w:numPr>
          <w:ilvl w:val="0"/>
          <w:numId w:val="6"/>
        </w:numPr>
      </w:pPr>
      <w:r>
        <w:t>Lineage is stored as a queryable, visual directed graph with column-level detail where supported.</w:t>
      </w:r>
    </w:p>
    <w:p w14:paraId="469DF070" w14:textId="77777777" w:rsidR="00D11800" w:rsidRDefault="00000000">
      <w:pPr>
        <w:pStyle w:val="ListParagraph"/>
        <w:numPr>
          <w:ilvl w:val="0"/>
          <w:numId w:val="6"/>
        </w:numPr>
      </w:pPr>
      <w:r>
        <w:t>Supports impact analysis, root-cause analysis for quality issues, and regulatory evidence of how a reported figure was derived.</w:t>
      </w:r>
    </w:p>
    <w:p w14:paraId="341DD4B3" w14:textId="77777777" w:rsidR="00D11800" w:rsidRDefault="00000000">
      <w:pPr>
        <w:pStyle w:val="ListParagraph"/>
        <w:numPr>
          <w:ilvl w:val="0"/>
          <w:numId w:val="6"/>
        </w:numPr>
      </w:pPr>
      <w:r>
        <w:t>AI/ML lineage links model outputs to the exact training dataset version through the Cloudera AI model registry.</w:t>
      </w:r>
    </w:p>
    <w:p w14:paraId="7775B2F6" w14:textId="77777777" w:rsidR="00D11800" w:rsidRDefault="00000000">
      <w:pPr>
        <w:pStyle w:val="Heading3"/>
      </w:pPr>
      <w:r>
        <w:t>5.7 Master Data Management</w:t>
      </w:r>
    </w:p>
    <w:p w14:paraId="795F82B2" w14:textId="77777777" w:rsidR="00D11800" w:rsidRDefault="00000000">
      <w:pPr>
        <w:pStyle w:val="ListParagraph"/>
        <w:numPr>
          <w:ilvl w:val="0"/>
          <w:numId w:val="7"/>
        </w:numPr>
      </w:pPr>
      <w:r>
        <w:rPr>
          <w:b/>
        </w:rPr>
        <w:t>Golden Records</w:t>
      </w:r>
      <w:r>
        <w:t xml:space="preserve"> for Taxpayer, Legal Entity, Financial Institution, Tax Product, Filing Period and Geographic Unit, produced by configurable matching and survivorship rules for identity resolution across IRIS, eFBR, RegSys and TAMS.</w:t>
      </w:r>
    </w:p>
    <w:p w14:paraId="6025E644" w14:textId="77777777" w:rsidR="00D11800" w:rsidRDefault="00000000">
      <w:pPr>
        <w:pStyle w:val="ListParagraph"/>
        <w:numPr>
          <w:ilvl w:val="0"/>
          <w:numId w:val="7"/>
        </w:numPr>
      </w:pPr>
      <w:r>
        <w:rPr>
          <w:b/>
        </w:rPr>
        <w:lastRenderedPageBreak/>
        <w:t>Reference Data Management</w:t>
      </w:r>
      <w:r>
        <w:t xml:space="preserve"> for fiscal code sets (for example tax types and filing statuses) with a Draft-to-Retired lifecycle, approval, versioning and effective dating.</w:t>
      </w:r>
    </w:p>
    <w:p w14:paraId="28FFA56E" w14:textId="77777777" w:rsidR="00D11800" w:rsidRDefault="00000000">
      <w:pPr>
        <w:pStyle w:val="ListParagraph"/>
        <w:numPr>
          <w:ilvl w:val="0"/>
          <w:numId w:val="7"/>
        </w:numPr>
      </w:pPr>
      <w:r>
        <w:rPr>
          <w:b/>
        </w:rPr>
        <w:t>Exposure</w:t>
      </w:r>
      <w:r>
        <w:t xml:space="preserve"> through a versioned Master Data API published behind WSO2 API Manager.</w:t>
      </w:r>
    </w:p>
    <w:p w14:paraId="727A47EC" w14:textId="77777777" w:rsidR="00D11800" w:rsidRDefault="00000000">
      <w:pPr>
        <w:pStyle w:val="ListParagraph"/>
        <w:numPr>
          <w:ilvl w:val="0"/>
          <w:numId w:val="7"/>
        </w:numPr>
      </w:pPr>
      <w:r>
        <w:rPr>
          <w:b/>
        </w:rPr>
        <w:t>Security and audit:</w:t>
      </w:r>
      <w:r>
        <w:t xml:space="preserve"> MDM access follows the CDH RBAC and ABAC model, and Golden Record changes are traceable to the contributing sources.</w:t>
      </w:r>
    </w:p>
    <w:p w14:paraId="58261634" w14:textId="77777777" w:rsidR="00D11800" w:rsidRDefault="00000000">
      <w:pPr>
        <w:pStyle w:val="Heading2"/>
      </w:pPr>
      <w:r>
        <w:t>6. Integration with the CDH Platform</w:t>
      </w:r>
    </w:p>
    <w:p w14:paraId="482EB144" w14:textId="77777777" w:rsidR="00D11800" w:rsidRDefault="00000000">
      <w:pPr>
        <w:pStyle w:val="ListParagraph"/>
        <w:numPr>
          <w:ilvl w:val="0"/>
          <w:numId w:val="8"/>
        </w:numPr>
      </w:pPr>
      <w:r>
        <w:rPr>
          <w:b/>
        </w:rPr>
        <w:t>Publication gate:</w:t>
      </w:r>
      <w:r>
        <w:t xml:space="preserve"> a dataset reaches the Gold layer or a BI consumer only when it has a glossary term, a classification label, a named owning steward and a passing Data Quality Score.</w:t>
      </w:r>
    </w:p>
    <w:p w14:paraId="42535884" w14:textId="77777777" w:rsidR="00D11800" w:rsidRDefault="00000000">
      <w:pPr>
        <w:pStyle w:val="ListParagraph"/>
        <w:numPr>
          <w:ilvl w:val="0"/>
          <w:numId w:val="8"/>
        </w:numPr>
      </w:pPr>
      <w:r>
        <w:rPr>
          <w:b/>
        </w:rPr>
        <w:t>Identity:</w:t>
      </w:r>
      <w:r>
        <w:t xml:space="preserve"> the tool authenticates through the central SSO federated with FBR AD/LDAP, with role- and workflow-based permissions for stewards, owners and custodians.</w:t>
      </w:r>
    </w:p>
    <w:p w14:paraId="12779F7D" w14:textId="77777777" w:rsidR="00D11800" w:rsidRDefault="00000000">
      <w:pPr>
        <w:pStyle w:val="ListParagraph"/>
        <w:numPr>
          <w:ilvl w:val="0"/>
          <w:numId w:val="8"/>
        </w:numPr>
      </w:pPr>
      <w:r>
        <w:rPr>
          <w:b/>
        </w:rPr>
        <w:t>Audit:</w:t>
      </w:r>
      <w:r>
        <w:t xml:space="preserve"> governance activity, including glossary and policy changes, steward approvals and quality certifications, is logged and streamed to the enterprise SIEM.</w:t>
      </w:r>
    </w:p>
    <w:p w14:paraId="122E4898" w14:textId="77777777" w:rsidR="00D11800" w:rsidRDefault="00000000">
      <w:pPr>
        <w:pStyle w:val="ListParagraph"/>
        <w:numPr>
          <w:ilvl w:val="0"/>
          <w:numId w:val="8"/>
        </w:numPr>
      </w:pPr>
      <w:r>
        <w:rPr>
          <w:b/>
        </w:rPr>
        <w:t>Catalog as control register:</w:t>
      </w:r>
      <w:r>
        <w:t xml:space="preserve"> only registered, quality-certified datasets are published as data products through WSO2 API Manager.</w:t>
      </w:r>
    </w:p>
    <w:p w14:paraId="14A39BF4" w14:textId="77777777" w:rsidR="00D11800" w:rsidRDefault="00000000">
      <w:pPr>
        <w:pStyle w:val="Heading2"/>
      </w:pPr>
      <w:r>
        <w:t>7. On-Premises Deployment and Resilience</w:t>
      </w:r>
    </w:p>
    <w:p w14:paraId="63A2A3F9" w14:textId="77777777" w:rsidR="00D11800" w:rsidRDefault="00000000">
      <w:r>
        <w:t>The governance platform runs entirely within FBR's on-premises perimeter, with no dependency on public cloud or external networks. It is protected by the CDH resilience design, including high availability, encrypted and immutable backups, and replication to the DR site, so that governance metadata, policies and history remain recoverable after a failover.</w:t>
      </w:r>
    </w:p>
    <w:p w14:paraId="71797A78" w14:textId="77777777" w:rsidR="00D11800" w:rsidRDefault="00000000">
      <w:pPr>
        <w:pStyle w:val="Heading2"/>
      </w:pPr>
      <w:r>
        <w:t>8. Summary</w:t>
      </w:r>
    </w:p>
    <w:p w14:paraId="5C5C46D4" w14:textId="77777777" w:rsidR="00D11800" w:rsidRDefault="00000000">
      <w:r>
        <w:t>Semarchy Data Platform gives FBR a single, enterprise-supported governance tool covering Business Glossary, Data Quality, Data Classification, Data Ownership and Stewardship, Metadata Management, Data Lineage and Master Data Management, aligned to DAMA-DMBOK2. Vendor support with a defined, severity-based SLA ensures the platform remains supported, patched and upgradable throughout the contract, and no community-supported or unsupported open-source tool is part of the solution.</w:t>
      </w:r>
    </w:p>
    <w:sectPr w:rsidR="00D118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8EC"/>
    <w:multiLevelType w:val="hybridMultilevel"/>
    <w:tmpl w:val="6170899E"/>
    <w:lvl w:ilvl="0" w:tplc="021AE754">
      <w:start w:val="1"/>
      <w:numFmt w:val="bullet"/>
      <w:lvlText w:val="•"/>
      <w:lvlJc w:val="left"/>
      <w:pPr>
        <w:ind w:left="720" w:hanging="360"/>
      </w:pPr>
    </w:lvl>
    <w:lvl w:ilvl="1" w:tplc="22D4820C">
      <w:start w:val="1"/>
      <w:numFmt w:val="bullet"/>
      <w:lvlText w:val="o"/>
      <w:lvlJc w:val="left"/>
      <w:pPr>
        <w:ind w:left="1440" w:hanging="360"/>
      </w:pPr>
    </w:lvl>
    <w:lvl w:ilvl="2" w:tplc="97A286F6">
      <w:start w:val="1"/>
      <w:numFmt w:val="bullet"/>
      <w:lvlText w:val="▪"/>
      <w:lvlJc w:val="left"/>
      <w:pPr>
        <w:ind w:left="2160" w:hanging="360"/>
      </w:pPr>
    </w:lvl>
    <w:lvl w:ilvl="3" w:tplc="132CD874">
      <w:start w:val="1"/>
      <w:numFmt w:val="bullet"/>
      <w:lvlText w:val="•"/>
      <w:lvlJc w:val="left"/>
      <w:pPr>
        <w:ind w:left="2880" w:hanging="360"/>
      </w:pPr>
    </w:lvl>
    <w:lvl w:ilvl="4" w:tplc="5BAA1220">
      <w:start w:val="1"/>
      <w:numFmt w:val="bullet"/>
      <w:lvlText w:val="o"/>
      <w:lvlJc w:val="left"/>
      <w:pPr>
        <w:ind w:left="3600" w:hanging="360"/>
      </w:pPr>
    </w:lvl>
    <w:lvl w:ilvl="5" w:tplc="A708547C">
      <w:start w:val="1"/>
      <w:numFmt w:val="bullet"/>
      <w:lvlText w:val="▪"/>
      <w:lvlJc w:val="left"/>
      <w:pPr>
        <w:ind w:left="4320" w:hanging="360"/>
      </w:pPr>
    </w:lvl>
    <w:lvl w:ilvl="6" w:tplc="96C8DBB4">
      <w:start w:val="1"/>
      <w:numFmt w:val="bullet"/>
      <w:lvlText w:val="•"/>
      <w:lvlJc w:val="left"/>
      <w:pPr>
        <w:ind w:left="5040" w:hanging="360"/>
      </w:pPr>
    </w:lvl>
    <w:lvl w:ilvl="7" w:tplc="4718E924">
      <w:start w:val="1"/>
      <w:numFmt w:val="bullet"/>
      <w:lvlText w:val="o"/>
      <w:lvlJc w:val="left"/>
      <w:pPr>
        <w:ind w:left="5760" w:hanging="360"/>
      </w:pPr>
    </w:lvl>
    <w:lvl w:ilvl="8" w:tplc="AD901FD4">
      <w:start w:val="1"/>
      <w:numFmt w:val="bullet"/>
      <w:lvlText w:val="▪"/>
      <w:lvlJc w:val="left"/>
      <w:pPr>
        <w:ind w:left="6480" w:hanging="360"/>
      </w:pPr>
    </w:lvl>
  </w:abstractNum>
  <w:abstractNum w:abstractNumId="1" w15:restartNumberingAfterBreak="0">
    <w:nsid w:val="4A487CA8"/>
    <w:multiLevelType w:val="hybridMultilevel"/>
    <w:tmpl w:val="0C6A7980"/>
    <w:lvl w:ilvl="0" w:tplc="8BF6DFB4">
      <w:start w:val="1"/>
      <w:numFmt w:val="decimal"/>
      <w:lvlText w:val="%1."/>
      <w:lvlJc w:val="left"/>
      <w:pPr>
        <w:ind w:left="720" w:hanging="360"/>
      </w:pPr>
    </w:lvl>
    <w:lvl w:ilvl="1" w:tplc="B78E5332">
      <w:start w:val="1"/>
      <w:numFmt w:val="lowerLetter"/>
      <w:lvlText w:val="%2."/>
      <w:lvlJc w:val="left"/>
      <w:pPr>
        <w:ind w:left="1440" w:hanging="360"/>
      </w:pPr>
    </w:lvl>
    <w:lvl w:ilvl="2" w:tplc="189A54B0">
      <w:start w:val="1"/>
      <w:numFmt w:val="lowerRoman"/>
      <w:lvlText w:val="%3."/>
      <w:lvlJc w:val="left"/>
      <w:pPr>
        <w:ind w:left="2160" w:hanging="360"/>
      </w:pPr>
    </w:lvl>
    <w:lvl w:ilvl="3" w:tplc="6D9EE838">
      <w:start w:val="1"/>
      <w:numFmt w:val="decimal"/>
      <w:lvlText w:val="%4."/>
      <w:lvlJc w:val="left"/>
      <w:pPr>
        <w:ind w:left="2880" w:hanging="360"/>
      </w:pPr>
    </w:lvl>
    <w:lvl w:ilvl="4" w:tplc="4B4AEA68">
      <w:start w:val="1"/>
      <w:numFmt w:val="lowerLetter"/>
      <w:lvlText w:val="%5."/>
      <w:lvlJc w:val="left"/>
      <w:pPr>
        <w:ind w:left="3600" w:hanging="360"/>
      </w:pPr>
    </w:lvl>
    <w:lvl w:ilvl="5" w:tplc="2E54ADDE">
      <w:start w:val="1"/>
      <w:numFmt w:val="lowerRoman"/>
      <w:lvlText w:val="%6."/>
      <w:lvlJc w:val="left"/>
      <w:pPr>
        <w:ind w:left="4320" w:hanging="360"/>
      </w:pPr>
    </w:lvl>
    <w:lvl w:ilvl="6" w:tplc="BB9012FA">
      <w:start w:val="1"/>
      <w:numFmt w:val="decimal"/>
      <w:lvlText w:val="%7."/>
      <w:lvlJc w:val="left"/>
      <w:pPr>
        <w:ind w:left="5040" w:hanging="360"/>
      </w:pPr>
    </w:lvl>
    <w:lvl w:ilvl="7" w:tplc="460E1A2C">
      <w:start w:val="1"/>
      <w:numFmt w:val="lowerLetter"/>
      <w:lvlText w:val="%8."/>
      <w:lvlJc w:val="left"/>
      <w:pPr>
        <w:ind w:left="5760" w:hanging="360"/>
      </w:pPr>
    </w:lvl>
    <w:lvl w:ilvl="8" w:tplc="716CCEE8">
      <w:start w:val="1"/>
      <w:numFmt w:val="lowerRoman"/>
      <w:lvlText w:val="%9."/>
      <w:lvlJc w:val="left"/>
      <w:pPr>
        <w:ind w:left="6480" w:hanging="360"/>
      </w:pPr>
    </w:lvl>
  </w:abstractNum>
  <w:num w:numId="1" w16cid:durableId="1137651706">
    <w:abstractNumId w:val="0"/>
  </w:num>
  <w:num w:numId="2" w16cid:durableId="1567376197">
    <w:abstractNumId w:val="0"/>
  </w:num>
  <w:num w:numId="3" w16cid:durableId="2006130311">
    <w:abstractNumId w:val="0"/>
  </w:num>
  <w:num w:numId="4" w16cid:durableId="1218904414">
    <w:abstractNumId w:val="0"/>
  </w:num>
  <w:num w:numId="5" w16cid:durableId="1320186476">
    <w:abstractNumId w:val="0"/>
  </w:num>
  <w:num w:numId="6" w16cid:durableId="1587231374">
    <w:abstractNumId w:val="0"/>
  </w:num>
  <w:num w:numId="7" w16cid:durableId="856819584">
    <w:abstractNumId w:val="0"/>
  </w:num>
  <w:num w:numId="8" w16cid:durableId="624121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11800"/>
    <w:rsid w:val="00913DDE"/>
    <w:rsid w:val="00BF0DCC"/>
    <w:rsid w:val="00D11800"/>
    <w:rsid w:val="00E23D99"/>
    <w:rsid w:val="00E359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18281"/>
  <w15:docId w15:val="{1D2CF830-F7B3-4FF2-ADCD-0D0952C33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1495</Words>
  <Characters>8528</Characters>
  <Application>Microsoft Office Word</Application>
  <DocSecurity>0</DocSecurity>
  <Lines>71</Lines>
  <Paragraphs>20</Paragraphs>
  <ScaleCrop>false</ScaleCrop>
  <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Governance Tool</dc:title>
  <dc:description>Claude Docs node/50e2fef9-7a08@1 docx-w7</dc:description>
  <cp:lastModifiedBy>Ishtiaq Hussain</cp:lastModifiedBy>
  <cp:revision>3</cp:revision>
  <dcterms:created xsi:type="dcterms:W3CDTF">2026-10-21T20:34:00Z</dcterms:created>
  <dcterms:modified xsi:type="dcterms:W3CDTF">2026-10-22T00:16:00Z</dcterms:modified>
</cp:coreProperties>
</file>