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E143" w14:textId="77777777" w:rsidR="00681A49" w:rsidRDefault="00000000" w:rsidP="00982EE2">
      <w:pPr>
        <w:pStyle w:val="Heading1"/>
        <w:jc w:val="both"/>
      </w:pPr>
      <w:r>
        <w:t>Section 7: Real-Time / Streaming Architecture</w:t>
      </w:r>
    </w:p>
    <w:p w14:paraId="099198B7" w14:textId="77777777" w:rsidR="00681A49" w:rsidRDefault="00000000" w:rsidP="00982EE2">
      <w:pPr>
        <w:pStyle w:val="Heading2"/>
        <w:jc w:val="both"/>
      </w:pPr>
      <w:r>
        <w:t>7.1 Overview and Design Intent</w:t>
      </w:r>
    </w:p>
    <w:p w14:paraId="319C61FF" w14:textId="32D1428C" w:rsidR="00681A49" w:rsidRDefault="00000000" w:rsidP="00982EE2">
      <w:pPr>
        <w:jc w:val="both"/>
      </w:pPr>
      <w:r>
        <w:t xml:space="preserve">The CDH real-time layer delivers continuous, low-latency movement and processing events and is designed to accommodate future event sources </w:t>
      </w:r>
      <w:r w:rsidR="00C304DC">
        <w:t>also</w:t>
      </w:r>
      <w:r>
        <w:t>. It is a first-class capability of the platform, independent of the batch ELT path, and operates entirely within FBR's on-premises perimeter with no dependency on public cloud services.</w:t>
      </w:r>
    </w:p>
    <w:p w14:paraId="57685258" w14:textId="77777777" w:rsidR="00681A49" w:rsidRDefault="00000000" w:rsidP="00982EE2">
      <w:pPr>
        <w:jc w:val="both"/>
      </w:pPr>
      <w:r>
        <w:t>The layer is built on four principles:</w:t>
      </w:r>
    </w:p>
    <w:p w14:paraId="582BEA96" w14:textId="77777777" w:rsidR="00681A49" w:rsidRDefault="00000000" w:rsidP="00982EE2">
      <w:pPr>
        <w:pStyle w:val="ListParagraph"/>
        <w:numPr>
          <w:ilvl w:val="0"/>
          <w:numId w:val="2"/>
        </w:numPr>
        <w:jc w:val="both"/>
      </w:pPr>
      <w:r>
        <w:rPr>
          <w:b/>
        </w:rPr>
        <w:t xml:space="preserve">Durable, </w:t>
      </w:r>
      <w:proofErr w:type="spellStart"/>
      <w:r>
        <w:rPr>
          <w:b/>
        </w:rPr>
        <w:t>replayable</w:t>
      </w:r>
      <w:proofErr w:type="spellEnd"/>
      <w:r>
        <w:rPr>
          <w:b/>
        </w:rPr>
        <w:t xml:space="preserve"> backbone.</w:t>
      </w:r>
      <w:r>
        <w:t xml:space="preserve"> Every change event is persisted in Cloudera Streams (Apache Kafka) before any consumer processes it, so downstream failures never cause data loss and any consumer can be rewound and replayed.</w:t>
      </w:r>
    </w:p>
    <w:p w14:paraId="27D3568F" w14:textId="77777777" w:rsidR="00681A49" w:rsidRDefault="00000000" w:rsidP="00982EE2">
      <w:pPr>
        <w:pStyle w:val="ListParagraph"/>
        <w:numPr>
          <w:ilvl w:val="0"/>
          <w:numId w:val="2"/>
        </w:numPr>
        <w:jc w:val="both"/>
      </w:pPr>
      <w:r>
        <w:rPr>
          <w:b/>
        </w:rPr>
        <w:t>Zero source impact.</w:t>
      </w:r>
      <w:r>
        <w:t xml:space="preserve"> Oracle </w:t>
      </w:r>
      <w:proofErr w:type="spellStart"/>
      <w:r>
        <w:t>GoldenGate</w:t>
      </w:r>
      <w:proofErr w:type="spellEnd"/>
      <w:r>
        <w:t xml:space="preserve"> 26ai mines transaction logs rather than querying source tables, so IRIS, </w:t>
      </w:r>
      <w:proofErr w:type="spellStart"/>
      <w:r>
        <w:t>eFBR</w:t>
      </w:r>
      <w:proofErr w:type="spellEnd"/>
      <w:r>
        <w:t xml:space="preserve">, </w:t>
      </w:r>
      <w:proofErr w:type="spellStart"/>
      <w:r>
        <w:t>RegSys</w:t>
      </w:r>
      <w:proofErr w:type="spellEnd"/>
      <w:r>
        <w:t xml:space="preserve"> and TAMS performance is not degraded.</w:t>
      </w:r>
    </w:p>
    <w:p w14:paraId="71AC6C29" w14:textId="77777777" w:rsidR="00681A49" w:rsidRDefault="00000000" w:rsidP="00982EE2">
      <w:pPr>
        <w:pStyle w:val="ListParagraph"/>
        <w:numPr>
          <w:ilvl w:val="0"/>
          <w:numId w:val="2"/>
        </w:numPr>
        <w:jc w:val="both"/>
      </w:pPr>
      <w:r>
        <w:rPr>
          <w:b/>
        </w:rPr>
        <w:t>Exactly-once outcomes.</w:t>
      </w:r>
      <w:r>
        <w:t xml:space="preserve"> Apache Flink, with checkpointed state and transactional sinks, provides exactly-once processing from Kafka through to the Bronze, Silver and Cache layers.</w:t>
      </w:r>
    </w:p>
    <w:p w14:paraId="7EBE5448" w14:textId="77777777" w:rsidR="00681A49" w:rsidRDefault="00000000" w:rsidP="00982EE2">
      <w:pPr>
        <w:pStyle w:val="ListParagraph"/>
        <w:numPr>
          <w:ilvl w:val="0"/>
          <w:numId w:val="2"/>
        </w:numPr>
        <w:jc w:val="both"/>
      </w:pPr>
      <w:r>
        <w:rPr>
          <w:b/>
        </w:rPr>
        <w:t>Governed streaming.</w:t>
      </w:r>
      <w:r>
        <w:t xml:space="preserve"> </w:t>
      </w:r>
      <w:r w:rsidR="00435B3D">
        <w:t xml:space="preserve">SEMARCHY DATA PLATFORM </w:t>
      </w:r>
      <w:r>
        <w:t>data quality and reference-data rules are applied inline; records failing critical rules are quarantined for stewardship without halting the pipeline.</w:t>
      </w:r>
    </w:p>
    <w:p w14:paraId="66B443DE" w14:textId="77777777" w:rsidR="00681A49" w:rsidRDefault="00000000" w:rsidP="00982EE2">
      <w:pPr>
        <w:pStyle w:val="Heading2"/>
        <w:jc w:val="both"/>
      </w:pPr>
      <w:r>
        <w:lastRenderedPageBreak/>
        <w:t>7.2 Streaming Architecture Diagram</w:t>
      </w:r>
    </w:p>
    <w:p w14:paraId="42671F95" w14:textId="211CA738" w:rsidR="001A0682" w:rsidRDefault="001A0682" w:rsidP="00982EE2">
      <w:pPr>
        <w:jc w:val="both"/>
      </w:pPr>
      <w:r>
        <w:rPr>
          <w:noProof/>
        </w:rPr>
        <w:drawing>
          <wp:inline distT="0" distB="0" distL="0" distR="0" wp14:anchorId="6347C97C" wp14:editId="202FBF24">
            <wp:extent cx="5943600" cy="3959447"/>
            <wp:effectExtent l="0" t="0" r="0" b="0"/>
            <wp:docPr id="16364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59447"/>
                    </a:xfrm>
                    <a:prstGeom prst="rect">
                      <a:avLst/>
                    </a:prstGeom>
                    <a:noFill/>
                    <a:ln>
                      <a:noFill/>
                    </a:ln>
                  </pic:spPr>
                </pic:pic>
              </a:graphicData>
            </a:graphic>
          </wp:inline>
        </w:drawing>
      </w:r>
    </w:p>
    <w:p w14:paraId="2C9C8347" w14:textId="1598C0F9" w:rsidR="00681A49" w:rsidRDefault="00000000" w:rsidP="001A0682">
      <w:pPr>
        <w:jc w:val="both"/>
      </w:pPr>
      <w:r>
        <w:t>The streaming path is shown below and corresponds to zones 1, 2, 3, 5, 10 and 11 of the Reference Architecture Diagram</w:t>
      </w:r>
      <w:r w:rsidR="001A0682">
        <w:t xml:space="preserve"> above</w:t>
      </w:r>
    </w:p>
    <w:p w14:paraId="0B64F64A" w14:textId="77777777" w:rsidR="00435B3D" w:rsidRDefault="00435B3D" w:rsidP="00982EE2">
      <w:pPr>
        <w:jc w:val="both"/>
        <w:rPr>
          <w:b/>
        </w:rPr>
      </w:pPr>
      <w:r w:rsidRPr="00435B3D">
        <w:rPr>
          <w:b/>
          <w:noProof/>
        </w:rPr>
        <w:drawing>
          <wp:inline distT="0" distB="0" distL="0" distR="0" wp14:anchorId="16A03C7C" wp14:editId="48211C4A">
            <wp:extent cx="5943600" cy="2599690"/>
            <wp:effectExtent l="0" t="0" r="0" b="0"/>
            <wp:docPr id="47477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3124" name=""/>
                    <pic:cNvPicPr/>
                  </pic:nvPicPr>
                  <pic:blipFill>
                    <a:blip r:embed="rId6"/>
                    <a:stretch>
                      <a:fillRect/>
                    </a:stretch>
                  </pic:blipFill>
                  <pic:spPr>
                    <a:xfrm>
                      <a:off x="0" y="0"/>
                      <a:ext cx="5943600" cy="2599690"/>
                    </a:xfrm>
                    <a:prstGeom prst="rect">
                      <a:avLst/>
                    </a:prstGeom>
                  </pic:spPr>
                </pic:pic>
              </a:graphicData>
            </a:graphic>
          </wp:inline>
        </w:drawing>
      </w:r>
    </w:p>
    <w:p w14:paraId="34CA65F2" w14:textId="77777777" w:rsidR="002C01F4" w:rsidRDefault="002C01F4" w:rsidP="00982EE2">
      <w:pPr>
        <w:jc w:val="both"/>
        <w:rPr>
          <w:b/>
        </w:rPr>
      </w:pPr>
    </w:p>
    <w:p w14:paraId="7E11F314" w14:textId="77777777" w:rsidR="002C01F4" w:rsidRDefault="002C01F4" w:rsidP="00982EE2">
      <w:pPr>
        <w:jc w:val="both"/>
        <w:rPr>
          <w:b/>
        </w:rPr>
      </w:pPr>
    </w:p>
    <w:p w14:paraId="3B4930E7" w14:textId="53B5BC9F" w:rsidR="00681A49" w:rsidRDefault="00000000" w:rsidP="00982EE2">
      <w:pPr>
        <w:jc w:val="both"/>
      </w:pPr>
      <w:r>
        <w:rPr>
          <w:b/>
        </w:rPr>
        <w:lastRenderedPageBreak/>
        <w:t>Flow summary</w:t>
      </w:r>
    </w:p>
    <w:p w14:paraId="01E5D45B" w14:textId="77777777" w:rsidR="00681A49" w:rsidRDefault="00000000" w:rsidP="00982EE2">
      <w:pPr>
        <w:pStyle w:val="ListParagraph"/>
        <w:numPr>
          <w:ilvl w:val="0"/>
          <w:numId w:val="3"/>
        </w:numPr>
        <w:jc w:val="both"/>
      </w:pPr>
      <w:proofErr w:type="spellStart"/>
      <w:r>
        <w:t>GoldenGate</w:t>
      </w:r>
      <w:proofErr w:type="spellEnd"/>
      <w:r>
        <w:t xml:space="preserve"> captures committed INSERT/UPDATE/DELETE events from source redo/transaction logs and publishes them to Kafka topics. </w:t>
      </w:r>
      <w:proofErr w:type="spellStart"/>
      <w:r>
        <w:t>NiFi</w:t>
      </w:r>
      <w:proofErr w:type="spellEnd"/>
      <w:r>
        <w:t xml:space="preserve"> publishes API, file and other heterogeneous feeds to the same backbone.</w:t>
      </w:r>
    </w:p>
    <w:p w14:paraId="691050A4" w14:textId="77777777" w:rsidR="00681A49" w:rsidRDefault="00000000" w:rsidP="00982EE2">
      <w:pPr>
        <w:pStyle w:val="ListParagraph"/>
        <w:numPr>
          <w:ilvl w:val="0"/>
          <w:numId w:val="3"/>
        </w:numPr>
        <w:jc w:val="both"/>
      </w:pPr>
      <w:r>
        <w:t>Kafka retains events durably with replication across brokers, partitioned by business key (for example NTN) to preserve per-taxpayer ordering.</w:t>
      </w:r>
    </w:p>
    <w:p w14:paraId="31F29C84" w14:textId="77777777" w:rsidR="00681A49" w:rsidRDefault="00000000" w:rsidP="00982EE2">
      <w:pPr>
        <w:pStyle w:val="ListParagraph"/>
        <w:numPr>
          <w:ilvl w:val="0"/>
          <w:numId w:val="3"/>
        </w:numPr>
        <w:jc w:val="both"/>
      </w:pPr>
      <w:r>
        <w:t xml:space="preserve">Flink consumes topics, performs schema validation, inline data quality checks, enrichment against </w:t>
      </w:r>
      <w:proofErr w:type="spellStart"/>
      <w:r w:rsidR="00435B3D">
        <w:t>Semarchy</w:t>
      </w:r>
      <w:proofErr w:type="spellEnd"/>
      <w:r>
        <w:t xml:space="preserve"> master and reference data, and stateful computations such as windowed aggregations and feature refresh.</w:t>
      </w:r>
    </w:p>
    <w:p w14:paraId="436B44E0" w14:textId="77777777" w:rsidR="00681A49" w:rsidRDefault="00000000" w:rsidP="00982EE2">
      <w:pPr>
        <w:pStyle w:val="ListParagraph"/>
        <w:numPr>
          <w:ilvl w:val="0"/>
          <w:numId w:val="3"/>
        </w:numPr>
        <w:jc w:val="both"/>
      </w:pPr>
      <w:r>
        <w:t xml:space="preserve">Flink writes validated events to the </w:t>
      </w:r>
      <w:proofErr w:type="gramStart"/>
      <w:r>
        <w:t>Bronze</w:t>
      </w:r>
      <w:proofErr w:type="gramEnd"/>
      <w:r>
        <w:t xml:space="preserve"> layer on HPE </w:t>
      </w:r>
      <w:proofErr w:type="spellStart"/>
      <w:r>
        <w:t>Alletra</w:t>
      </w:r>
      <w:proofErr w:type="spellEnd"/>
      <w:r>
        <w:t xml:space="preserve"> in Iceberg/Parquet, refreshes the Redis Enterprise cache, feeds the Cloudera AI online feature path, and routes failed records to quarantine topics.</w:t>
      </w:r>
    </w:p>
    <w:p w14:paraId="053E25D0" w14:textId="77777777" w:rsidR="00681A49" w:rsidRDefault="00000000" w:rsidP="00982EE2">
      <w:pPr>
        <w:pStyle w:val="ListParagraph"/>
        <w:numPr>
          <w:ilvl w:val="0"/>
          <w:numId w:val="3"/>
        </w:numPr>
        <w:jc w:val="both"/>
      </w:pPr>
      <w:r>
        <w:t>Spark and ODI promote data from Bronze to Silver and Gold; Gold changes trigger cache invalidation or refresh so that APIs and AI inference read current values.</w:t>
      </w:r>
    </w:p>
    <w:p w14:paraId="3C3D4746" w14:textId="77777777" w:rsidR="00681A49" w:rsidRDefault="00000000" w:rsidP="00982EE2">
      <w:pPr>
        <w:pStyle w:val="Heading2"/>
        <w:jc w:val="both"/>
      </w:pPr>
      <w:r>
        <w:t>7.3 Streaming Compute Cluster Design</w:t>
      </w:r>
    </w:p>
    <w:p w14:paraId="15E41070" w14:textId="77777777" w:rsidR="00681A49" w:rsidRDefault="00000000" w:rsidP="00982EE2">
      <w:pPr>
        <w:jc w:val="both"/>
      </w:pPr>
      <w:r>
        <w:t xml:space="preserve">The streaming compute estate is </w:t>
      </w:r>
      <w:proofErr w:type="spellStart"/>
      <w:r>
        <w:t>organised</w:t>
      </w:r>
      <w:proofErr w:type="spellEnd"/>
      <w:r>
        <w:t xml:space="preserve"> into dedicated, independently scalable clusters, so that messaging, stream processing, ingestion and serving each scale and fail independently.</w:t>
      </w:r>
    </w:p>
    <w:tbl>
      <w:tblPr>
        <w:tblStyle w:val="TableGrid"/>
        <w:tblW w:w="0" w:type="auto"/>
        <w:tblLayout w:type="fixed"/>
        <w:tblLook w:val="0420" w:firstRow="1" w:lastRow="0" w:firstColumn="0" w:lastColumn="0" w:noHBand="0" w:noVBand="1"/>
      </w:tblPr>
      <w:tblGrid>
        <w:gridCol w:w="1899"/>
        <w:gridCol w:w="2541"/>
        <w:gridCol w:w="4920"/>
      </w:tblGrid>
      <w:tr w:rsidR="00681A49" w14:paraId="02F5D237" w14:textId="77777777">
        <w:trPr>
          <w:tblHeader/>
        </w:trPr>
        <w:tc>
          <w:tcPr>
            <w:tcW w:w="1899" w:type="dxa"/>
            <w:shd w:val="clear" w:color="auto" w:fill="F2F2F2"/>
          </w:tcPr>
          <w:p w14:paraId="69576184" w14:textId="77777777" w:rsidR="00681A49" w:rsidRDefault="00000000" w:rsidP="00982EE2">
            <w:pPr>
              <w:jc w:val="both"/>
            </w:pPr>
            <w:r>
              <w:t>Cluster</w:t>
            </w:r>
          </w:p>
        </w:tc>
        <w:tc>
          <w:tcPr>
            <w:tcW w:w="2541" w:type="dxa"/>
            <w:shd w:val="clear" w:color="auto" w:fill="F2F2F2"/>
          </w:tcPr>
          <w:p w14:paraId="5844F412" w14:textId="77777777" w:rsidR="00681A49" w:rsidRDefault="00000000" w:rsidP="00982EE2">
            <w:pPr>
              <w:jc w:val="both"/>
            </w:pPr>
            <w:r>
              <w:t>Technology</w:t>
            </w:r>
          </w:p>
        </w:tc>
        <w:tc>
          <w:tcPr>
            <w:tcW w:w="4920" w:type="dxa"/>
            <w:shd w:val="clear" w:color="auto" w:fill="F2F2F2"/>
          </w:tcPr>
          <w:p w14:paraId="68543EB0" w14:textId="77777777" w:rsidR="00681A49" w:rsidRDefault="00000000" w:rsidP="00982EE2">
            <w:pPr>
              <w:jc w:val="both"/>
            </w:pPr>
            <w:r>
              <w:t>Design characteristics</w:t>
            </w:r>
          </w:p>
        </w:tc>
      </w:tr>
      <w:tr w:rsidR="00681A49" w14:paraId="51805E3B" w14:textId="77777777">
        <w:tc>
          <w:tcPr>
            <w:tcW w:w="1899" w:type="dxa"/>
          </w:tcPr>
          <w:p w14:paraId="2B8E2727" w14:textId="77777777" w:rsidR="00681A49" w:rsidRDefault="00000000" w:rsidP="00982EE2">
            <w:pPr>
              <w:jc w:val="both"/>
            </w:pPr>
            <w:r>
              <w:t>CDC capture tier</w:t>
            </w:r>
          </w:p>
        </w:tc>
        <w:tc>
          <w:tcPr>
            <w:tcW w:w="2541" w:type="dxa"/>
          </w:tcPr>
          <w:p w14:paraId="0780CC3B" w14:textId="77777777" w:rsidR="00681A49" w:rsidRDefault="00000000" w:rsidP="00982EE2">
            <w:pPr>
              <w:jc w:val="both"/>
            </w:pPr>
            <w:r>
              <w:t xml:space="preserve">Oracle </w:t>
            </w:r>
            <w:proofErr w:type="spellStart"/>
            <w:r>
              <w:t>GoldenGate</w:t>
            </w:r>
            <w:proofErr w:type="spellEnd"/>
            <w:r>
              <w:t xml:space="preserve"> 26ai</w:t>
            </w:r>
          </w:p>
        </w:tc>
        <w:tc>
          <w:tcPr>
            <w:tcW w:w="4920" w:type="dxa"/>
          </w:tcPr>
          <w:p w14:paraId="73279B5E" w14:textId="77777777" w:rsidR="00681A49" w:rsidRDefault="00000000" w:rsidP="00982EE2">
            <w:pPr>
              <w:jc w:val="both"/>
            </w:pPr>
            <w:r>
              <w:t xml:space="preserve">Extract and Distribution paths per source system; trail files on resilient storage; active-active capable for HA; </w:t>
            </w:r>
            <w:proofErr w:type="spellStart"/>
            <w:r>
              <w:t>GoldenGate</w:t>
            </w:r>
            <w:proofErr w:type="spellEnd"/>
            <w:r>
              <w:t xml:space="preserve"> also feeds the DR replication path.</w:t>
            </w:r>
          </w:p>
        </w:tc>
      </w:tr>
      <w:tr w:rsidR="00681A49" w14:paraId="257E571F" w14:textId="77777777">
        <w:tc>
          <w:tcPr>
            <w:tcW w:w="1899" w:type="dxa"/>
          </w:tcPr>
          <w:p w14:paraId="44ABEBA7" w14:textId="77777777" w:rsidR="00681A49" w:rsidRDefault="00000000" w:rsidP="00982EE2">
            <w:pPr>
              <w:jc w:val="both"/>
            </w:pPr>
            <w:r>
              <w:t>Messaging cluster</w:t>
            </w:r>
          </w:p>
        </w:tc>
        <w:tc>
          <w:tcPr>
            <w:tcW w:w="2541" w:type="dxa"/>
          </w:tcPr>
          <w:p w14:paraId="127C46EE" w14:textId="77777777" w:rsidR="00681A49" w:rsidRDefault="00000000" w:rsidP="00982EE2">
            <w:pPr>
              <w:jc w:val="both"/>
            </w:pPr>
            <w:r>
              <w:t>Cloudera Streams (Apache Kafka)</w:t>
            </w:r>
          </w:p>
        </w:tc>
        <w:tc>
          <w:tcPr>
            <w:tcW w:w="4920" w:type="dxa"/>
          </w:tcPr>
          <w:p w14:paraId="44B9C318" w14:textId="77777777" w:rsidR="00681A49" w:rsidRDefault="00000000" w:rsidP="00982EE2">
            <w:pPr>
              <w:jc w:val="both"/>
            </w:pPr>
            <w:r>
              <w:t xml:space="preserve">Multi-broker cluster with a replication factor of 3 and min in-sync replicas of 2; rack-aware replica placement across the primary site; dedicated controller quorum of 3 nodes; tiered retention with long-term history held in the </w:t>
            </w:r>
            <w:proofErr w:type="gramStart"/>
            <w:r>
              <w:t>Bronze</w:t>
            </w:r>
            <w:proofErr w:type="gramEnd"/>
            <w:r>
              <w:t xml:space="preserve"> layer; Schema Registry for contract enforcement.</w:t>
            </w:r>
          </w:p>
        </w:tc>
      </w:tr>
      <w:tr w:rsidR="00681A49" w14:paraId="1D24EAFA" w14:textId="77777777">
        <w:tc>
          <w:tcPr>
            <w:tcW w:w="1899" w:type="dxa"/>
          </w:tcPr>
          <w:p w14:paraId="7AE10D36" w14:textId="77777777" w:rsidR="00681A49" w:rsidRDefault="00000000" w:rsidP="00982EE2">
            <w:pPr>
              <w:jc w:val="both"/>
            </w:pPr>
            <w:r>
              <w:t>Stream processing cluster</w:t>
            </w:r>
          </w:p>
        </w:tc>
        <w:tc>
          <w:tcPr>
            <w:tcW w:w="2541" w:type="dxa"/>
          </w:tcPr>
          <w:p w14:paraId="26C4BF5D" w14:textId="77777777" w:rsidR="00681A49" w:rsidRDefault="00000000" w:rsidP="00982EE2">
            <w:pPr>
              <w:jc w:val="both"/>
            </w:pPr>
            <w:r>
              <w:t>Cloudera Streaming Analytics (Apache Flink)</w:t>
            </w:r>
          </w:p>
        </w:tc>
        <w:tc>
          <w:tcPr>
            <w:tcW w:w="4920" w:type="dxa"/>
          </w:tcPr>
          <w:p w14:paraId="64EE183E" w14:textId="77777777" w:rsidR="00681A49" w:rsidRDefault="00000000" w:rsidP="00982EE2">
            <w:pPr>
              <w:jc w:val="both"/>
            </w:pPr>
            <w:r>
              <w:t xml:space="preserve">Highly available </w:t>
            </w:r>
            <w:proofErr w:type="spellStart"/>
            <w:r>
              <w:t>JobManagers</w:t>
            </w:r>
            <w:proofErr w:type="spellEnd"/>
            <w:r>
              <w:t xml:space="preserve"> (active plus standby); horizontally scalable </w:t>
            </w:r>
            <w:proofErr w:type="spellStart"/>
            <w:r>
              <w:t>TaskManagers</w:t>
            </w:r>
            <w:proofErr w:type="spellEnd"/>
            <w:r>
              <w:t xml:space="preserve">; </w:t>
            </w:r>
            <w:proofErr w:type="spellStart"/>
            <w:r>
              <w:t>RocksDB</w:t>
            </w:r>
            <w:proofErr w:type="spellEnd"/>
            <w:r>
              <w:t xml:space="preserve"> state backend with incremental checkpoints to HPE </w:t>
            </w:r>
            <w:proofErr w:type="spellStart"/>
            <w:r>
              <w:t>Alletra</w:t>
            </w:r>
            <w:proofErr w:type="spellEnd"/>
            <w:r>
              <w:t xml:space="preserve"> S3 storage; exactly-once semantics with transactional Kafka sinks; </w:t>
            </w:r>
            <w:proofErr w:type="spellStart"/>
            <w:r>
              <w:t>savepoints</w:t>
            </w:r>
            <w:proofErr w:type="spellEnd"/>
            <w:r>
              <w:t xml:space="preserve"> for controlled upgrades.</w:t>
            </w:r>
          </w:p>
        </w:tc>
      </w:tr>
      <w:tr w:rsidR="00681A49" w14:paraId="3EB9AE94" w14:textId="77777777">
        <w:tc>
          <w:tcPr>
            <w:tcW w:w="1899" w:type="dxa"/>
          </w:tcPr>
          <w:p w14:paraId="2C57343D" w14:textId="77777777" w:rsidR="00681A49" w:rsidRDefault="00000000" w:rsidP="00982EE2">
            <w:pPr>
              <w:jc w:val="both"/>
            </w:pPr>
            <w:r>
              <w:t>Heterogeneous ingestion cluster</w:t>
            </w:r>
          </w:p>
        </w:tc>
        <w:tc>
          <w:tcPr>
            <w:tcW w:w="2541" w:type="dxa"/>
          </w:tcPr>
          <w:p w14:paraId="287BE393" w14:textId="77777777" w:rsidR="00681A49" w:rsidRDefault="00000000" w:rsidP="00982EE2">
            <w:pPr>
              <w:jc w:val="both"/>
            </w:pPr>
            <w:r>
              <w:t xml:space="preserve">Apache </w:t>
            </w:r>
            <w:proofErr w:type="spellStart"/>
            <w:r>
              <w:t>NiFi</w:t>
            </w:r>
            <w:proofErr w:type="spellEnd"/>
          </w:p>
        </w:tc>
        <w:tc>
          <w:tcPr>
            <w:tcW w:w="4920" w:type="dxa"/>
          </w:tcPr>
          <w:p w14:paraId="33D648F5" w14:textId="77777777" w:rsidR="00681A49" w:rsidRDefault="00000000" w:rsidP="00982EE2">
            <w:pPr>
              <w:jc w:val="both"/>
            </w:pPr>
            <w:r>
              <w:t xml:space="preserve">Clustered </w:t>
            </w:r>
            <w:proofErr w:type="spellStart"/>
            <w:r>
              <w:t>NiFi</w:t>
            </w:r>
            <w:proofErr w:type="spellEnd"/>
            <w:r>
              <w:t xml:space="preserve"> with zero-master coordination; back-pressure and </w:t>
            </w:r>
            <w:proofErr w:type="spellStart"/>
            <w:r>
              <w:t>prioritised</w:t>
            </w:r>
            <w:proofErr w:type="spellEnd"/>
            <w:r>
              <w:t xml:space="preserve"> queues; publishes to Kafka and writes directly to object storage where appropriate.</w:t>
            </w:r>
          </w:p>
        </w:tc>
      </w:tr>
      <w:tr w:rsidR="00681A49" w14:paraId="4A3FDD7D" w14:textId="77777777">
        <w:tc>
          <w:tcPr>
            <w:tcW w:w="1899" w:type="dxa"/>
          </w:tcPr>
          <w:p w14:paraId="746B39DB" w14:textId="77777777" w:rsidR="00681A49" w:rsidRDefault="00000000" w:rsidP="00982EE2">
            <w:pPr>
              <w:jc w:val="both"/>
            </w:pPr>
            <w:r>
              <w:lastRenderedPageBreak/>
              <w:t>Serving cluster</w:t>
            </w:r>
          </w:p>
        </w:tc>
        <w:tc>
          <w:tcPr>
            <w:tcW w:w="2541" w:type="dxa"/>
          </w:tcPr>
          <w:p w14:paraId="50977B72" w14:textId="77777777" w:rsidR="00681A49" w:rsidRDefault="00000000" w:rsidP="00982EE2">
            <w:pPr>
              <w:jc w:val="both"/>
            </w:pPr>
            <w:r>
              <w:t>Redis Enterprise</w:t>
            </w:r>
          </w:p>
        </w:tc>
        <w:tc>
          <w:tcPr>
            <w:tcW w:w="4920" w:type="dxa"/>
          </w:tcPr>
          <w:p w14:paraId="5E67AC0A" w14:textId="77777777" w:rsidR="00681A49" w:rsidRDefault="00000000" w:rsidP="00982EE2">
            <w:pPr>
              <w:jc w:val="both"/>
            </w:pPr>
            <w:r>
              <w:t>Sharded, replicated, persistent in-memory cluster with automatic failover; the primary low-latency read path for APIs and the online feature interface.</w:t>
            </w:r>
          </w:p>
        </w:tc>
      </w:tr>
      <w:tr w:rsidR="00681A49" w14:paraId="762F4A0A" w14:textId="77777777">
        <w:tc>
          <w:tcPr>
            <w:tcW w:w="1899" w:type="dxa"/>
          </w:tcPr>
          <w:p w14:paraId="0F20E6CB" w14:textId="77777777" w:rsidR="00681A49" w:rsidRDefault="00000000" w:rsidP="00982EE2">
            <w:pPr>
              <w:jc w:val="both"/>
            </w:pPr>
            <w:r>
              <w:t>Micro-batch / batch engine</w:t>
            </w:r>
          </w:p>
        </w:tc>
        <w:tc>
          <w:tcPr>
            <w:tcW w:w="2541" w:type="dxa"/>
          </w:tcPr>
          <w:p w14:paraId="7C42C02D" w14:textId="77777777" w:rsidR="00681A49" w:rsidRDefault="00000000" w:rsidP="00982EE2">
            <w:pPr>
              <w:jc w:val="both"/>
            </w:pPr>
            <w:r>
              <w:t>Cloudera Data Engineering (Spark and Airflow)</w:t>
            </w:r>
          </w:p>
        </w:tc>
        <w:tc>
          <w:tcPr>
            <w:tcW w:w="4920" w:type="dxa"/>
          </w:tcPr>
          <w:p w14:paraId="27D374A9" w14:textId="77777777" w:rsidR="00681A49" w:rsidRDefault="00000000" w:rsidP="00982EE2">
            <w:pPr>
              <w:jc w:val="both"/>
            </w:pPr>
            <w:r>
              <w:t>Consumes the same Kafka topics for micro-batch workloads, and runs Bronze-to-Silver-to-</w:t>
            </w:r>
            <w:proofErr w:type="gramStart"/>
            <w:r>
              <w:t>Gold</w:t>
            </w:r>
            <w:proofErr w:type="gramEnd"/>
            <w:r>
              <w:t xml:space="preserve"> promotion as DAGs.</w:t>
            </w:r>
          </w:p>
        </w:tc>
      </w:tr>
      <w:tr w:rsidR="00681A49" w14:paraId="6C60D530" w14:textId="77777777">
        <w:tc>
          <w:tcPr>
            <w:tcW w:w="1899" w:type="dxa"/>
          </w:tcPr>
          <w:p w14:paraId="0F3848E3" w14:textId="77777777" w:rsidR="00681A49" w:rsidRDefault="00000000" w:rsidP="00982EE2">
            <w:pPr>
              <w:jc w:val="both"/>
            </w:pPr>
            <w:r>
              <w:t>Object storage tier</w:t>
            </w:r>
          </w:p>
        </w:tc>
        <w:tc>
          <w:tcPr>
            <w:tcW w:w="2541" w:type="dxa"/>
          </w:tcPr>
          <w:p w14:paraId="7D50EBA0" w14:textId="77777777" w:rsidR="00681A49" w:rsidRDefault="00000000" w:rsidP="00982EE2">
            <w:pPr>
              <w:jc w:val="both"/>
            </w:pPr>
            <w:r>
              <w:t xml:space="preserve">HPE </w:t>
            </w:r>
            <w:proofErr w:type="spellStart"/>
            <w:r>
              <w:t>Alletra</w:t>
            </w:r>
            <w:proofErr w:type="spellEnd"/>
            <w:r>
              <w:t xml:space="preserve"> Storage MP X10000</w:t>
            </w:r>
          </w:p>
        </w:tc>
        <w:tc>
          <w:tcPr>
            <w:tcW w:w="4920" w:type="dxa"/>
          </w:tcPr>
          <w:p w14:paraId="246C5E0D" w14:textId="77777777" w:rsidR="00681A49" w:rsidRDefault="00000000" w:rsidP="00982EE2">
            <w:pPr>
              <w:jc w:val="both"/>
            </w:pPr>
            <w:r>
              <w:t xml:space="preserve">Landing zone for </w:t>
            </w:r>
            <w:proofErr w:type="gramStart"/>
            <w:r>
              <w:t>Bronze</w:t>
            </w:r>
            <w:proofErr w:type="gramEnd"/>
            <w:r>
              <w:t xml:space="preserve"> data and Flink checkpoints; erasure-coded, S3-compatible, with object-lock immutability.</w:t>
            </w:r>
          </w:p>
        </w:tc>
      </w:tr>
    </w:tbl>
    <w:p w14:paraId="59DF82AE" w14:textId="77777777" w:rsidR="00681A49" w:rsidRDefault="00000000" w:rsidP="00982EE2">
      <w:pPr>
        <w:jc w:val="both"/>
      </w:pPr>
      <w:r>
        <w:rPr>
          <w:b/>
        </w:rPr>
        <w:t xml:space="preserve">Resilience </w:t>
      </w:r>
      <w:proofErr w:type="spellStart"/>
      <w:r>
        <w:rPr>
          <w:b/>
        </w:rPr>
        <w:t>behaviour</w:t>
      </w:r>
      <w:proofErr w:type="spellEnd"/>
    </w:p>
    <w:p w14:paraId="6EA52AF2" w14:textId="77777777" w:rsidR="00681A49" w:rsidRDefault="00000000" w:rsidP="00982EE2">
      <w:pPr>
        <w:pStyle w:val="ListParagraph"/>
        <w:numPr>
          <w:ilvl w:val="0"/>
          <w:numId w:val="4"/>
        </w:numPr>
        <w:jc w:val="both"/>
      </w:pPr>
      <w:r>
        <w:t>A broker failure triggers automatic leader re-election with no data loss for acknowledged writes.</w:t>
      </w:r>
    </w:p>
    <w:p w14:paraId="516D68AB" w14:textId="77777777" w:rsidR="00681A49" w:rsidRDefault="00000000" w:rsidP="00982EE2">
      <w:pPr>
        <w:pStyle w:val="ListParagraph"/>
        <w:numPr>
          <w:ilvl w:val="0"/>
          <w:numId w:val="4"/>
        </w:numPr>
        <w:jc w:val="both"/>
      </w:pPr>
      <w:r>
        <w:t xml:space="preserve">A </w:t>
      </w:r>
      <w:proofErr w:type="spellStart"/>
      <w:r>
        <w:t>TaskManager</w:t>
      </w:r>
      <w:proofErr w:type="spellEnd"/>
      <w:r>
        <w:t xml:space="preserve"> failure causes Flink to restart affected tasks from the last checkpoint with no duplicate outputs.</w:t>
      </w:r>
    </w:p>
    <w:p w14:paraId="6D55518B" w14:textId="77777777" w:rsidR="00681A49" w:rsidRDefault="00000000" w:rsidP="00982EE2">
      <w:pPr>
        <w:pStyle w:val="ListParagraph"/>
        <w:numPr>
          <w:ilvl w:val="0"/>
          <w:numId w:val="4"/>
        </w:numPr>
        <w:jc w:val="both"/>
      </w:pPr>
      <w:r>
        <w:t xml:space="preserve">A </w:t>
      </w:r>
      <w:proofErr w:type="spellStart"/>
      <w:r>
        <w:t>JobManager</w:t>
      </w:r>
      <w:proofErr w:type="spellEnd"/>
      <w:r>
        <w:t xml:space="preserve"> failure causes failover to the standby </w:t>
      </w:r>
      <w:proofErr w:type="spellStart"/>
      <w:r>
        <w:t>JobManager</w:t>
      </w:r>
      <w:proofErr w:type="spellEnd"/>
      <w:r>
        <w:t>.</w:t>
      </w:r>
    </w:p>
    <w:p w14:paraId="7D263123" w14:textId="77777777" w:rsidR="00681A49" w:rsidRDefault="00000000" w:rsidP="00982EE2">
      <w:pPr>
        <w:pStyle w:val="ListParagraph"/>
        <w:numPr>
          <w:ilvl w:val="0"/>
          <w:numId w:val="4"/>
        </w:numPr>
        <w:jc w:val="both"/>
      </w:pPr>
      <w:proofErr w:type="spellStart"/>
      <w:r>
        <w:t>NiFi</w:t>
      </w:r>
      <w:proofErr w:type="spellEnd"/>
      <w:r>
        <w:t xml:space="preserve"> and Cloudera Manager provide node-level health monitoring and automatic workload redistribution.</w:t>
      </w:r>
    </w:p>
    <w:p w14:paraId="3D37FE6E" w14:textId="77777777" w:rsidR="00681A49" w:rsidRDefault="00000000" w:rsidP="00982EE2">
      <w:pPr>
        <w:pStyle w:val="ListParagraph"/>
        <w:numPr>
          <w:ilvl w:val="0"/>
          <w:numId w:val="4"/>
        </w:numPr>
        <w:jc w:val="both"/>
      </w:pPr>
      <w:r>
        <w:t xml:space="preserve">Kafka topics and </w:t>
      </w:r>
      <w:proofErr w:type="spellStart"/>
      <w:r>
        <w:t>GoldenGate</w:t>
      </w:r>
      <w:proofErr w:type="spellEnd"/>
      <w:r>
        <w:t xml:space="preserve"> replication to the DR site keep the DR environment current; </w:t>
      </w:r>
      <w:r w:rsidR="00435B3D">
        <w:t>Cohesity NetBackup</w:t>
      </w:r>
      <w:r>
        <w:t xml:space="preserve"> immutable backup provides the final line of </w:t>
      </w:r>
      <w:proofErr w:type="spellStart"/>
      <w:r>
        <w:t>defence</w:t>
      </w:r>
      <w:proofErr w:type="spellEnd"/>
      <w:r>
        <w:t>.</w:t>
      </w:r>
    </w:p>
    <w:p w14:paraId="28289F66" w14:textId="644D1608" w:rsidR="00681A49" w:rsidRDefault="00000000" w:rsidP="00815D1E">
      <w:pPr>
        <w:pStyle w:val="Heading2"/>
        <w:jc w:val="both"/>
      </w:pPr>
      <w:r>
        <w:t>7.4 Node and Cluster Sizing (Proposed Infrastructure)</w:t>
      </w:r>
    </w:p>
    <w:p w14:paraId="3977D2F0" w14:textId="77777777" w:rsidR="00681A49" w:rsidRDefault="00000000" w:rsidP="00815D1E">
      <w:pPr>
        <w:jc w:val="both"/>
      </w:pPr>
      <w:r>
        <w:t>The following node pools are the proposed infrastructure baseline. Aggregate capacity is calculated from the supplied node counts and per-node specifications. Usable capacity and achievable throughput depend on storage overhead, replication, Cloudera role placement, workload profiles, network configuration and performance testing.</w:t>
      </w:r>
    </w:p>
    <w:p w14:paraId="44E41495" w14:textId="77777777" w:rsidR="00681A49" w:rsidRDefault="00000000" w:rsidP="00815D1E">
      <w:pPr>
        <w:jc w:val="both"/>
      </w:pPr>
      <w:r>
        <w:rPr>
          <w:b/>
        </w:rPr>
        <w:t>Planning assumptions</w:t>
      </w:r>
    </w:p>
    <w:tbl>
      <w:tblPr>
        <w:tblStyle w:val="TableGrid"/>
        <w:tblW w:w="0" w:type="auto"/>
        <w:tblLayout w:type="fixed"/>
        <w:tblLook w:val="0420" w:firstRow="1" w:lastRow="0" w:firstColumn="0" w:lastColumn="0" w:noHBand="0" w:noVBand="1"/>
      </w:tblPr>
      <w:tblGrid>
        <w:gridCol w:w="4836"/>
        <w:gridCol w:w="4524"/>
      </w:tblGrid>
      <w:tr w:rsidR="00681A49" w14:paraId="62E1495F" w14:textId="77777777">
        <w:trPr>
          <w:tblHeader/>
        </w:trPr>
        <w:tc>
          <w:tcPr>
            <w:tcW w:w="4836" w:type="dxa"/>
            <w:shd w:val="clear" w:color="auto" w:fill="F2F2F2"/>
          </w:tcPr>
          <w:p w14:paraId="7CF67855" w14:textId="77777777" w:rsidR="00681A49" w:rsidRDefault="00000000" w:rsidP="00815D1E">
            <w:pPr>
              <w:jc w:val="both"/>
            </w:pPr>
            <w:r>
              <w:t>Parameter</w:t>
            </w:r>
          </w:p>
        </w:tc>
        <w:tc>
          <w:tcPr>
            <w:tcW w:w="4524" w:type="dxa"/>
            <w:shd w:val="clear" w:color="auto" w:fill="F2F2F2"/>
          </w:tcPr>
          <w:p w14:paraId="16735DC7" w14:textId="77777777" w:rsidR="00681A49" w:rsidRDefault="00000000" w:rsidP="00815D1E">
            <w:pPr>
              <w:jc w:val="both"/>
            </w:pPr>
            <w:r>
              <w:t>Planning value</w:t>
            </w:r>
          </w:p>
        </w:tc>
      </w:tr>
      <w:tr w:rsidR="00681A49" w14:paraId="05061EED" w14:textId="77777777">
        <w:tc>
          <w:tcPr>
            <w:tcW w:w="4836" w:type="dxa"/>
          </w:tcPr>
          <w:p w14:paraId="77C8B68C" w14:textId="77777777" w:rsidR="00681A49" w:rsidRDefault="00000000" w:rsidP="00815D1E">
            <w:pPr>
              <w:jc w:val="both"/>
            </w:pPr>
            <w:r>
              <w:t>Sustained event rate (all sources combined)</w:t>
            </w:r>
          </w:p>
        </w:tc>
        <w:tc>
          <w:tcPr>
            <w:tcW w:w="4524" w:type="dxa"/>
          </w:tcPr>
          <w:p w14:paraId="6A100E6B" w14:textId="77777777" w:rsidR="00681A49" w:rsidRDefault="002F17D6" w:rsidP="00815D1E">
            <w:pPr>
              <w:jc w:val="both"/>
            </w:pPr>
            <w:r>
              <w:t>2000-3000 events/second</w:t>
            </w:r>
          </w:p>
        </w:tc>
      </w:tr>
      <w:tr w:rsidR="00681A49" w14:paraId="31A30E91" w14:textId="77777777">
        <w:tc>
          <w:tcPr>
            <w:tcW w:w="4836" w:type="dxa"/>
          </w:tcPr>
          <w:p w14:paraId="56DD2DD5" w14:textId="77777777" w:rsidR="00681A49" w:rsidRDefault="00000000" w:rsidP="00815D1E">
            <w:pPr>
              <w:jc w:val="both"/>
            </w:pPr>
            <w:r>
              <w:t>Peak event rate (filing-deadline surge)</w:t>
            </w:r>
          </w:p>
        </w:tc>
        <w:tc>
          <w:tcPr>
            <w:tcW w:w="4524" w:type="dxa"/>
          </w:tcPr>
          <w:p w14:paraId="7E342602" w14:textId="77777777" w:rsidR="00681A49" w:rsidRDefault="002F17D6" w:rsidP="00815D1E">
            <w:pPr>
              <w:jc w:val="both"/>
            </w:pPr>
            <w:r>
              <w:t>15000 events/second</w:t>
            </w:r>
          </w:p>
        </w:tc>
      </w:tr>
      <w:tr w:rsidR="00681A49" w14:paraId="51EDD493" w14:textId="77777777">
        <w:tc>
          <w:tcPr>
            <w:tcW w:w="4836" w:type="dxa"/>
          </w:tcPr>
          <w:p w14:paraId="5772A39F" w14:textId="40CB62FB" w:rsidR="00681A49" w:rsidRDefault="00000000" w:rsidP="00815D1E">
            <w:pPr>
              <w:jc w:val="both"/>
            </w:pPr>
            <w:r>
              <w:t xml:space="preserve">Average event size (after </w:t>
            </w:r>
            <w:r w:rsidR="008931E6">
              <w:t>serialization</w:t>
            </w:r>
            <w:r>
              <w:t>)</w:t>
            </w:r>
          </w:p>
        </w:tc>
        <w:tc>
          <w:tcPr>
            <w:tcW w:w="4524" w:type="dxa"/>
          </w:tcPr>
          <w:p w14:paraId="63FBE785" w14:textId="77777777" w:rsidR="00681A49" w:rsidRDefault="00000000" w:rsidP="00815D1E">
            <w:pPr>
              <w:jc w:val="both"/>
            </w:pPr>
            <w:r>
              <w:t>1 KB</w:t>
            </w:r>
          </w:p>
        </w:tc>
      </w:tr>
      <w:tr w:rsidR="00681A49" w14:paraId="6CB4B5D0" w14:textId="77777777">
        <w:tc>
          <w:tcPr>
            <w:tcW w:w="4836" w:type="dxa"/>
          </w:tcPr>
          <w:p w14:paraId="2C00DD86" w14:textId="77777777" w:rsidR="00681A49" w:rsidRDefault="00000000" w:rsidP="00815D1E">
            <w:pPr>
              <w:jc w:val="both"/>
            </w:pPr>
            <w:r>
              <w:t>Kafka replication factor</w:t>
            </w:r>
          </w:p>
        </w:tc>
        <w:tc>
          <w:tcPr>
            <w:tcW w:w="4524" w:type="dxa"/>
          </w:tcPr>
          <w:p w14:paraId="383F3A84" w14:textId="77777777" w:rsidR="00681A49" w:rsidRDefault="00000000" w:rsidP="00815D1E">
            <w:pPr>
              <w:jc w:val="both"/>
            </w:pPr>
            <w:r>
              <w:t>3</w:t>
            </w:r>
          </w:p>
        </w:tc>
      </w:tr>
      <w:tr w:rsidR="00681A49" w14:paraId="2F8BABFD" w14:textId="77777777">
        <w:tc>
          <w:tcPr>
            <w:tcW w:w="4836" w:type="dxa"/>
          </w:tcPr>
          <w:p w14:paraId="6BAFE0EC" w14:textId="77777777" w:rsidR="00681A49" w:rsidRDefault="00000000" w:rsidP="00815D1E">
            <w:pPr>
              <w:jc w:val="both"/>
            </w:pPr>
            <w:r>
              <w:t>Kafka hot retention</w:t>
            </w:r>
          </w:p>
        </w:tc>
        <w:tc>
          <w:tcPr>
            <w:tcW w:w="4524" w:type="dxa"/>
          </w:tcPr>
          <w:p w14:paraId="5554C162" w14:textId="77777777" w:rsidR="00681A49" w:rsidRDefault="00000000" w:rsidP="00815D1E">
            <w:pPr>
              <w:jc w:val="both"/>
            </w:pPr>
            <w:r>
              <w:t xml:space="preserve">7 days (long-term history in </w:t>
            </w:r>
            <w:proofErr w:type="gramStart"/>
            <w:r>
              <w:t>Bronze</w:t>
            </w:r>
            <w:proofErr w:type="gramEnd"/>
            <w:r>
              <w:t xml:space="preserve"> layer)</w:t>
            </w:r>
          </w:p>
        </w:tc>
      </w:tr>
      <w:tr w:rsidR="00681A49" w14:paraId="4D21F2D0" w14:textId="77777777">
        <w:tc>
          <w:tcPr>
            <w:tcW w:w="4836" w:type="dxa"/>
          </w:tcPr>
          <w:p w14:paraId="1C51C528" w14:textId="77777777" w:rsidR="00681A49" w:rsidRDefault="00000000" w:rsidP="00815D1E">
            <w:pPr>
              <w:jc w:val="both"/>
            </w:pPr>
            <w:r>
              <w:t>Concurrent Flink jobs</w:t>
            </w:r>
          </w:p>
        </w:tc>
        <w:tc>
          <w:tcPr>
            <w:tcW w:w="4524" w:type="dxa"/>
          </w:tcPr>
          <w:p w14:paraId="08054482" w14:textId="3A6AD8A4" w:rsidR="00681A49" w:rsidRDefault="007C3728" w:rsidP="00815D1E">
            <w:pPr>
              <w:jc w:val="both"/>
            </w:pPr>
            <w:r>
              <w:t>1</w:t>
            </w:r>
            <w:r w:rsidR="00000000">
              <w:t xml:space="preserve">0 to </w:t>
            </w:r>
            <w:r>
              <w:t>2</w:t>
            </w:r>
            <w:r w:rsidR="00000000">
              <w:t>0 (CDC apply, DQ, enrichment, feature refresh, cache refresh)</w:t>
            </w:r>
          </w:p>
        </w:tc>
      </w:tr>
    </w:tbl>
    <w:p w14:paraId="2A6CE942" w14:textId="77777777" w:rsidR="00A75832" w:rsidRDefault="00A75832" w:rsidP="00815D1E">
      <w:pPr>
        <w:jc w:val="both"/>
        <w:rPr>
          <w:b/>
        </w:rPr>
      </w:pPr>
    </w:p>
    <w:p w14:paraId="2F3D5EB2" w14:textId="77777777" w:rsidR="00A75832" w:rsidRDefault="00A75832" w:rsidP="00815D1E">
      <w:pPr>
        <w:jc w:val="both"/>
        <w:rPr>
          <w:b/>
        </w:rPr>
      </w:pPr>
    </w:p>
    <w:p w14:paraId="6066A4B5" w14:textId="77777777" w:rsidR="00681A49" w:rsidRDefault="00000000" w:rsidP="00815D1E">
      <w:pPr>
        <w:pStyle w:val="Heading3"/>
        <w:jc w:val="both"/>
      </w:pPr>
      <w:r>
        <w:t>Proposed node-pool sizing (primary site)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95499" w14:paraId="6C99A0C7" w14:textId="77777777">
        <w:trPr>
          <w:jc w:val="center"/>
        </w:trPr>
        <w:tc>
          <w:tcPr>
            <w:tcW w:w="1872" w:type="dxa"/>
            <w:shd w:val="clear" w:color="auto" w:fill="1F4E78"/>
            <w:vAlign w:val="center"/>
          </w:tcPr>
          <w:p w14:paraId="5CC9AFFC" w14:textId="77777777" w:rsidR="00995499" w:rsidRDefault="00000000" w:rsidP="00815D1E">
            <w:pPr>
              <w:spacing w:after="20"/>
            </w:pPr>
            <w:r>
              <w:rPr>
                <w:b/>
                <w:color w:val="FFFFFF"/>
                <w:sz w:val="15"/>
              </w:rPr>
              <w:t>Node pool</w:t>
            </w:r>
          </w:p>
        </w:tc>
        <w:tc>
          <w:tcPr>
            <w:tcW w:w="1872" w:type="dxa"/>
            <w:shd w:val="clear" w:color="auto" w:fill="1F4E78"/>
            <w:vAlign w:val="center"/>
          </w:tcPr>
          <w:p w14:paraId="40713688" w14:textId="77777777" w:rsidR="00995499" w:rsidRDefault="00000000" w:rsidP="00815D1E">
            <w:pPr>
              <w:spacing w:after="20"/>
            </w:pPr>
            <w:r>
              <w:rPr>
                <w:b/>
                <w:color w:val="FFFFFF"/>
                <w:sz w:val="15"/>
              </w:rPr>
              <w:t>Nodes</w:t>
            </w:r>
          </w:p>
        </w:tc>
        <w:tc>
          <w:tcPr>
            <w:tcW w:w="1872" w:type="dxa"/>
            <w:shd w:val="clear" w:color="auto" w:fill="1F4E78"/>
            <w:vAlign w:val="center"/>
          </w:tcPr>
          <w:p w14:paraId="5245CD08" w14:textId="77777777" w:rsidR="00995499" w:rsidRDefault="00000000" w:rsidP="00815D1E">
            <w:pPr>
              <w:spacing w:after="20"/>
            </w:pPr>
            <w:r>
              <w:rPr>
                <w:b/>
                <w:color w:val="FFFFFF"/>
                <w:sz w:val="15"/>
              </w:rPr>
              <w:t>Per-node specification</w:t>
            </w:r>
          </w:p>
        </w:tc>
        <w:tc>
          <w:tcPr>
            <w:tcW w:w="1872" w:type="dxa"/>
            <w:shd w:val="clear" w:color="auto" w:fill="1F4E78"/>
            <w:vAlign w:val="center"/>
          </w:tcPr>
          <w:p w14:paraId="5AD78CA3" w14:textId="77777777" w:rsidR="00995499" w:rsidRDefault="00000000" w:rsidP="00815D1E">
            <w:pPr>
              <w:spacing w:after="20"/>
            </w:pPr>
            <w:r>
              <w:rPr>
                <w:b/>
                <w:color w:val="FFFFFF"/>
                <w:sz w:val="15"/>
              </w:rPr>
              <w:t>Aggregate capacity</w:t>
            </w:r>
          </w:p>
        </w:tc>
        <w:tc>
          <w:tcPr>
            <w:tcW w:w="1872" w:type="dxa"/>
            <w:shd w:val="clear" w:color="auto" w:fill="1F4E78"/>
            <w:vAlign w:val="center"/>
          </w:tcPr>
          <w:p w14:paraId="1A3B362A" w14:textId="77777777" w:rsidR="00995499" w:rsidRDefault="00000000" w:rsidP="00815D1E">
            <w:pPr>
              <w:spacing w:after="20"/>
            </w:pPr>
            <w:r>
              <w:rPr>
                <w:b/>
                <w:color w:val="FFFFFF"/>
                <w:sz w:val="15"/>
              </w:rPr>
              <w:t>Primary role / placement</w:t>
            </w:r>
          </w:p>
        </w:tc>
      </w:tr>
      <w:tr w:rsidR="00995499" w14:paraId="4A389EF2" w14:textId="77777777">
        <w:trPr>
          <w:jc w:val="center"/>
        </w:trPr>
        <w:tc>
          <w:tcPr>
            <w:tcW w:w="1872" w:type="dxa"/>
            <w:vAlign w:val="center"/>
          </w:tcPr>
          <w:p w14:paraId="5CB9E2FC" w14:textId="77777777" w:rsidR="00995499" w:rsidRDefault="00000000" w:rsidP="00815D1E">
            <w:pPr>
              <w:spacing w:after="20"/>
            </w:pPr>
            <w:r>
              <w:rPr>
                <w:sz w:val="15"/>
              </w:rPr>
              <w:t>Cloudera Master</w:t>
            </w:r>
          </w:p>
        </w:tc>
        <w:tc>
          <w:tcPr>
            <w:tcW w:w="1872" w:type="dxa"/>
            <w:vAlign w:val="center"/>
          </w:tcPr>
          <w:p w14:paraId="6245BE94" w14:textId="77777777" w:rsidR="00995499" w:rsidRDefault="00000000" w:rsidP="00815D1E">
            <w:pPr>
              <w:spacing w:after="20"/>
            </w:pPr>
            <w:r>
              <w:rPr>
                <w:sz w:val="15"/>
              </w:rPr>
              <w:t>3</w:t>
            </w:r>
          </w:p>
        </w:tc>
        <w:tc>
          <w:tcPr>
            <w:tcW w:w="1872" w:type="dxa"/>
            <w:vAlign w:val="center"/>
          </w:tcPr>
          <w:p w14:paraId="28AD1639" w14:textId="77777777" w:rsidR="00995499" w:rsidRDefault="00000000" w:rsidP="00815D1E">
            <w:pPr>
              <w:spacing w:after="20"/>
            </w:pPr>
            <w:r>
              <w:rPr>
                <w:sz w:val="15"/>
              </w:rPr>
              <w:t>16 cores; 256 GB RAM; 8 × 1 TB NVMe</w:t>
            </w:r>
          </w:p>
        </w:tc>
        <w:tc>
          <w:tcPr>
            <w:tcW w:w="1872" w:type="dxa"/>
            <w:vAlign w:val="center"/>
          </w:tcPr>
          <w:p w14:paraId="133A561C" w14:textId="77777777" w:rsidR="00995499" w:rsidRDefault="00000000" w:rsidP="00815D1E">
            <w:pPr>
              <w:spacing w:after="20"/>
            </w:pPr>
            <w:r>
              <w:rPr>
                <w:sz w:val="15"/>
              </w:rPr>
              <w:t>48 cores; 768 GB RAM; 24 TB raw NVMe</w:t>
            </w:r>
          </w:p>
        </w:tc>
        <w:tc>
          <w:tcPr>
            <w:tcW w:w="1872" w:type="dxa"/>
            <w:vAlign w:val="center"/>
          </w:tcPr>
          <w:p w14:paraId="40063C00" w14:textId="77777777" w:rsidR="00995499" w:rsidRDefault="00000000" w:rsidP="00815D1E">
            <w:pPr>
              <w:spacing w:after="20"/>
            </w:pPr>
            <w:r>
              <w:rPr>
                <w:sz w:val="15"/>
              </w:rPr>
              <w:t>Dedicated management/control-plane roles; keep general-purpose jobs off these nodes.</w:t>
            </w:r>
          </w:p>
        </w:tc>
      </w:tr>
      <w:tr w:rsidR="00995499" w14:paraId="36A42C4F" w14:textId="77777777">
        <w:trPr>
          <w:jc w:val="center"/>
        </w:trPr>
        <w:tc>
          <w:tcPr>
            <w:tcW w:w="1872" w:type="dxa"/>
            <w:vAlign w:val="center"/>
          </w:tcPr>
          <w:p w14:paraId="793686AC" w14:textId="77777777" w:rsidR="00995499" w:rsidRDefault="00000000" w:rsidP="00815D1E">
            <w:pPr>
              <w:spacing w:after="20"/>
            </w:pPr>
            <w:r>
              <w:rPr>
                <w:sz w:val="15"/>
              </w:rPr>
              <w:t>Cloudera Worker</w:t>
            </w:r>
          </w:p>
        </w:tc>
        <w:tc>
          <w:tcPr>
            <w:tcW w:w="1872" w:type="dxa"/>
            <w:vAlign w:val="center"/>
          </w:tcPr>
          <w:p w14:paraId="3BD96FBE" w14:textId="77777777" w:rsidR="00995499" w:rsidRDefault="00000000" w:rsidP="00815D1E">
            <w:pPr>
              <w:spacing w:after="20"/>
            </w:pPr>
            <w:r>
              <w:rPr>
                <w:sz w:val="15"/>
              </w:rPr>
              <w:t>21</w:t>
            </w:r>
          </w:p>
        </w:tc>
        <w:tc>
          <w:tcPr>
            <w:tcW w:w="1872" w:type="dxa"/>
            <w:vAlign w:val="center"/>
          </w:tcPr>
          <w:p w14:paraId="1FA09E39" w14:textId="77777777" w:rsidR="00995499" w:rsidRDefault="00000000" w:rsidP="00815D1E">
            <w:pPr>
              <w:spacing w:after="20"/>
            </w:pPr>
            <w:r>
              <w:rPr>
                <w:sz w:val="15"/>
              </w:rPr>
              <w:t>32 cores; 384 GB RAM; 6 × 4 TB NVMe</w:t>
            </w:r>
          </w:p>
        </w:tc>
        <w:tc>
          <w:tcPr>
            <w:tcW w:w="1872" w:type="dxa"/>
            <w:vAlign w:val="center"/>
          </w:tcPr>
          <w:p w14:paraId="6FE2AE25" w14:textId="77777777" w:rsidR="00995499" w:rsidRDefault="00000000" w:rsidP="00815D1E">
            <w:pPr>
              <w:spacing w:after="20"/>
            </w:pPr>
            <w:r>
              <w:rPr>
                <w:sz w:val="15"/>
              </w:rPr>
              <w:t>672 cores; 8,064 GB RAM; 504 TB raw NVMe</w:t>
            </w:r>
          </w:p>
        </w:tc>
        <w:tc>
          <w:tcPr>
            <w:tcW w:w="1872" w:type="dxa"/>
            <w:vAlign w:val="center"/>
          </w:tcPr>
          <w:p w14:paraId="663FBF8B" w14:textId="77777777" w:rsidR="00995499" w:rsidRDefault="00000000" w:rsidP="00815D1E">
            <w:pPr>
              <w:spacing w:after="20"/>
            </w:pPr>
            <w:r>
              <w:rPr>
                <w:sz w:val="15"/>
              </w:rPr>
              <w:t>Primary distributed processing tier; allocate Flink TaskManagers and approved compute services using resource pools/queues.</w:t>
            </w:r>
          </w:p>
        </w:tc>
      </w:tr>
      <w:tr w:rsidR="00995499" w14:paraId="6ECAD165" w14:textId="77777777">
        <w:trPr>
          <w:jc w:val="center"/>
        </w:trPr>
        <w:tc>
          <w:tcPr>
            <w:tcW w:w="1872" w:type="dxa"/>
            <w:vAlign w:val="center"/>
          </w:tcPr>
          <w:p w14:paraId="5344B35B" w14:textId="77777777" w:rsidR="00995499" w:rsidRDefault="00000000" w:rsidP="00815D1E">
            <w:pPr>
              <w:spacing w:after="20"/>
            </w:pPr>
            <w:r>
              <w:rPr>
                <w:sz w:val="15"/>
              </w:rPr>
              <w:t>Cloudera Kafka</w:t>
            </w:r>
          </w:p>
        </w:tc>
        <w:tc>
          <w:tcPr>
            <w:tcW w:w="1872" w:type="dxa"/>
            <w:vAlign w:val="center"/>
          </w:tcPr>
          <w:p w14:paraId="0DA1900A" w14:textId="77777777" w:rsidR="00995499" w:rsidRDefault="00000000" w:rsidP="00815D1E">
            <w:pPr>
              <w:spacing w:after="20"/>
            </w:pPr>
            <w:r>
              <w:rPr>
                <w:sz w:val="15"/>
              </w:rPr>
              <w:t>3</w:t>
            </w:r>
          </w:p>
        </w:tc>
        <w:tc>
          <w:tcPr>
            <w:tcW w:w="1872" w:type="dxa"/>
            <w:vAlign w:val="center"/>
          </w:tcPr>
          <w:p w14:paraId="0A1F8B48" w14:textId="77777777" w:rsidR="00995499" w:rsidRDefault="00000000" w:rsidP="00815D1E">
            <w:pPr>
              <w:spacing w:after="20"/>
            </w:pPr>
            <w:r>
              <w:rPr>
                <w:sz w:val="15"/>
              </w:rPr>
              <w:t>32 cores; 384 GB RAM; 4 × 4 TB NVMe</w:t>
            </w:r>
          </w:p>
        </w:tc>
        <w:tc>
          <w:tcPr>
            <w:tcW w:w="1872" w:type="dxa"/>
            <w:vAlign w:val="center"/>
          </w:tcPr>
          <w:p w14:paraId="772EECBF" w14:textId="77777777" w:rsidR="00995499" w:rsidRDefault="00000000" w:rsidP="00815D1E">
            <w:pPr>
              <w:spacing w:after="20"/>
            </w:pPr>
            <w:r>
              <w:rPr>
                <w:sz w:val="15"/>
              </w:rPr>
              <w:t>96 cores; 1,152 GB RAM; 48 TB raw NVMe</w:t>
            </w:r>
          </w:p>
        </w:tc>
        <w:tc>
          <w:tcPr>
            <w:tcW w:w="1872" w:type="dxa"/>
            <w:vAlign w:val="center"/>
          </w:tcPr>
          <w:p w14:paraId="5E3D3FF0" w14:textId="77777777" w:rsidR="00995499" w:rsidRDefault="00000000" w:rsidP="00815D1E">
            <w:pPr>
              <w:spacing w:after="20"/>
            </w:pPr>
            <w:r>
              <w:rPr>
                <w:sz w:val="15"/>
              </w:rPr>
              <w:t>Dedicated Kafka brokers and messaging services; broker logs on dedicated NVMe.</w:t>
            </w:r>
          </w:p>
        </w:tc>
      </w:tr>
      <w:tr w:rsidR="00995499" w14:paraId="53DB886B" w14:textId="77777777">
        <w:trPr>
          <w:jc w:val="center"/>
        </w:trPr>
        <w:tc>
          <w:tcPr>
            <w:tcW w:w="1872" w:type="dxa"/>
            <w:vAlign w:val="center"/>
          </w:tcPr>
          <w:p w14:paraId="75D00F84" w14:textId="77777777" w:rsidR="00995499" w:rsidRDefault="00000000" w:rsidP="00815D1E">
            <w:pPr>
              <w:spacing w:after="20"/>
            </w:pPr>
            <w:r>
              <w:rPr>
                <w:sz w:val="15"/>
              </w:rPr>
              <w:t>Cloudera Utility</w:t>
            </w:r>
          </w:p>
        </w:tc>
        <w:tc>
          <w:tcPr>
            <w:tcW w:w="1872" w:type="dxa"/>
            <w:vAlign w:val="center"/>
          </w:tcPr>
          <w:p w14:paraId="49F036A9" w14:textId="77777777" w:rsidR="00995499" w:rsidRDefault="00000000" w:rsidP="00815D1E">
            <w:pPr>
              <w:spacing w:after="20"/>
            </w:pPr>
            <w:r>
              <w:rPr>
                <w:sz w:val="15"/>
              </w:rPr>
              <w:t>3</w:t>
            </w:r>
          </w:p>
        </w:tc>
        <w:tc>
          <w:tcPr>
            <w:tcW w:w="1872" w:type="dxa"/>
            <w:vAlign w:val="center"/>
          </w:tcPr>
          <w:p w14:paraId="1F6DC70A" w14:textId="77777777" w:rsidR="00995499" w:rsidRDefault="00000000" w:rsidP="00815D1E">
            <w:pPr>
              <w:spacing w:after="20"/>
            </w:pPr>
            <w:r>
              <w:rPr>
                <w:sz w:val="15"/>
              </w:rPr>
              <w:t>32 cores; 384 GB RAM; 4 × 1 TB NVMe</w:t>
            </w:r>
          </w:p>
        </w:tc>
        <w:tc>
          <w:tcPr>
            <w:tcW w:w="1872" w:type="dxa"/>
            <w:vAlign w:val="center"/>
          </w:tcPr>
          <w:p w14:paraId="517995B6" w14:textId="77777777" w:rsidR="00995499" w:rsidRDefault="00000000" w:rsidP="00815D1E">
            <w:pPr>
              <w:spacing w:after="20"/>
            </w:pPr>
            <w:r>
              <w:rPr>
                <w:sz w:val="15"/>
              </w:rPr>
              <w:t>96 cores; 1,152 GB RAM; 12 TB raw NVMe</w:t>
            </w:r>
          </w:p>
        </w:tc>
        <w:tc>
          <w:tcPr>
            <w:tcW w:w="1872" w:type="dxa"/>
            <w:vAlign w:val="center"/>
          </w:tcPr>
          <w:p w14:paraId="4071411B" w14:textId="77777777" w:rsidR="00995499" w:rsidRDefault="00000000" w:rsidP="00815D1E">
            <w:pPr>
              <w:spacing w:after="20"/>
            </w:pPr>
            <w:r>
              <w:rPr>
                <w:sz w:val="15"/>
              </w:rPr>
              <w:t>Approved utility and support services based on final low-level role assignment.</w:t>
            </w:r>
          </w:p>
        </w:tc>
      </w:tr>
    </w:tbl>
    <w:p w14:paraId="280D4205" w14:textId="77777777" w:rsidR="00756D9E" w:rsidRPr="00756D9E" w:rsidRDefault="00000000" w:rsidP="00815D1E">
      <w:pPr>
        <w:jc w:val="both"/>
        <w:rPr>
          <w:b/>
        </w:rPr>
      </w:pPr>
      <w:r>
        <w:rPr>
          <w:b/>
        </w:rPr>
        <w:t>Derived capacity check</w:t>
      </w:r>
      <w:r w:rsidR="00756D9E">
        <w:rPr>
          <w:b/>
        </w:rPr>
        <w:t xml:space="preserve"> – </w:t>
      </w:r>
      <w:r w:rsidR="00756D9E" w:rsidRPr="00756D9E">
        <w:t>The capacity calculation assumes an average event size of 1 KB, a sustained ingestion rate of 2,000–3,000 events/second, a peak rate of 15,000 events/second, and seven-day Kafka retention. The storage calculation uses the sustained rate; the peak rate is used for throughput sizing because the peak is assumed to be temporary.</w:t>
      </w:r>
    </w:p>
    <w:p w14:paraId="1FAA88CB" w14:textId="77777777" w:rsidR="00B75E8B" w:rsidRPr="00B75E8B" w:rsidRDefault="00B75E8B" w:rsidP="00815D1E">
      <w:pPr>
        <w:spacing w:after="0"/>
        <w:jc w:val="both"/>
        <w:rPr>
          <w:b/>
          <w:bCs/>
        </w:rPr>
      </w:pPr>
      <w:r>
        <w:rPr>
          <w:b/>
          <w:bCs/>
        </w:rPr>
        <w:t xml:space="preserve">Assumed </w:t>
      </w:r>
      <w:r w:rsidRPr="00B75E8B">
        <w:rPr>
          <w:b/>
          <w:bCs/>
        </w:rPr>
        <w:t>Throughput and storage calculations</w:t>
      </w:r>
    </w:p>
    <w:tbl>
      <w:tblPr>
        <w:tblStyle w:val="TableGrid"/>
        <w:tblW w:w="0" w:type="auto"/>
        <w:tblLook w:val="04A0" w:firstRow="1" w:lastRow="0" w:firstColumn="1" w:lastColumn="0" w:noHBand="0" w:noVBand="1"/>
      </w:tblPr>
      <w:tblGrid>
        <w:gridCol w:w="3174"/>
        <w:gridCol w:w="1898"/>
        <w:gridCol w:w="1903"/>
        <w:gridCol w:w="1317"/>
      </w:tblGrid>
      <w:tr w:rsidR="00B75E8B" w:rsidRPr="00B75E8B" w14:paraId="74FA2240" w14:textId="77777777" w:rsidTr="006A410A">
        <w:tc>
          <w:tcPr>
            <w:tcW w:w="0" w:type="auto"/>
            <w:hideMark/>
          </w:tcPr>
          <w:p w14:paraId="6C4E9874" w14:textId="77777777" w:rsidR="00B75E8B" w:rsidRPr="00B75E8B" w:rsidRDefault="00B75E8B" w:rsidP="00815D1E">
            <w:pPr>
              <w:spacing w:after="0"/>
              <w:jc w:val="both"/>
              <w:rPr>
                <w:b/>
                <w:bCs/>
              </w:rPr>
            </w:pPr>
            <w:r w:rsidRPr="00B75E8B">
              <w:rPr>
                <w:b/>
                <w:bCs/>
              </w:rPr>
              <w:t>Metric</w:t>
            </w:r>
          </w:p>
        </w:tc>
        <w:tc>
          <w:tcPr>
            <w:tcW w:w="1898" w:type="dxa"/>
            <w:hideMark/>
          </w:tcPr>
          <w:p w14:paraId="1E3B89A3" w14:textId="77777777" w:rsidR="00B75E8B" w:rsidRPr="00B75E8B" w:rsidRDefault="00B75E8B" w:rsidP="00815D1E">
            <w:pPr>
              <w:spacing w:after="0"/>
              <w:jc w:val="both"/>
              <w:rPr>
                <w:b/>
                <w:bCs/>
              </w:rPr>
            </w:pPr>
            <w:r w:rsidRPr="00B75E8B">
              <w:rPr>
                <w:b/>
                <w:bCs/>
              </w:rPr>
              <w:t>Sustained — Lower</w:t>
            </w:r>
          </w:p>
        </w:tc>
        <w:tc>
          <w:tcPr>
            <w:tcW w:w="1903" w:type="dxa"/>
            <w:hideMark/>
          </w:tcPr>
          <w:p w14:paraId="6D1BF07A" w14:textId="77777777" w:rsidR="00B75E8B" w:rsidRPr="00B75E8B" w:rsidRDefault="00B75E8B" w:rsidP="00815D1E">
            <w:pPr>
              <w:spacing w:after="0"/>
              <w:jc w:val="both"/>
              <w:rPr>
                <w:b/>
                <w:bCs/>
              </w:rPr>
            </w:pPr>
            <w:r w:rsidRPr="00B75E8B">
              <w:rPr>
                <w:b/>
                <w:bCs/>
              </w:rPr>
              <w:t>Sustained — Upper</w:t>
            </w:r>
          </w:p>
        </w:tc>
        <w:tc>
          <w:tcPr>
            <w:tcW w:w="582" w:type="dxa"/>
            <w:hideMark/>
          </w:tcPr>
          <w:p w14:paraId="63E57659" w14:textId="77777777" w:rsidR="00B75E8B" w:rsidRPr="00B75E8B" w:rsidRDefault="00B75E8B" w:rsidP="00815D1E">
            <w:pPr>
              <w:spacing w:after="0"/>
              <w:jc w:val="both"/>
              <w:rPr>
                <w:b/>
                <w:bCs/>
              </w:rPr>
            </w:pPr>
            <w:r w:rsidRPr="00B75E8B">
              <w:rPr>
                <w:b/>
                <w:bCs/>
              </w:rPr>
              <w:t>Peak</w:t>
            </w:r>
          </w:p>
        </w:tc>
      </w:tr>
      <w:tr w:rsidR="00B75E8B" w:rsidRPr="00B75E8B" w14:paraId="6AD20F12" w14:textId="77777777" w:rsidTr="006A410A">
        <w:tc>
          <w:tcPr>
            <w:tcW w:w="0" w:type="auto"/>
            <w:hideMark/>
          </w:tcPr>
          <w:p w14:paraId="3B00DCFF" w14:textId="77777777" w:rsidR="00B75E8B" w:rsidRPr="00B75E8B" w:rsidRDefault="00B75E8B" w:rsidP="00815D1E">
            <w:pPr>
              <w:spacing w:after="0"/>
              <w:jc w:val="both"/>
            </w:pPr>
            <w:r w:rsidRPr="00B75E8B">
              <w:t>Event rate</w:t>
            </w:r>
          </w:p>
        </w:tc>
        <w:tc>
          <w:tcPr>
            <w:tcW w:w="1898" w:type="dxa"/>
            <w:hideMark/>
          </w:tcPr>
          <w:p w14:paraId="2B2B0445" w14:textId="77777777" w:rsidR="00B75E8B" w:rsidRPr="00B75E8B" w:rsidRDefault="00B75E8B" w:rsidP="00815D1E">
            <w:pPr>
              <w:spacing w:after="0"/>
              <w:jc w:val="both"/>
            </w:pPr>
            <w:r w:rsidRPr="00B75E8B">
              <w:t>2,000/sec</w:t>
            </w:r>
          </w:p>
        </w:tc>
        <w:tc>
          <w:tcPr>
            <w:tcW w:w="0" w:type="auto"/>
            <w:hideMark/>
          </w:tcPr>
          <w:p w14:paraId="2C4F988B" w14:textId="77777777" w:rsidR="00B75E8B" w:rsidRPr="00B75E8B" w:rsidRDefault="00B75E8B" w:rsidP="00815D1E">
            <w:pPr>
              <w:spacing w:after="0"/>
              <w:jc w:val="both"/>
            </w:pPr>
            <w:r w:rsidRPr="00B75E8B">
              <w:t>3,000/sec</w:t>
            </w:r>
          </w:p>
        </w:tc>
        <w:tc>
          <w:tcPr>
            <w:tcW w:w="0" w:type="auto"/>
            <w:hideMark/>
          </w:tcPr>
          <w:p w14:paraId="049BDF4C" w14:textId="77777777" w:rsidR="00B75E8B" w:rsidRPr="00B75E8B" w:rsidRDefault="00B75E8B" w:rsidP="00815D1E">
            <w:pPr>
              <w:spacing w:after="0"/>
              <w:jc w:val="both"/>
            </w:pPr>
            <w:r w:rsidRPr="00B75E8B">
              <w:t>15,000/sec</w:t>
            </w:r>
          </w:p>
        </w:tc>
      </w:tr>
      <w:tr w:rsidR="00B75E8B" w:rsidRPr="00B75E8B" w14:paraId="4E8E2854" w14:textId="77777777" w:rsidTr="006A410A">
        <w:tc>
          <w:tcPr>
            <w:tcW w:w="0" w:type="auto"/>
            <w:hideMark/>
          </w:tcPr>
          <w:p w14:paraId="179902AD" w14:textId="77777777" w:rsidR="00B75E8B" w:rsidRPr="00B75E8B" w:rsidRDefault="00B75E8B" w:rsidP="00815D1E">
            <w:pPr>
              <w:spacing w:after="0"/>
              <w:jc w:val="both"/>
            </w:pPr>
            <w:r w:rsidRPr="00B75E8B">
              <w:t>Average event size</w:t>
            </w:r>
          </w:p>
        </w:tc>
        <w:tc>
          <w:tcPr>
            <w:tcW w:w="1898" w:type="dxa"/>
            <w:hideMark/>
          </w:tcPr>
          <w:p w14:paraId="6408784B" w14:textId="77777777" w:rsidR="00B75E8B" w:rsidRPr="00B75E8B" w:rsidRDefault="00B75E8B" w:rsidP="00815D1E">
            <w:pPr>
              <w:spacing w:after="0"/>
              <w:jc w:val="both"/>
            </w:pPr>
            <w:r w:rsidRPr="00B75E8B">
              <w:t>1 KB</w:t>
            </w:r>
          </w:p>
        </w:tc>
        <w:tc>
          <w:tcPr>
            <w:tcW w:w="0" w:type="auto"/>
            <w:hideMark/>
          </w:tcPr>
          <w:p w14:paraId="33FBC018" w14:textId="77777777" w:rsidR="00B75E8B" w:rsidRPr="00B75E8B" w:rsidRDefault="00B75E8B" w:rsidP="00815D1E">
            <w:pPr>
              <w:spacing w:after="0"/>
              <w:jc w:val="both"/>
            </w:pPr>
            <w:r w:rsidRPr="00B75E8B">
              <w:t>1 KB</w:t>
            </w:r>
          </w:p>
        </w:tc>
        <w:tc>
          <w:tcPr>
            <w:tcW w:w="0" w:type="auto"/>
            <w:hideMark/>
          </w:tcPr>
          <w:p w14:paraId="5C05334E" w14:textId="77777777" w:rsidR="00B75E8B" w:rsidRPr="00B75E8B" w:rsidRDefault="00B75E8B" w:rsidP="00815D1E">
            <w:pPr>
              <w:spacing w:after="0"/>
              <w:jc w:val="both"/>
            </w:pPr>
            <w:r w:rsidRPr="00B75E8B">
              <w:t>1 KB</w:t>
            </w:r>
          </w:p>
        </w:tc>
      </w:tr>
      <w:tr w:rsidR="00B75E8B" w:rsidRPr="00B75E8B" w14:paraId="6883A9C1" w14:textId="77777777" w:rsidTr="006A410A">
        <w:tc>
          <w:tcPr>
            <w:tcW w:w="0" w:type="auto"/>
            <w:hideMark/>
          </w:tcPr>
          <w:p w14:paraId="3EADF50F" w14:textId="77777777" w:rsidR="00B75E8B" w:rsidRPr="00B75E8B" w:rsidRDefault="00B75E8B" w:rsidP="00815D1E">
            <w:pPr>
              <w:spacing w:after="0"/>
              <w:jc w:val="both"/>
            </w:pPr>
            <w:r w:rsidRPr="00B75E8B">
              <w:t>Incoming payload throughput</w:t>
            </w:r>
          </w:p>
        </w:tc>
        <w:tc>
          <w:tcPr>
            <w:tcW w:w="1898" w:type="dxa"/>
            <w:hideMark/>
          </w:tcPr>
          <w:p w14:paraId="329F126C" w14:textId="77777777" w:rsidR="00B75E8B" w:rsidRPr="00B75E8B" w:rsidRDefault="00B75E8B" w:rsidP="00815D1E">
            <w:pPr>
              <w:spacing w:after="0"/>
              <w:jc w:val="both"/>
            </w:pPr>
            <w:r w:rsidRPr="00B75E8B">
              <w:t>2 MB/s</w:t>
            </w:r>
          </w:p>
        </w:tc>
        <w:tc>
          <w:tcPr>
            <w:tcW w:w="0" w:type="auto"/>
            <w:hideMark/>
          </w:tcPr>
          <w:p w14:paraId="1B928823" w14:textId="77777777" w:rsidR="00B75E8B" w:rsidRPr="00B75E8B" w:rsidRDefault="00B75E8B" w:rsidP="00815D1E">
            <w:pPr>
              <w:spacing w:after="0"/>
              <w:jc w:val="both"/>
            </w:pPr>
            <w:r w:rsidRPr="00B75E8B">
              <w:t>3 MB/s</w:t>
            </w:r>
          </w:p>
        </w:tc>
        <w:tc>
          <w:tcPr>
            <w:tcW w:w="0" w:type="auto"/>
            <w:hideMark/>
          </w:tcPr>
          <w:p w14:paraId="5F7D6474" w14:textId="77777777" w:rsidR="00B75E8B" w:rsidRPr="00B75E8B" w:rsidRDefault="00B75E8B" w:rsidP="00815D1E">
            <w:pPr>
              <w:spacing w:after="0"/>
              <w:jc w:val="both"/>
            </w:pPr>
            <w:r w:rsidRPr="00B75E8B">
              <w:t>15 MB/s</w:t>
            </w:r>
          </w:p>
        </w:tc>
      </w:tr>
      <w:tr w:rsidR="00B75E8B" w:rsidRPr="00B75E8B" w14:paraId="1DE87C32" w14:textId="77777777" w:rsidTr="006A410A">
        <w:tc>
          <w:tcPr>
            <w:tcW w:w="0" w:type="auto"/>
            <w:hideMark/>
          </w:tcPr>
          <w:p w14:paraId="1E14355F" w14:textId="77777777" w:rsidR="00B75E8B" w:rsidRPr="00B75E8B" w:rsidRDefault="00B75E8B" w:rsidP="00815D1E">
            <w:pPr>
              <w:spacing w:after="0"/>
              <w:jc w:val="both"/>
            </w:pPr>
            <w:r w:rsidRPr="00B75E8B">
              <w:t>Approx. network throughput</w:t>
            </w:r>
          </w:p>
        </w:tc>
        <w:tc>
          <w:tcPr>
            <w:tcW w:w="1898" w:type="dxa"/>
            <w:hideMark/>
          </w:tcPr>
          <w:p w14:paraId="08503257" w14:textId="77777777" w:rsidR="00B75E8B" w:rsidRPr="00B75E8B" w:rsidRDefault="00B75E8B" w:rsidP="00815D1E">
            <w:pPr>
              <w:spacing w:after="0"/>
              <w:jc w:val="both"/>
            </w:pPr>
            <w:r w:rsidRPr="00B75E8B">
              <w:t>16 Mbps</w:t>
            </w:r>
          </w:p>
        </w:tc>
        <w:tc>
          <w:tcPr>
            <w:tcW w:w="0" w:type="auto"/>
            <w:hideMark/>
          </w:tcPr>
          <w:p w14:paraId="07A7E942" w14:textId="77777777" w:rsidR="00B75E8B" w:rsidRPr="00B75E8B" w:rsidRDefault="00B75E8B" w:rsidP="00815D1E">
            <w:pPr>
              <w:spacing w:after="0"/>
              <w:jc w:val="both"/>
            </w:pPr>
            <w:r w:rsidRPr="00B75E8B">
              <w:t>24 Mbps</w:t>
            </w:r>
          </w:p>
        </w:tc>
        <w:tc>
          <w:tcPr>
            <w:tcW w:w="0" w:type="auto"/>
            <w:hideMark/>
          </w:tcPr>
          <w:p w14:paraId="4FAC3E8D" w14:textId="77777777" w:rsidR="00B75E8B" w:rsidRPr="00B75E8B" w:rsidRDefault="00B75E8B" w:rsidP="00815D1E">
            <w:pPr>
              <w:spacing w:after="0"/>
              <w:jc w:val="both"/>
            </w:pPr>
            <w:r w:rsidRPr="00B75E8B">
              <w:t>120 Mbps</w:t>
            </w:r>
          </w:p>
        </w:tc>
      </w:tr>
      <w:tr w:rsidR="00B75E8B" w:rsidRPr="00B75E8B" w14:paraId="334C33E6" w14:textId="77777777" w:rsidTr="006A410A">
        <w:tc>
          <w:tcPr>
            <w:tcW w:w="0" w:type="auto"/>
            <w:hideMark/>
          </w:tcPr>
          <w:p w14:paraId="7AF13CE3" w14:textId="77777777" w:rsidR="00B75E8B" w:rsidRPr="00B75E8B" w:rsidRDefault="00B75E8B" w:rsidP="00815D1E">
            <w:pPr>
              <w:spacing w:after="0"/>
              <w:jc w:val="both"/>
            </w:pPr>
            <w:r w:rsidRPr="00B75E8B">
              <w:t xml:space="preserve">Broker </w:t>
            </w:r>
            <w:proofErr w:type="gramStart"/>
            <w:r w:rsidRPr="00B75E8B">
              <w:t>write</w:t>
            </w:r>
            <w:proofErr w:type="gramEnd"/>
            <w:r w:rsidRPr="00B75E8B">
              <w:t xml:space="preserve"> traffic (3 replicas)</w:t>
            </w:r>
          </w:p>
        </w:tc>
        <w:tc>
          <w:tcPr>
            <w:tcW w:w="1898" w:type="dxa"/>
            <w:hideMark/>
          </w:tcPr>
          <w:p w14:paraId="13B9CF8C" w14:textId="77777777" w:rsidR="00B75E8B" w:rsidRPr="00B75E8B" w:rsidRDefault="00B75E8B" w:rsidP="00815D1E">
            <w:pPr>
              <w:spacing w:after="0"/>
              <w:jc w:val="both"/>
            </w:pPr>
            <w:r w:rsidRPr="00B75E8B">
              <w:t>6 MB/s</w:t>
            </w:r>
          </w:p>
        </w:tc>
        <w:tc>
          <w:tcPr>
            <w:tcW w:w="0" w:type="auto"/>
            <w:hideMark/>
          </w:tcPr>
          <w:p w14:paraId="5A5BE3BB" w14:textId="77777777" w:rsidR="00B75E8B" w:rsidRPr="00B75E8B" w:rsidRDefault="00B75E8B" w:rsidP="00815D1E">
            <w:pPr>
              <w:spacing w:after="0"/>
              <w:jc w:val="both"/>
            </w:pPr>
            <w:r w:rsidRPr="00B75E8B">
              <w:t>9 MB/s</w:t>
            </w:r>
          </w:p>
        </w:tc>
        <w:tc>
          <w:tcPr>
            <w:tcW w:w="0" w:type="auto"/>
            <w:hideMark/>
          </w:tcPr>
          <w:p w14:paraId="123C6DC7" w14:textId="77777777" w:rsidR="00B75E8B" w:rsidRPr="00B75E8B" w:rsidRDefault="00B75E8B" w:rsidP="00815D1E">
            <w:pPr>
              <w:spacing w:after="0"/>
              <w:jc w:val="both"/>
            </w:pPr>
            <w:r w:rsidRPr="00B75E8B">
              <w:t>45 MB/s</w:t>
            </w:r>
          </w:p>
        </w:tc>
      </w:tr>
      <w:tr w:rsidR="00B75E8B" w:rsidRPr="00B75E8B" w14:paraId="70F8D0FF" w14:textId="77777777" w:rsidTr="006A410A">
        <w:tc>
          <w:tcPr>
            <w:tcW w:w="0" w:type="auto"/>
            <w:hideMark/>
          </w:tcPr>
          <w:p w14:paraId="0D6FD8C6" w14:textId="77777777" w:rsidR="00B75E8B" w:rsidRPr="00B75E8B" w:rsidRDefault="00B75E8B" w:rsidP="00815D1E">
            <w:pPr>
              <w:spacing w:after="0"/>
              <w:jc w:val="both"/>
            </w:pPr>
            <w:r w:rsidRPr="00B75E8B">
              <w:t>Events per day</w:t>
            </w:r>
          </w:p>
        </w:tc>
        <w:tc>
          <w:tcPr>
            <w:tcW w:w="1898" w:type="dxa"/>
            <w:hideMark/>
          </w:tcPr>
          <w:p w14:paraId="16DBCBB8" w14:textId="77777777" w:rsidR="00B75E8B" w:rsidRPr="00B75E8B" w:rsidRDefault="00B75E8B" w:rsidP="00815D1E">
            <w:pPr>
              <w:spacing w:after="0"/>
              <w:jc w:val="both"/>
            </w:pPr>
            <w:r w:rsidRPr="00B75E8B">
              <w:t>172.8 million</w:t>
            </w:r>
          </w:p>
        </w:tc>
        <w:tc>
          <w:tcPr>
            <w:tcW w:w="0" w:type="auto"/>
            <w:hideMark/>
          </w:tcPr>
          <w:p w14:paraId="092316A2" w14:textId="77777777" w:rsidR="00B75E8B" w:rsidRPr="00B75E8B" w:rsidRDefault="00B75E8B" w:rsidP="00815D1E">
            <w:pPr>
              <w:spacing w:after="0"/>
              <w:jc w:val="both"/>
            </w:pPr>
            <w:r w:rsidRPr="00B75E8B">
              <w:t>259.2 million</w:t>
            </w:r>
          </w:p>
        </w:tc>
        <w:tc>
          <w:tcPr>
            <w:tcW w:w="0" w:type="auto"/>
            <w:hideMark/>
          </w:tcPr>
          <w:p w14:paraId="2227EE97" w14:textId="77777777" w:rsidR="00B75E8B" w:rsidRPr="00B75E8B" w:rsidRDefault="00B75E8B" w:rsidP="00815D1E">
            <w:pPr>
              <w:spacing w:after="0"/>
              <w:jc w:val="both"/>
            </w:pPr>
            <w:r w:rsidRPr="00B75E8B">
              <w:t>1.296 billion</w:t>
            </w:r>
          </w:p>
        </w:tc>
      </w:tr>
      <w:tr w:rsidR="00B75E8B" w:rsidRPr="00B75E8B" w14:paraId="71E54492" w14:textId="77777777" w:rsidTr="006A410A">
        <w:tc>
          <w:tcPr>
            <w:tcW w:w="0" w:type="auto"/>
            <w:hideMark/>
          </w:tcPr>
          <w:p w14:paraId="1476C50B" w14:textId="77777777" w:rsidR="00B75E8B" w:rsidRPr="00B75E8B" w:rsidRDefault="00B75E8B" w:rsidP="00815D1E">
            <w:pPr>
              <w:spacing w:after="0"/>
              <w:jc w:val="both"/>
            </w:pPr>
            <w:r w:rsidRPr="00B75E8B">
              <w:t>Logical storage per day</w:t>
            </w:r>
          </w:p>
        </w:tc>
        <w:tc>
          <w:tcPr>
            <w:tcW w:w="1898" w:type="dxa"/>
            <w:hideMark/>
          </w:tcPr>
          <w:p w14:paraId="2B71FAF5" w14:textId="77777777" w:rsidR="00B75E8B" w:rsidRPr="00B75E8B" w:rsidRDefault="00B75E8B" w:rsidP="00815D1E">
            <w:pPr>
              <w:spacing w:after="0"/>
              <w:jc w:val="both"/>
            </w:pPr>
            <w:r w:rsidRPr="00B75E8B">
              <w:t>172.8 GB</w:t>
            </w:r>
          </w:p>
        </w:tc>
        <w:tc>
          <w:tcPr>
            <w:tcW w:w="0" w:type="auto"/>
            <w:hideMark/>
          </w:tcPr>
          <w:p w14:paraId="4EB5592D" w14:textId="77777777" w:rsidR="00B75E8B" w:rsidRPr="00B75E8B" w:rsidRDefault="00B75E8B" w:rsidP="00815D1E">
            <w:pPr>
              <w:spacing w:after="0"/>
              <w:jc w:val="both"/>
            </w:pPr>
            <w:r w:rsidRPr="00B75E8B">
              <w:t>259.2 GB</w:t>
            </w:r>
          </w:p>
        </w:tc>
        <w:tc>
          <w:tcPr>
            <w:tcW w:w="0" w:type="auto"/>
            <w:hideMark/>
          </w:tcPr>
          <w:p w14:paraId="1E2AFAD3" w14:textId="77777777" w:rsidR="00B75E8B" w:rsidRPr="00B75E8B" w:rsidRDefault="00B75E8B" w:rsidP="00815D1E">
            <w:pPr>
              <w:spacing w:after="0"/>
              <w:jc w:val="both"/>
            </w:pPr>
            <w:r w:rsidRPr="00B75E8B">
              <w:t>1.296 TB</w:t>
            </w:r>
          </w:p>
        </w:tc>
      </w:tr>
      <w:tr w:rsidR="00B75E8B" w:rsidRPr="00B75E8B" w14:paraId="7CB81E52" w14:textId="77777777" w:rsidTr="006A410A">
        <w:tc>
          <w:tcPr>
            <w:tcW w:w="0" w:type="auto"/>
            <w:hideMark/>
          </w:tcPr>
          <w:p w14:paraId="03847FAB" w14:textId="77777777" w:rsidR="00B75E8B" w:rsidRPr="00B75E8B" w:rsidRDefault="00B75E8B" w:rsidP="00815D1E">
            <w:pPr>
              <w:spacing w:after="0"/>
              <w:jc w:val="both"/>
            </w:pPr>
            <w:r w:rsidRPr="00B75E8B">
              <w:t>Storage per day with 3 replicas</w:t>
            </w:r>
          </w:p>
        </w:tc>
        <w:tc>
          <w:tcPr>
            <w:tcW w:w="1898" w:type="dxa"/>
            <w:hideMark/>
          </w:tcPr>
          <w:p w14:paraId="0D226285" w14:textId="77777777" w:rsidR="00B75E8B" w:rsidRPr="00B75E8B" w:rsidRDefault="00B75E8B" w:rsidP="00815D1E">
            <w:pPr>
              <w:spacing w:after="0"/>
              <w:jc w:val="both"/>
            </w:pPr>
            <w:r w:rsidRPr="00B75E8B">
              <w:t>518.4 GB</w:t>
            </w:r>
          </w:p>
        </w:tc>
        <w:tc>
          <w:tcPr>
            <w:tcW w:w="0" w:type="auto"/>
            <w:hideMark/>
          </w:tcPr>
          <w:p w14:paraId="7B2A3FE9" w14:textId="77777777" w:rsidR="00B75E8B" w:rsidRPr="00B75E8B" w:rsidRDefault="00B75E8B" w:rsidP="00815D1E">
            <w:pPr>
              <w:spacing w:after="0"/>
              <w:jc w:val="both"/>
            </w:pPr>
            <w:r w:rsidRPr="00B75E8B">
              <w:t>777.6 GB</w:t>
            </w:r>
          </w:p>
        </w:tc>
        <w:tc>
          <w:tcPr>
            <w:tcW w:w="0" w:type="auto"/>
            <w:hideMark/>
          </w:tcPr>
          <w:p w14:paraId="1EE2C54F" w14:textId="77777777" w:rsidR="00B75E8B" w:rsidRPr="00B75E8B" w:rsidRDefault="00B75E8B" w:rsidP="00815D1E">
            <w:pPr>
              <w:spacing w:after="0"/>
              <w:jc w:val="both"/>
            </w:pPr>
            <w:r w:rsidRPr="00B75E8B">
              <w:t>3.888 TB</w:t>
            </w:r>
          </w:p>
        </w:tc>
      </w:tr>
      <w:tr w:rsidR="00B75E8B" w:rsidRPr="00B75E8B" w14:paraId="4E24E37A" w14:textId="77777777" w:rsidTr="006A410A">
        <w:tc>
          <w:tcPr>
            <w:tcW w:w="0" w:type="auto"/>
            <w:hideMark/>
          </w:tcPr>
          <w:p w14:paraId="3E701997" w14:textId="77777777" w:rsidR="00B75E8B" w:rsidRPr="00B75E8B" w:rsidRDefault="00B75E8B" w:rsidP="00815D1E">
            <w:pPr>
              <w:spacing w:after="0"/>
              <w:jc w:val="both"/>
            </w:pPr>
            <w:r w:rsidRPr="00B75E8B">
              <w:t>Logical storage for 7 days</w:t>
            </w:r>
          </w:p>
        </w:tc>
        <w:tc>
          <w:tcPr>
            <w:tcW w:w="1898" w:type="dxa"/>
            <w:hideMark/>
          </w:tcPr>
          <w:p w14:paraId="6D927B9C" w14:textId="77777777" w:rsidR="00B75E8B" w:rsidRPr="00B75E8B" w:rsidRDefault="00B75E8B" w:rsidP="00815D1E">
            <w:pPr>
              <w:spacing w:after="0"/>
              <w:jc w:val="both"/>
            </w:pPr>
            <w:r w:rsidRPr="00B75E8B">
              <w:t>1.21 TB</w:t>
            </w:r>
          </w:p>
        </w:tc>
        <w:tc>
          <w:tcPr>
            <w:tcW w:w="0" w:type="auto"/>
            <w:hideMark/>
          </w:tcPr>
          <w:p w14:paraId="279D13FF" w14:textId="77777777" w:rsidR="00B75E8B" w:rsidRPr="00B75E8B" w:rsidRDefault="00B75E8B" w:rsidP="00815D1E">
            <w:pPr>
              <w:spacing w:after="0"/>
              <w:jc w:val="both"/>
            </w:pPr>
            <w:r w:rsidRPr="00B75E8B">
              <w:t>1.81 TB</w:t>
            </w:r>
          </w:p>
        </w:tc>
        <w:tc>
          <w:tcPr>
            <w:tcW w:w="0" w:type="auto"/>
            <w:hideMark/>
          </w:tcPr>
          <w:p w14:paraId="5014EF15" w14:textId="77777777" w:rsidR="00B75E8B" w:rsidRPr="00B75E8B" w:rsidRDefault="00B75E8B" w:rsidP="00815D1E">
            <w:pPr>
              <w:spacing w:after="0"/>
              <w:jc w:val="both"/>
            </w:pPr>
            <w:r w:rsidRPr="00B75E8B">
              <w:t>9.07 TB</w:t>
            </w:r>
          </w:p>
        </w:tc>
      </w:tr>
      <w:tr w:rsidR="00B75E8B" w:rsidRPr="00B75E8B" w14:paraId="784041DB" w14:textId="77777777" w:rsidTr="006A410A">
        <w:tc>
          <w:tcPr>
            <w:tcW w:w="0" w:type="auto"/>
            <w:hideMark/>
          </w:tcPr>
          <w:p w14:paraId="783799E8" w14:textId="77777777" w:rsidR="00B75E8B" w:rsidRPr="00B75E8B" w:rsidRDefault="00B75E8B" w:rsidP="00815D1E">
            <w:pPr>
              <w:spacing w:after="0"/>
              <w:jc w:val="both"/>
            </w:pPr>
            <w:r w:rsidRPr="00B75E8B">
              <w:t>Storage for 7 days with 3 replicas</w:t>
            </w:r>
          </w:p>
        </w:tc>
        <w:tc>
          <w:tcPr>
            <w:tcW w:w="1898" w:type="dxa"/>
            <w:hideMark/>
          </w:tcPr>
          <w:p w14:paraId="08184A47" w14:textId="77777777" w:rsidR="00B75E8B" w:rsidRPr="00B75E8B" w:rsidRDefault="00B75E8B" w:rsidP="00815D1E">
            <w:pPr>
              <w:spacing w:after="0"/>
              <w:jc w:val="both"/>
            </w:pPr>
            <w:r w:rsidRPr="00B75E8B">
              <w:t>3.63 TB</w:t>
            </w:r>
          </w:p>
        </w:tc>
        <w:tc>
          <w:tcPr>
            <w:tcW w:w="0" w:type="auto"/>
            <w:hideMark/>
          </w:tcPr>
          <w:p w14:paraId="26E635F9" w14:textId="77777777" w:rsidR="00B75E8B" w:rsidRPr="00B75E8B" w:rsidRDefault="00B75E8B" w:rsidP="00815D1E">
            <w:pPr>
              <w:spacing w:after="0"/>
              <w:jc w:val="both"/>
            </w:pPr>
            <w:r w:rsidRPr="00B75E8B">
              <w:t>5.44 TB</w:t>
            </w:r>
          </w:p>
        </w:tc>
        <w:tc>
          <w:tcPr>
            <w:tcW w:w="0" w:type="auto"/>
            <w:hideMark/>
          </w:tcPr>
          <w:p w14:paraId="68B1636D" w14:textId="77777777" w:rsidR="00B75E8B" w:rsidRPr="00B75E8B" w:rsidRDefault="00B75E8B" w:rsidP="00815D1E">
            <w:pPr>
              <w:spacing w:after="0"/>
              <w:jc w:val="both"/>
            </w:pPr>
            <w:r w:rsidRPr="00B75E8B">
              <w:t>27.22 TB</w:t>
            </w:r>
          </w:p>
        </w:tc>
      </w:tr>
    </w:tbl>
    <w:p w14:paraId="542B7906" w14:textId="77777777" w:rsidR="00B75E8B" w:rsidRDefault="00B75E8B" w:rsidP="00815D1E">
      <w:pPr>
        <w:jc w:val="both"/>
        <w:rPr>
          <w:b/>
        </w:rPr>
      </w:pPr>
    </w:p>
    <w:p w14:paraId="22CECECC" w14:textId="77777777" w:rsidR="00681A49" w:rsidRDefault="00000000" w:rsidP="00815D1E">
      <w:pPr>
        <w:jc w:val="both"/>
      </w:pPr>
      <w:r>
        <w:rPr>
          <w:b/>
        </w:rPr>
        <w:t>Scaling model.</w:t>
      </w:r>
      <w:r>
        <w:t xml:space="preserve"> Every tier scales horizontally without re-architecture: add Kafka brokers and rebalance partitions, add Flink </w:t>
      </w:r>
      <w:proofErr w:type="spellStart"/>
      <w:r>
        <w:t>TaskManagers</w:t>
      </w:r>
      <w:proofErr w:type="spellEnd"/>
      <w:r>
        <w:t xml:space="preserve"> and raise parallelism from a </w:t>
      </w:r>
      <w:proofErr w:type="spellStart"/>
      <w:r>
        <w:t>savepoint</w:t>
      </w:r>
      <w:proofErr w:type="spellEnd"/>
      <w:r>
        <w:t xml:space="preserve">, add </w:t>
      </w:r>
      <w:proofErr w:type="spellStart"/>
      <w:r>
        <w:t>NiFi</w:t>
      </w:r>
      <w:proofErr w:type="spellEnd"/>
      <w:r>
        <w:t xml:space="preserve"> nodes to the cluster, and add Redis shards and nodes online. Compute and storage scale independently because state, checkpoints and history reside on HPE </w:t>
      </w:r>
      <w:proofErr w:type="spellStart"/>
      <w:r>
        <w:t>Alletra</w:t>
      </w:r>
      <w:proofErr w:type="spellEnd"/>
      <w:r>
        <w:t xml:space="preserve"> object storage.</w:t>
      </w:r>
    </w:p>
    <w:p w14:paraId="72E025FF" w14:textId="77777777" w:rsidR="00681A49" w:rsidRDefault="00000000" w:rsidP="00815D1E">
      <w:pPr>
        <w:pStyle w:val="Heading3"/>
        <w:jc w:val="both"/>
      </w:pPr>
      <w:r>
        <w:t>7.5 Workload Isolation Approach</w:t>
      </w:r>
    </w:p>
    <w:p w14:paraId="1C1EA931" w14:textId="77777777" w:rsidR="00681A49" w:rsidRDefault="00000000" w:rsidP="00815D1E">
      <w:pPr>
        <w:jc w:val="both"/>
      </w:pPr>
      <w:r>
        <w:t>Isolation is applied at several levels so that a surge or fault in one workload cannot degrade another.</w:t>
      </w:r>
    </w:p>
    <w:p w14:paraId="5F4D7286" w14:textId="77777777" w:rsidR="00681A49" w:rsidRDefault="00000000" w:rsidP="00815D1E">
      <w:pPr>
        <w:pStyle w:val="ListParagraph"/>
        <w:numPr>
          <w:ilvl w:val="0"/>
          <w:numId w:val="5"/>
        </w:numPr>
        <w:jc w:val="both"/>
      </w:pPr>
      <w:r>
        <w:rPr>
          <w:b/>
        </w:rPr>
        <w:lastRenderedPageBreak/>
        <w:t>Dedicated clusters per function.</w:t>
      </w:r>
      <w:r>
        <w:t xml:space="preserve"> Messaging, stream processing, ingestion, serving and batch engines run on separate node pools, so heavy analytics or batch jobs do not compete with real-time processing for CPU, memory or disk.</w:t>
      </w:r>
    </w:p>
    <w:p w14:paraId="392F6196" w14:textId="77777777" w:rsidR="00681A49" w:rsidRDefault="00000000" w:rsidP="00815D1E">
      <w:pPr>
        <w:pStyle w:val="ListParagraph"/>
        <w:numPr>
          <w:ilvl w:val="0"/>
          <w:numId w:val="5"/>
        </w:numPr>
        <w:jc w:val="both"/>
      </w:pPr>
      <w:r>
        <w:rPr>
          <w:b/>
        </w:rPr>
        <w:t>Priority tiers within streaming.</w:t>
      </w:r>
      <w:r>
        <w:t xml:space="preserve"> Flink jobs are separated into tiers: Tier 1 (cache refresh, risk-score feature refresh, operational alerts), Tier 2 (CDC apply to Bronze, inline data quality) and Tier 3 (exploratory or backfill jobs). Each tier has dedicated task slots and resource quotas, and backfills run on separate job clusters.</w:t>
      </w:r>
    </w:p>
    <w:p w14:paraId="69BF8856" w14:textId="77777777" w:rsidR="00681A49" w:rsidRDefault="00000000" w:rsidP="00815D1E">
      <w:pPr>
        <w:pStyle w:val="ListParagraph"/>
        <w:numPr>
          <w:ilvl w:val="0"/>
          <w:numId w:val="5"/>
        </w:numPr>
        <w:jc w:val="both"/>
      </w:pPr>
      <w:r>
        <w:rPr>
          <w:b/>
        </w:rPr>
        <w:t>Topic-level controls.</w:t>
      </w:r>
      <w:r>
        <w:t xml:space="preserve"> Kafka client quotas (produce, consume and request rate) are set per application and principal; critical topics have dedicated partitions and replication placement; consumer groups are separated by use case.</w:t>
      </w:r>
    </w:p>
    <w:p w14:paraId="73DE4B11" w14:textId="77777777" w:rsidR="00681A49" w:rsidRDefault="00000000" w:rsidP="00815D1E">
      <w:pPr>
        <w:pStyle w:val="ListParagraph"/>
        <w:numPr>
          <w:ilvl w:val="0"/>
          <w:numId w:val="5"/>
        </w:numPr>
        <w:jc w:val="both"/>
      </w:pPr>
      <w:r>
        <w:rPr>
          <w:b/>
        </w:rPr>
        <w:t>API-tier protection.</w:t>
      </w:r>
      <w:r>
        <w:t xml:space="preserve"> WSO2 API Manager applies throttling and rate limits per application, subscription tier and API, and Redis Enterprise serves reads so that high API traffic does not reach the MPP database or the streaming layer.</w:t>
      </w:r>
    </w:p>
    <w:p w14:paraId="31F2C6BC" w14:textId="77777777" w:rsidR="00681A49" w:rsidRDefault="00000000" w:rsidP="00815D1E">
      <w:pPr>
        <w:pStyle w:val="ListParagraph"/>
        <w:numPr>
          <w:ilvl w:val="0"/>
          <w:numId w:val="5"/>
        </w:numPr>
        <w:jc w:val="both"/>
      </w:pPr>
      <w:r>
        <w:rPr>
          <w:b/>
        </w:rPr>
        <w:t>Database workload management.</w:t>
      </w:r>
      <w:r>
        <w:t xml:space="preserve"> Oracle Exadata resource management isolates streaming </w:t>
      </w:r>
      <w:proofErr w:type="gramStart"/>
      <w:r>
        <w:t>apply</w:t>
      </w:r>
      <w:proofErr w:type="gramEnd"/>
      <w:r>
        <w:t xml:space="preserve"> and API-driven queries from analytical and reporting workloads.</w:t>
      </w:r>
    </w:p>
    <w:p w14:paraId="49BEE201" w14:textId="77777777" w:rsidR="00681A49" w:rsidRDefault="00000000" w:rsidP="00815D1E">
      <w:pPr>
        <w:pStyle w:val="ListParagraph"/>
        <w:numPr>
          <w:ilvl w:val="0"/>
          <w:numId w:val="5"/>
        </w:numPr>
        <w:jc w:val="both"/>
      </w:pPr>
      <w:r>
        <w:rPr>
          <w:b/>
        </w:rPr>
        <w:t>Security isolation.</w:t>
      </w:r>
      <w:r>
        <w:t xml:space="preserve"> </w:t>
      </w:r>
      <w:proofErr w:type="spellStart"/>
      <w:r>
        <w:t>Keycloak</w:t>
      </w:r>
      <w:proofErr w:type="spellEnd"/>
      <w:r>
        <w:t xml:space="preserve">/AD-backed RBAC and ABAC, topic-level ACLs, namespace isolation in Redis and TLS between all components ensure each workload sees only the data it is </w:t>
      </w:r>
      <w:proofErr w:type="spellStart"/>
      <w:r>
        <w:t>authorised</w:t>
      </w:r>
      <w:proofErr w:type="spellEnd"/>
      <w:r>
        <w:t xml:space="preserve"> to see.</w:t>
      </w:r>
    </w:p>
    <w:p w14:paraId="3AF113AF" w14:textId="77777777" w:rsidR="00681A49" w:rsidRDefault="00000000" w:rsidP="00815D1E">
      <w:pPr>
        <w:pStyle w:val="ListParagraph"/>
        <w:numPr>
          <w:ilvl w:val="0"/>
          <w:numId w:val="5"/>
        </w:numPr>
        <w:jc w:val="both"/>
      </w:pPr>
      <w:r>
        <w:rPr>
          <w:b/>
        </w:rPr>
        <w:t>Failure isolation.</w:t>
      </w:r>
      <w:r>
        <w:t xml:space="preserve"> Records failing quality rules are diverted to quarantine topics, so a poison message or bad source feed never blocks the main pipeline.</w:t>
      </w:r>
    </w:p>
    <w:p w14:paraId="21B1FE62" w14:textId="1D8FF671" w:rsidR="00681A49" w:rsidRDefault="00000000" w:rsidP="00815D1E">
      <w:pPr>
        <w:pStyle w:val="Heading3"/>
        <w:jc w:val="both"/>
      </w:pPr>
      <w:r>
        <w:t>7.</w:t>
      </w:r>
      <w:r w:rsidR="008931E6">
        <w:t>6</w:t>
      </w:r>
      <w:r>
        <w:t xml:space="preserve"> Latency Benchmarks</w:t>
      </w:r>
    </w:p>
    <w:p w14:paraId="4478B9C9" w14:textId="77777777" w:rsidR="00681A49" w:rsidRDefault="00000000" w:rsidP="00815D1E">
      <w:pPr>
        <w:jc w:val="both"/>
      </w:pPr>
      <w:r>
        <w:t>Latency is specified per stage so that each can be measured and monitored independently.</w:t>
      </w:r>
    </w:p>
    <w:tbl>
      <w:tblPr>
        <w:tblStyle w:val="TableGrid"/>
        <w:tblW w:w="0" w:type="auto"/>
        <w:tblLayout w:type="fixed"/>
        <w:tblLook w:val="0420" w:firstRow="1" w:lastRow="0" w:firstColumn="0" w:lastColumn="0" w:noHBand="0" w:noVBand="1"/>
      </w:tblPr>
      <w:tblGrid>
        <w:gridCol w:w="4440"/>
        <w:gridCol w:w="4920"/>
      </w:tblGrid>
      <w:tr w:rsidR="00681A49" w14:paraId="1B960636" w14:textId="77777777">
        <w:trPr>
          <w:tblHeader/>
        </w:trPr>
        <w:tc>
          <w:tcPr>
            <w:tcW w:w="4440" w:type="dxa"/>
            <w:shd w:val="clear" w:color="auto" w:fill="F2F2F2"/>
          </w:tcPr>
          <w:p w14:paraId="667C3919" w14:textId="77777777" w:rsidR="00681A49" w:rsidRDefault="00000000" w:rsidP="00815D1E">
            <w:pPr>
              <w:jc w:val="both"/>
            </w:pPr>
            <w:r>
              <w:t>Stage</w:t>
            </w:r>
          </w:p>
        </w:tc>
        <w:tc>
          <w:tcPr>
            <w:tcW w:w="4920" w:type="dxa"/>
            <w:shd w:val="clear" w:color="auto" w:fill="F2F2F2"/>
          </w:tcPr>
          <w:p w14:paraId="46A74F32" w14:textId="77777777" w:rsidR="00681A49" w:rsidRDefault="00000000" w:rsidP="00815D1E">
            <w:pPr>
              <w:jc w:val="both"/>
            </w:pPr>
            <w:r>
              <w:t>Design target</w:t>
            </w:r>
          </w:p>
        </w:tc>
      </w:tr>
      <w:tr w:rsidR="00681A49" w14:paraId="63732DA4" w14:textId="77777777">
        <w:tc>
          <w:tcPr>
            <w:tcW w:w="4440" w:type="dxa"/>
          </w:tcPr>
          <w:p w14:paraId="6578FF4F" w14:textId="77777777" w:rsidR="00681A49" w:rsidRDefault="00000000" w:rsidP="00815D1E">
            <w:pPr>
              <w:jc w:val="both"/>
            </w:pPr>
            <w:r>
              <w:t xml:space="preserve">Source commit to </w:t>
            </w:r>
            <w:proofErr w:type="spellStart"/>
            <w:r>
              <w:t>GoldenGate</w:t>
            </w:r>
            <w:proofErr w:type="spellEnd"/>
            <w:r>
              <w:t xml:space="preserve"> capture</w:t>
            </w:r>
          </w:p>
        </w:tc>
        <w:tc>
          <w:tcPr>
            <w:tcW w:w="4920" w:type="dxa"/>
          </w:tcPr>
          <w:p w14:paraId="6DE774A7" w14:textId="77777777" w:rsidR="00681A49" w:rsidRDefault="00000000" w:rsidP="00815D1E">
            <w:pPr>
              <w:jc w:val="both"/>
            </w:pPr>
            <w:r>
              <w:t>Sub-second</w:t>
            </w:r>
          </w:p>
        </w:tc>
      </w:tr>
      <w:tr w:rsidR="00681A49" w14:paraId="04BFE176" w14:textId="77777777">
        <w:tc>
          <w:tcPr>
            <w:tcW w:w="4440" w:type="dxa"/>
          </w:tcPr>
          <w:p w14:paraId="54AAD9E6" w14:textId="77777777" w:rsidR="00681A49" w:rsidRDefault="00000000" w:rsidP="00815D1E">
            <w:pPr>
              <w:jc w:val="both"/>
            </w:pPr>
            <w:r>
              <w:t>Kafka publish to consume</w:t>
            </w:r>
          </w:p>
        </w:tc>
        <w:tc>
          <w:tcPr>
            <w:tcW w:w="4920" w:type="dxa"/>
          </w:tcPr>
          <w:p w14:paraId="397626EB" w14:textId="77777777" w:rsidR="00681A49" w:rsidRDefault="00000000" w:rsidP="00815D1E">
            <w:pPr>
              <w:jc w:val="both"/>
            </w:pPr>
            <w:r>
              <w:t>Milliseconds to low single-digit seconds</w:t>
            </w:r>
          </w:p>
        </w:tc>
      </w:tr>
      <w:tr w:rsidR="00681A49" w14:paraId="38C22DBD" w14:textId="77777777">
        <w:tc>
          <w:tcPr>
            <w:tcW w:w="4440" w:type="dxa"/>
          </w:tcPr>
          <w:p w14:paraId="50392869" w14:textId="77777777" w:rsidR="00681A49" w:rsidRDefault="00000000" w:rsidP="00815D1E">
            <w:pPr>
              <w:jc w:val="both"/>
            </w:pPr>
            <w:r>
              <w:t>Flink processing (stateless and light stateful)</w:t>
            </w:r>
          </w:p>
        </w:tc>
        <w:tc>
          <w:tcPr>
            <w:tcW w:w="4920" w:type="dxa"/>
          </w:tcPr>
          <w:p w14:paraId="3BD014FE" w14:textId="77777777" w:rsidR="00681A49" w:rsidRDefault="00000000" w:rsidP="00815D1E">
            <w:pPr>
              <w:jc w:val="both"/>
            </w:pPr>
            <w:r>
              <w:t>Milliseconds to seconds</w:t>
            </w:r>
          </w:p>
        </w:tc>
      </w:tr>
      <w:tr w:rsidR="00681A49" w14:paraId="73683926" w14:textId="77777777">
        <w:tc>
          <w:tcPr>
            <w:tcW w:w="4440" w:type="dxa"/>
          </w:tcPr>
          <w:p w14:paraId="0C6180DB" w14:textId="77777777" w:rsidR="00681A49" w:rsidRDefault="00000000" w:rsidP="00815D1E">
            <w:pPr>
              <w:jc w:val="both"/>
            </w:pPr>
            <w:r>
              <w:t xml:space="preserve">Source commit to </w:t>
            </w:r>
            <w:proofErr w:type="gramStart"/>
            <w:r>
              <w:t>Bronze</w:t>
            </w:r>
            <w:proofErr w:type="gramEnd"/>
            <w:r>
              <w:t xml:space="preserve"> availability</w:t>
            </w:r>
          </w:p>
        </w:tc>
        <w:tc>
          <w:tcPr>
            <w:tcW w:w="4920" w:type="dxa"/>
          </w:tcPr>
          <w:p w14:paraId="13991931" w14:textId="77777777" w:rsidR="00681A49" w:rsidRDefault="00000000" w:rsidP="00815D1E">
            <w:pPr>
              <w:jc w:val="both"/>
            </w:pPr>
            <w:r>
              <w:t>Seconds (event-driven path)</w:t>
            </w:r>
          </w:p>
        </w:tc>
      </w:tr>
      <w:tr w:rsidR="00681A49" w14:paraId="25F0180D" w14:textId="77777777">
        <w:tc>
          <w:tcPr>
            <w:tcW w:w="4440" w:type="dxa"/>
          </w:tcPr>
          <w:p w14:paraId="00656A88" w14:textId="77777777" w:rsidR="00681A49" w:rsidRDefault="00000000" w:rsidP="00815D1E">
            <w:pPr>
              <w:jc w:val="both"/>
            </w:pPr>
            <w:r>
              <w:t>Gold change to Redis cache refresh</w:t>
            </w:r>
          </w:p>
        </w:tc>
        <w:tc>
          <w:tcPr>
            <w:tcW w:w="4920" w:type="dxa"/>
          </w:tcPr>
          <w:p w14:paraId="4DB4A378" w14:textId="77777777" w:rsidR="00681A49" w:rsidRDefault="00000000" w:rsidP="00815D1E">
            <w:pPr>
              <w:jc w:val="both"/>
            </w:pPr>
            <w:r>
              <w:t>Seconds</w:t>
            </w:r>
          </w:p>
        </w:tc>
      </w:tr>
      <w:tr w:rsidR="00681A49" w14:paraId="45152C34" w14:textId="77777777">
        <w:tc>
          <w:tcPr>
            <w:tcW w:w="4440" w:type="dxa"/>
          </w:tcPr>
          <w:p w14:paraId="06D76A57" w14:textId="77777777" w:rsidR="00681A49" w:rsidRDefault="00000000" w:rsidP="00815D1E">
            <w:pPr>
              <w:jc w:val="both"/>
            </w:pPr>
            <w:r>
              <w:t>Cache read via API</w:t>
            </w:r>
          </w:p>
        </w:tc>
        <w:tc>
          <w:tcPr>
            <w:tcW w:w="4920" w:type="dxa"/>
          </w:tcPr>
          <w:p w14:paraId="11174740" w14:textId="77777777" w:rsidR="00681A49" w:rsidRDefault="00000000" w:rsidP="00815D1E">
            <w:pPr>
              <w:jc w:val="both"/>
            </w:pPr>
            <w:r>
              <w:t>Sub-millisecond at Redis, with end-to-end API response in tens of milliseconds under normal load</w:t>
            </w:r>
          </w:p>
        </w:tc>
      </w:tr>
      <w:tr w:rsidR="00681A49" w14:paraId="264BF511" w14:textId="77777777">
        <w:tc>
          <w:tcPr>
            <w:tcW w:w="4440" w:type="dxa"/>
          </w:tcPr>
          <w:p w14:paraId="584DAB71" w14:textId="77777777" w:rsidR="00681A49" w:rsidRDefault="00000000" w:rsidP="00815D1E">
            <w:pPr>
              <w:jc w:val="both"/>
            </w:pPr>
            <w:r>
              <w:t>Micro-batch consumers</w:t>
            </w:r>
          </w:p>
        </w:tc>
        <w:tc>
          <w:tcPr>
            <w:tcW w:w="4920" w:type="dxa"/>
          </w:tcPr>
          <w:p w14:paraId="36B7051D" w14:textId="77777777" w:rsidR="00681A49" w:rsidRDefault="00000000" w:rsidP="00815D1E">
            <w:pPr>
              <w:jc w:val="both"/>
            </w:pPr>
            <w:r>
              <w:t>Seconds to minutes, configurable</w:t>
            </w:r>
          </w:p>
        </w:tc>
      </w:tr>
      <w:tr w:rsidR="00681A49" w14:paraId="4A7C75BF" w14:textId="77777777">
        <w:tc>
          <w:tcPr>
            <w:tcW w:w="4440" w:type="dxa"/>
          </w:tcPr>
          <w:p w14:paraId="4B05443F" w14:textId="77777777" w:rsidR="00681A49" w:rsidRDefault="00000000" w:rsidP="00815D1E">
            <w:pPr>
              <w:jc w:val="both"/>
            </w:pPr>
            <w:r>
              <w:t>Failure detection and alerting</w:t>
            </w:r>
          </w:p>
        </w:tc>
        <w:tc>
          <w:tcPr>
            <w:tcW w:w="4920" w:type="dxa"/>
          </w:tcPr>
          <w:p w14:paraId="24181222" w14:textId="77777777" w:rsidR="00681A49" w:rsidRDefault="00000000" w:rsidP="00815D1E">
            <w:pPr>
              <w:jc w:val="both"/>
            </w:pPr>
            <w:r>
              <w:t>Sub-minute, with dashboards refreshing in under 30 seconds</w:t>
            </w:r>
          </w:p>
        </w:tc>
      </w:tr>
    </w:tbl>
    <w:p w14:paraId="0DB99449" w14:textId="77777777" w:rsidR="008931E6" w:rsidRDefault="008931E6" w:rsidP="00815D1E">
      <w:pPr>
        <w:rPr>
          <w:b/>
          <w:sz w:val="26"/>
        </w:rPr>
      </w:pPr>
      <w:r>
        <w:br w:type="page"/>
      </w:r>
    </w:p>
    <w:p w14:paraId="4B29A9C0" w14:textId="2D138F5C" w:rsidR="00681A49" w:rsidRDefault="00000000" w:rsidP="00815D1E">
      <w:pPr>
        <w:pStyle w:val="Heading3"/>
        <w:jc w:val="both"/>
      </w:pPr>
      <w:r>
        <w:lastRenderedPageBreak/>
        <w:t>7.</w:t>
      </w:r>
      <w:r w:rsidR="008931E6">
        <w:t>7</w:t>
      </w:r>
      <w:r>
        <w:t xml:space="preserve"> Comparable Deployment Evidence</w:t>
      </w:r>
    </w:p>
    <w:tbl>
      <w:tblPr>
        <w:tblW w:w="10020" w:type="dxa"/>
        <w:tblInd w:w="113" w:type="dxa"/>
        <w:tblLook w:val="04A0" w:firstRow="1" w:lastRow="0" w:firstColumn="1" w:lastColumn="0" w:noHBand="0" w:noVBand="1"/>
      </w:tblPr>
      <w:tblGrid>
        <w:gridCol w:w="2080"/>
        <w:gridCol w:w="1965"/>
        <w:gridCol w:w="2880"/>
        <w:gridCol w:w="3095"/>
      </w:tblGrid>
      <w:tr w:rsidR="00C028AC" w:rsidRPr="00C028AC" w14:paraId="1AB57C0B" w14:textId="77777777" w:rsidTr="00C028AC">
        <w:trPr>
          <w:trHeight w:val="288"/>
        </w:trPr>
        <w:tc>
          <w:tcPr>
            <w:tcW w:w="208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1861FF1F" w14:textId="77777777" w:rsidR="00C028AC" w:rsidRPr="00C028AC" w:rsidRDefault="00C028AC" w:rsidP="00815D1E">
            <w:pPr>
              <w:spacing w:after="0" w:line="240" w:lineRule="auto"/>
              <w:rPr>
                <w:rFonts w:eastAsia="Times New Roman"/>
                <w:b/>
                <w:bCs/>
                <w:color w:val="000000"/>
              </w:rPr>
            </w:pPr>
            <w:r w:rsidRPr="00C028AC">
              <w:rPr>
                <w:rFonts w:eastAsia="Times New Roman"/>
                <w:b/>
                <w:bCs/>
                <w:color w:val="000000"/>
              </w:rPr>
              <w:t>Organization/Sector</w:t>
            </w:r>
          </w:p>
        </w:tc>
        <w:tc>
          <w:tcPr>
            <w:tcW w:w="1965" w:type="dxa"/>
            <w:tcBorders>
              <w:top w:val="single" w:sz="4" w:space="0" w:color="auto"/>
              <w:left w:val="nil"/>
              <w:bottom w:val="single" w:sz="4" w:space="0" w:color="auto"/>
              <w:right w:val="single" w:sz="4" w:space="0" w:color="auto"/>
            </w:tcBorders>
            <w:shd w:val="clear" w:color="000000" w:fill="BFBFBF"/>
            <w:vAlign w:val="center"/>
            <w:hideMark/>
          </w:tcPr>
          <w:p w14:paraId="02850FF9" w14:textId="77777777" w:rsidR="00C028AC" w:rsidRPr="00C028AC" w:rsidRDefault="00C028AC" w:rsidP="00815D1E">
            <w:pPr>
              <w:spacing w:after="0" w:line="240" w:lineRule="auto"/>
              <w:rPr>
                <w:rFonts w:eastAsia="Times New Roman"/>
                <w:b/>
                <w:bCs/>
                <w:color w:val="000000"/>
              </w:rPr>
            </w:pPr>
            <w:r w:rsidRPr="00C028AC">
              <w:rPr>
                <w:rFonts w:eastAsia="Times New Roman"/>
                <w:b/>
                <w:bCs/>
                <w:color w:val="000000"/>
              </w:rPr>
              <w:t>Technology in scope</w:t>
            </w:r>
          </w:p>
        </w:tc>
        <w:tc>
          <w:tcPr>
            <w:tcW w:w="2880" w:type="dxa"/>
            <w:tcBorders>
              <w:top w:val="single" w:sz="4" w:space="0" w:color="auto"/>
              <w:left w:val="nil"/>
              <w:bottom w:val="single" w:sz="4" w:space="0" w:color="auto"/>
              <w:right w:val="single" w:sz="4" w:space="0" w:color="auto"/>
            </w:tcBorders>
            <w:shd w:val="clear" w:color="000000" w:fill="BFBFBF"/>
            <w:vAlign w:val="center"/>
            <w:hideMark/>
          </w:tcPr>
          <w:p w14:paraId="45C2706A" w14:textId="77777777" w:rsidR="00C028AC" w:rsidRPr="00C028AC" w:rsidRDefault="00C028AC" w:rsidP="00815D1E">
            <w:pPr>
              <w:spacing w:after="0" w:line="240" w:lineRule="auto"/>
              <w:rPr>
                <w:rFonts w:eastAsia="Times New Roman"/>
                <w:b/>
                <w:bCs/>
                <w:color w:val="000000"/>
              </w:rPr>
            </w:pPr>
            <w:r w:rsidRPr="00C028AC">
              <w:rPr>
                <w:rFonts w:eastAsia="Times New Roman"/>
                <w:b/>
                <w:bCs/>
                <w:color w:val="000000"/>
              </w:rPr>
              <w:t>Published scale / results</w:t>
            </w:r>
          </w:p>
        </w:tc>
        <w:tc>
          <w:tcPr>
            <w:tcW w:w="3095" w:type="dxa"/>
            <w:tcBorders>
              <w:top w:val="single" w:sz="4" w:space="0" w:color="auto"/>
              <w:left w:val="nil"/>
              <w:bottom w:val="single" w:sz="4" w:space="0" w:color="auto"/>
              <w:right w:val="single" w:sz="4" w:space="0" w:color="auto"/>
            </w:tcBorders>
            <w:shd w:val="clear" w:color="000000" w:fill="BFBFBF"/>
            <w:vAlign w:val="center"/>
            <w:hideMark/>
          </w:tcPr>
          <w:p w14:paraId="4F5F6BC0" w14:textId="77777777" w:rsidR="00C028AC" w:rsidRPr="00C028AC" w:rsidRDefault="00C028AC" w:rsidP="00815D1E">
            <w:pPr>
              <w:spacing w:after="0" w:line="240" w:lineRule="auto"/>
              <w:jc w:val="both"/>
              <w:rPr>
                <w:rFonts w:eastAsia="Times New Roman"/>
                <w:b/>
                <w:bCs/>
                <w:color w:val="000000"/>
              </w:rPr>
            </w:pPr>
            <w:r w:rsidRPr="00C028AC">
              <w:rPr>
                <w:rFonts w:eastAsia="Times New Roman"/>
                <w:b/>
                <w:bCs/>
                <w:color w:val="000000"/>
              </w:rPr>
              <w:t>Reference</w:t>
            </w:r>
          </w:p>
        </w:tc>
      </w:tr>
      <w:tr w:rsidR="00C028AC" w:rsidRPr="00C028AC" w14:paraId="246627FB" w14:textId="77777777" w:rsidTr="00C028AC">
        <w:trPr>
          <w:trHeight w:val="1440"/>
        </w:trPr>
        <w:tc>
          <w:tcPr>
            <w:tcW w:w="2080" w:type="dxa"/>
            <w:tcBorders>
              <w:top w:val="nil"/>
              <w:left w:val="single" w:sz="4" w:space="0" w:color="auto"/>
              <w:bottom w:val="single" w:sz="4" w:space="0" w:color="auto"/>
              <w:right w:val="single" w:sz="4" w:space="0" w:color="auto"/>
            </w:tcBorders>
            <w:vAlign w:val="center"/>
            <w:hideMark/>
          </w:tcPr>
          <w:p w14:paraId="3F647CED"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mBank — Banking, Poland</w:t>
            </w:r>
          </w:p>
        </w:tc>
        <w:tc>
          <w:tcPr>
            <w:tcW w:w="1965" w:type="dxa"/>
            <w:tcBorders>
              <w:top w:val="nil"/>
              <w:left w:val="nil"/>
              <w:bottom w:val="single" w:sz="4" w:space="0" w:color="auto"/>
              <w:right w:val="single" w:sz="4" w:space="0" w:color="auto"/>
            </w:tcBorders>
            <w:vAlign w:val="center"/>
            <w:hideMark/>
          </w:tcPr>
          <w:p w14:paraId="0D195C27"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 xml:space="preserve">Cloudera, Apache Kafka, Apache </w:t>
            </w:r>
            <w:proofErr w:type="spellStart"/>
            <w:r w:rsidRPr="00C028AC">
              <w:rPr>
                <w:rFonts w:eastAsia="Times New Roman"/>
                <w:color w:val="000000"/>
              </w:rPr>
              <w:t>NiFi</w:t>
            </w:r>
            <w:proofErr w:type="spellEnd"/>
            <w:r w:rsidRPr="00C028AC">
              <w:rPr>
                <w:rFonts w:eastAsia="Times New Roman"/>
                <w:color w:val="000000"/>
              </w:rPr>
              <w:t>, Spark Streaming</w:t>
            </w:r>
          </w:p>
        </w:tc>
        <w:tc>
          <w:tcPr>
            <w:tcW w:w="2880" w:type="dxa"/>
            <w:tcBorders>
              <w:top w:val="nil"/>
              <w:left w:val="nil"/>
              <w:bottom w:val="single" w:sz="4" w:space="0" w:color="auto"/>
              <w:right w:val="single" w:sz="4" w:space="0" w:color="auto"/>
            </w:tcBorders>
            <w:vAlign w:val="center"/>
            <w:hideMark/>
          </w:tcPr>
          <w:p w14:paraId="20F105A8"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Continuous ingestion and real-time financial-liquidity monitoring. Exact events/sec and data volume not published.</w:t>
            </w:r>
          </w:p>
        </w:tc>
        <w:tc>
          <w:tcPr>
            <w:tcW w:w="3095" w:type="dxa"/>
            <w:tcBorders>
              <w:top w:val="nil"/>
              <w:left w:val="nil"/>
              <w:bottom w:val="single" w:sz="4" w:space="0" w:color="auto"/>
              <w:right w:val="single" w:sz="4" w:space="0" w:color="auto"/>
            </w:tcBorders>
            <w:vAlign w:val="center"/>
            <w:hideMark/>
          </w:tcPr>
          <w:p w14:paraId="5972CE6E" w14:textId="77777777" w:rsidR="00C028AC" w:rsidRPr="00C028AC" w:rsidRDefault="00C028AC" w:rsidP="00815D1E">
            <w:pPr>
              <w:spacing w:after="0" w:line="240" w:lineRule="auto"/>
              <w:jc w:val="both"/>
              <w:rPr>
                <w:rFonts w:eastAsia="Times New Roman"/>
                <w:color w:val="0563C1"/>
                <w:u w:val="single"/>
              </w:rPr>
            </w:pPr>
            <w:hyperlink r:id="rId7" w:history="1">
              <w:r w:rsidRPr="00C028AC">
                <w:rPr>
                  <w:rFonts w:eastAsia="Times New Roman"/>
                  <w:color w:val="0563C1"/>
                  <w:u w:val="single"/>
                </w:rPr>
                <w:t>Cloudera customer case study</w:t>
              </w:r>
            </w:hyperlink>
          </w:p>
        </w:tc>
      </w:tr>
      <w:tr w:rsidR="00C028AC" w:rsidRPr="00C028AC" w14:paraId="5AA08D7E" w14:textId="77777777" w:rsidTr="00C028AC">
        <w:trPr>
          <w:trHeight w:val="1152"/>
        </w:trPr>
        <w:tc>
          <w:tcPr>
            <w:tcW w:w="2080" w:type="dxa"/>
            <w:tcBorders>
              <w:top w:val="nil"/>
              <w:left w:val="single" w:sz="4" w:space="0" w:color="auto"/>
              <w:bottom w:val="single" w:sz="4" w:space="0" w:color="auto"/>
              <w:right w:val="single" w:sz="4" w:space="0" w:color="auto"/>
            </w:tcBorders>
            <w:vAlign w:val="center"/>
            <w:hideMark/>
          </w:tcPr>
          <w:p w14:paraId="7E188FBD"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Deutsche Börse Group — Financial markets, Germany</w:t>
            </w:r>
          </w:p>
        </w:tc>
        <w:tc>
          <w:tcPr>
            <w:tcW w:w="1965" w:type="dxa"/>
            <w:tcBorders>
              <w:top w:val="nil"/>
              <w:left w:val="nil"/>
              <w:bottom w:val="single" w:sz="4" w:space="0" w:color="auto"/>
              <w:right w:val="single" w:sz="4" w:space="0" w:color="auto"/>
            </w:tcBorders>
            <w:vAlign w:val="center"/>
            <w:hideMark/>
          </w:tcPr>
          <w:p w14:paraId="0F4F3169"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Redis Enterprise and real-time data-serving technologies</w:t>
            </w:r>
          </w:p>
        </w:tc>
        <w:tc>
          <w:tcPr>
            <w:tcW w:w="2880" w:type="dxa"/>
            <w:tcBorders>
              <w:top w:val="nil"/>
              <w:left w:val="nil"/>
              <w:bottom w:val="single" w:sz="4" w:space="0" w:color="auto"/>
              <w:right w:val="single" w:sz="4" w:space="0" w:color="auto"/>
            </w:tcBorders>
            <w:vAlign w:val="center"/>
            <w:hideMark/>
          </w:tcPr>
          <w:p w14:paraId="6C274469"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Real-time quote and trade data processing for regulatory reporting. Exact operations/sec not published.</w:t>
            </w:r>
          </w:p>
        </w:tc>
        <w:tc>
          <w:tcPr>
            <w:tcW w:w="3095" w:type="dxa"/>
            <w:tcBorders>
              <w:top w:val="nil"/>
              <w:left w:val="nil"/>
              <w:bottom w:val="single" w:sz="4" w:space="0" w:color="auto"/>
              <w:right w:val="single" w:sz="4" w:space="0" w:color="auto"/>
            </w:tcBorders>
            <w:vAlign w:val="center"/>
            <w:hideMark/>
          </w:tcPr>
          <w:p w14:paraId="397863FC" w14:textId="77777777" w:rsidR="00C028AC" w:rsidRPr="00C028AC" w:rsidRDefault="00C028AC" w:rsidP="00815D1E">
            <w:pPr>
              <w:spacing w:after="0" w:line="240" w:lineRule="auto"/>
              <w:jc w:val="both"/>
              <w:rPr>
                <w:rFonts w:eastAsia="Times New Roman"/>
                <w:color w:val="0563C1"/>
                <w:u w:val="single"/>
              </w:rPr>
            </w:pPr>
            <w:hyperlink r:id="rId8" w:history="1">
              <w:r w:rsidRPr="00C028AC">
                <w:rPr>
                  <w:rFonts w:eastAsia="Times New Roman"/>
                  <w:color w:val="0563C1"/>
                  <w:u w:val="single"/>
                </w:rPr>
                <w:t>Redis customer case study</w:t>
              </w:r>
            </w:hyperlink>
          </w:p>
        </w:tc>
      </w:tr>
      <w:tr w:rsidR="00C028AC" w:rsidRPr="00C028AC" w14:paraId="2A87FD44" w14:textId="77777777" w:rsidTr="00C028AC">
        <w:trPr>
          <w:trHeight w:val="1152"/>
        </w:trPr>
        <w:tc>
          <w:tcPr>
            <w:tcW w:w="2080" w:type="dxa"/>
            <w:tcBorders>
              <w:top w:val="nil"/>
              <w:left w:val="single" w:sz="4" w:space="0" w:color="auto"/>
              <w:bottom w:val="single" w:sz="4" w:space="0" w:color="auto"/>
              <w:right w:val="single" w:sz="4" w:space="0" w:color="auto"/>
            </w:tcBorders>
            <w:vAlign w:val="center"/>
            <w:hideMark/>
          </w:tcPr>
          <w:p w14:paraId="5C60F789"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Bank Syariah Indonesia (BSI) — Banking, Indonesia</w:t>
            </w:r>
          </w:p>
        </w:tc>
        <w:tc>
          <w:tcPr>
            <w:tcW w:w="1965" w:type="dxa"/>
            <w:tcBorders>
              <w:top w:val="nil"/>
              <w:left w:val="nil"/>
              <w:bottom w:val="single" w:sz="4" w:space="0" w:color="auto"/>
              <w:right w:val="single" w:sz="4" w:space="0" w:color="auto"/>
            </w:tcBorders>
            <w:vAlign w:val="center"/>
            <w:hideMark/>
          </w:tcPr>
          <w:p w14:paraId="0F0517AB"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 xml:space="preserve">Oracle </w:t>
            </w:r>
            <w:proofErr w:type="spellStart"/>
            <w:r w:rsidRPr="00C028AC">
              <w:rPr>
                <w:rFonts w:eastAsia="Times New Roman"/>
                <w:color w:val="000000"/>
              </w:rPr>
              <w:t>GoldenGate</w:t>
            </w:r>
            <w:proofErr w:type="spellEnd"/>
            <w:r w:rsidRPr="00C028AC">
              <w:rPr>
                <w:rFonts w:eastAsia="Times New Roman"/>
                <w:color w:val="000000"/>
              </w:rPr>
              <w:t xml:space="preserve">, Oracle Data Integrator, Oracle Exadata </w:t>
            </w:r>
            <w:proofErr w:type="spellStart"/>
            <w:r w:rsidRPr="00C028AC">
              <w:rPr>
                <w:rFonts w:eastAsia="Times New Roman"/>
                <w:color w:val="000000"/>
              </w:rPr>
              <w:t>Cloud@Customer</w:t>
            </w:r>
            <w:proofErr w:type="spellEnd"/>
          </w:p>
        </w:tc>
        <w:tc>
          <w:tcPr>
            <w:tcW w:w="2880" w:type="dxa"/>
            <w:tcBorders>
              <w:top w:val="nil"/>
              <w:left w:val="nil"/>
              <w:bottom w:val="single" w:sz="4" w:space="0" w:color="auto"/>
              <w:right w:val="single" w:sz="4" w:space="0" w:color="auto"/>
            </w:tcBorders>
            <w:vAlign w:val="center"/>
            <w:hideMark/>
          </w:tcPr>
          <w:p w14:paraId="5169A6E1"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Reported 50% improvement in data processing and financial-report production performance. Exact CDC throughput not published.</w:t>
            </w:r>
          </w:p>
        </w:tc>
        <w:tc>
          <w:tcPr>
            <w:tcW w:w="3095" w:type="dxa"/>
            <w:tcBorders>
              <w:top w:val="nil"/>
              <w:left w:val="nil"/>
              <w:bottom w:val="single" w:sz="4" w:space="0" w:color="auto"/>
              <w:right w:val="single" w:sz="4" w:space="0" w:color="auto"/>
            </w:tcBorders>
            <w:vAlign w:val="center"/>
            <w:hideMark/>
          </w:tcPr>
          <w:p w14:paraId="5D33E293" w14:textId="77777777" w:rsidR="00C028AC" w:rsidRPr="00C028AC" w:rsidRDefault="00C028AC" w:rsidP="00815D1E">
            <w:pPr>
              <w:spacing w:after="0" w:line="240" w:lineRule="auto"/>
              <w:jc w:val="both"/>
              <w:rPr>
                <w:rFonts w:eastAsia="Times New Roman"/>
                <w:color w:val="0563C1"/>
                <w:u w:val="single"/>
              </w:rPr>
            </w:pPr>
            <w:hyperlink r:id="rId9" w:history="1">
              <w:r w:rsidRPr="00C028AC">
                <w:rPr>
                  <w:rFonts w:eastAsia="Times New Roman"/>
                  <w:color w:val="0563C1"/>
                  <w:u w:val="single"/>
                </w:rPr>
                <w:t>Oracle customer case study</w:t>
              </w:r>
            </w:hyperlink>
          </w:p>
        </w:tc>
      </w:tr>
      <w:tr w:rsidR="00C028AC" w:rsidRPr="00C028AC" w14:paraId="3EAE23E1" w14:textId="77777777" w:rsidTr="00C028AC">
        <w:trPr>
          <w:trHeight w:val="864"/>
        </w:trPr>
        <w:tc>
          <w:tcPr>
            <w:tcW w:w="2080" w:type="dxa"/>
            <w:tcBorders>
              <w:top w:val="nil"/>
              <w:left w:val="single" w:sz="4" w:space="0" w:color="auto"/>
              <w:bottom w:val="single" w:sz="4" w:space="0" w:color="auto"/>
              <w:right w:val="single" w:sz="4" w:space="0" w:color="auto"/>
            </w:tcBorders>
            <w:vAlign w:val="center"/>
            <w:hideMark/>
          </w:tcPr>
          <w:p w14:paraId="3E0BE7B4"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Royal Bank of Canada (RBC) — Banking, Canada</w:t>
            </w:r>
          </w:p>
        </w:tc>
        <w:tc>
          <w:tcPr>
            <w:tcW w:w="1965" w:type="dxa"/>
            <w:tcBorders>
              <w:top w:val="nil"/>
              <w:left w:val="nil"/>
              <w:bottom w:val="single" w:sz="4" w:space="0" w:color="auto"/>
              <w:right w:val="single" w:sz="4" w:space="0" w:color="auto"/>
            </w:tcBorders>
            <w:vAlign w:val="center"/>
            <w:hideMark/>
          </w:tcPr>
          <w:p w14:paraId="69C4C199"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Confluent Platform / Apache Kafka</w:t>
            </w:r>
          </w:p>
        </w:tc>
        <w:tc>
          <w:tcPr>
            <w:tcW w:w="2880" w:type="dxa"/>
            <w:tcBorders>
              <w:top w:val="nil"/>
              <w:left w:val="nil"/>
              <w:bottom w:val="single" w:sz="4" w:space="0" w:color="auto"/>
              <w:right w:val="single" w:sz="4" w:space="0" w:color="auto"/>
            </w:tcBorders>
            <w:vAlign w:val="center"/>
            <w:hideMark/>
          </w:tcPr>
          <w:p w14:paraId="3C440949" w14:textId="77777777" w:rsidR="00C028AC" w:rsidRPr="00C028AC" w:rsidRDefault="00C028AC" w:rsidP="00815D1E">
            <w:pPr>
              <w:spacing w:after="0" w:line="240" w:lineRule="auto"/>
              <w:rPr>
                <w:rFonts w:eastAsia="Times New Roman"/>
                <w:color w:val="000000"/>
              </w:rPr>
            </w:pPr>
            <w:r w:rsidRPr="00C028AC">
              <w:rPr>
                <w:rFonts w:eastAsia="Times New Roman"/>
                <w:color w:val="000000"/>
              </w:rPr>
              <w:t>More than 50 applications deployed on an event-driven architecture. Exact throughput not published.</w:t>
            </w:r>
          </w:p>
        </w:tc>
        <w:tc>
          <w:tcPr>
            <w:tcW w:w="3095" w:type="dxa"/>
            <w:tcBorders>
              <w:top w:val="nil"/>
              <w:left w:val="nil"/>
              <w:bottom w:val="single" w:sz="4" w:space="0" w:color="auto"/>
              <w:right w:val="single" w:sz="4" w:space="0" w:color="auto"/>
            </w:tcBorders>
            <w:vAlign w:val="center"/>
            <w:hideMark/>
          </w:tcPr>
          <w:p w14:paraId="19251548" w14:textId="77777777" w:rsidR="00C028AC" w:rsidRPr="00C028AC" w:rsidRDefault="00C028AC" w:rsidP="00815D1E">
            <w:pPr>
              <w:spacing w:after="0" w:line="240" w:lineRule="auto"/>
              <w:jc w:val="both"/>
              <w:rPr>
                <w:rFonts w:eastAsia="Times New Roman"/>
                <w:color w:val="0563C1"/>
                <w:u w:val="single"/>
              </w:rPr>
            </w:pPr>
            <w:hyperlink r:id="rId10" w:history="1">
              <w:r w:rsidRPr="00C028AC">
                <w:rPr>
                  <w:rFonts w:eastAsia="Times New Roman"/>
                  <w:color w:val="0563C1"/>
                  <w:u w:val="single"/>
                </w:rPr>
                <w:t>Confluent customer case study</w:t>
              </w:r>
            </w:hyperlink>
          </w:p>
        </w:tc>
      </w:tr>
    </w:tbl>
    <w:p w14:paraId="39A33579" w14:textId="77777777" w:rsidR="008033D2" w:rsidRDefault="008033D2" w:rsidP="00815D1E">
      <w:pPr>
        <w:jc w:val="both"/>
      </w:pPr>
    </w:p>
    <w:p w14:paraId="4547286A" w14:textId="6836ABA1" w:rsidR="003245F5" w:rsidRDefault="003245F5" w:rsidP="00815D1E">
      <w:pPr>
        <w:pStyle w:val="Heading3"/>
        <w:jc w:val="both"/>
      </w:pPr>
      <w:r>
        <w:t>7.</w:t>
      </w:r>
      <w:r w:rsidR="00627303">
        <w:t>8</w:t>
      </w:r>
      <w:r>
        <w:t xml:space="preserve"> Summary of Compliance</w:t>
      </w:r>
    </w:p>
    <w:tbl>
      <w:tblPr>
        <w:tblStyle w:val="TableGrid"/>
        <w:tblW w:w="0" w:type="auto"/>
        <w:tblLayout w:type="fixed"/>
        <w:tblLook w:val="0420" w:firstRow="1" w:lastRow="0" w:firstColumn="0" w:lastColumn="0" w:noHBand="0" w:noVBand="1"/>
      </w:tblPr>
      <w:tblGrid>
        <w:gridCol w:w="4086"/>
        <w:gridCol w:w="5273"/>
      </w:tblGrid>
      <w:tr w:rsidR="003245F5" w14:paraId="031F9470" w14:textId="77777777" w:rsidTr="00397A37">
        <w:trPr>
          <w:tblHeader/>
        </w:trPr>
        <w:tc>
          <w:tcPr>
            <w:tcW w:w="4086" w:type="dxa"/>
            <w:shd w:val="clear" w:color="auto" w:fill="F2F2F2"/>
          </w:tcPr>
          <w:p w14:paraId="55E652F5" w14:textId="77777777" w:rsidR="003245F5" w:rsidRDefault="003245F5" w:rsidP="00397A37">
            <w:pPr>
              <w:jc w:val="both"/>
            </w:pPr>
            <w:r>
              <w:t>Requirement</w:t>
            </w:r>
          </w:p>
        </w:tc>
        <w:tc>
          <w:tcPr>
            <w:tcW w:w="5273" w:type="dxa"/>
            <w:shd w:val="clear" w:color="auto" w:fill="F2F2F2"/>
          </w:tcPr>
          <w:p w14:paraId="000962CA" w14:textId="77777777" w:rsidR="003245F5" w:rsidRDefault="003245F5" w:rsidP="00397A37">
            <w:pPr>
              <w:jc w:val="both"/>
            </w:pPr>
            <w:r>
              <w:t>How it is met</w:t>
            </w:r>
          </w:p>
        </w:tc>
      </w:tr>
      <w:tr w:rsidR="003245F5" w14:paraId="33296EA5" w14:textId="77777777" w:rsidTr="00397A37">
        <w:tc>
          <w:tcPr>
            <w:tcW w:w="4086" w:type="dxa"/>
          </w:tcPr>
          <w:p w14:paraId="6D8E30E0" w14:textId="77777777" w:rsidR="003245F5" w:rsidRDefault="003245F5" w:rsidP="00397A37">
            <w:pPr>
              <w:jc w:val="both"/>
            </w:pPr>
            <w:r>
              <w:t>Streaming architecture diagram</w:t>
            </w:r>
          </w:p>
        </w:tc>
        <w:tc>
          <w:tcPr>
            <w:tcW w:w="5273" w:type="dxa"/>
          </w:tcPr>
          <w:p w14:paraId="02F604F9" w14:textId="77777777" w:rsidR="003245F5" w:rsidRDefault="003245F5" w:rsidP="00397A37">
            <w:pPr>
              <w:jc w:val="both"/>
            </w:pPr>
            <w:r>
              <w:t>Section 7.2</w:t>
            </w:r>
          </w:p>
        </w:tc>
      </w:tr>
      <w:tr w:rsidR="003245F5" w14:paraId="3427EA6C" w14:textId="77777777" w:rsidTr="00397A37">
        <w:tc>
          <w:tcPr>
            <w:tcW w:w="4086" w:type="dxa"/>
          </w:tcPr>
          <w:p w14:paraId="57866D89" w14:textId="77777777" w:rsidR="003245F5" w:rsidRDefault="003245F5" w:rsidP="00397A37">
            <w:pPr>
              <w:jc w:val="both"/>
            </w:pPr>
            <w:r>
              <w:t>Streaming compute cluster design</w:t>
            </w:r>
          </w:p>
        </w:tc>
        <w:tc>
          <w:tcPr>
            <w:tcW w:w="5273" w:type="dxa"/>
          </w:tcPr>
          <w:p w14:paraId="5B24F716" w14:textId="77777777" w:rsidR="003245F5" w:rsidRDefault="003245F5" w:rsidP="00397A37">
            <w:pPr>
              <w:jc w:val="both"/>
            </w:pPr>
            <w:r>
              <w:t xml:space="preserve">Section 7.3: dedicated Kafka, Flink, </w:t>
            </w:r>
            <w:proofErr w:type="spellStart"/>
            <w:r>
              <w:t>NiFi</w:t>
            </w:r>
            <w:proofErr w:type="spellEnd"/>
            <w:r>
              <w:t xml:space="preserve">, </w:t>
            </w:r>
            <w:proofErr w:type="spellStart"/>
            <w:r>
              <w:t>GoldenGate</w:t>
            </w:r>
            <w:proofErr w:type="spellEnd"/>
            <w:r>
              <w:t xml:space="preserve"> and Redis clusters, highly available and horizontally scalable</w:t>
            </w:r>
          </w:p>
        </w:tc>
      </w:tr>
      <w:tr w:rsidR="003245F5" w14:paraId="745221C9" w14:textId="77777777" w:rsidTr="00397A37">
        <w:tc>
          <w:tcPr>
            <w:tcW w:w="4086" w:type="dxa"/>
          </w:tcPr>
          <w:p w14:paraId="7A590C7E" w14:textId="77777777" w:rsidR="003245F5" w:rsidRDefault="003245F5" w:rsidP="00397A37">
            <w:pPr>
              <w:jc w:val="both"/>
            </w:pPr>
            <w:r>
              <w:t>Node and cluster sizing</w:t>
            </w:r>
          </w:p>
        </w:tc>
        <w:tc>
          <w:tcPr>
            <w:tcW w:w="5273" w:type="dxa"/>
          </w:tcPr>
          <w:p w14:paraId="4541471E" w14:textId="77777777" w:rsidR="003245F5" w:rsidRDefault="003245F5" w:rsidP="00397A37">
            <w:pPr>
              <w:jc w:val="both"/>
            </w:pPr>
            <w:r>
              <w:t>Section 7.4: baseline sizing, derived capacity check and scaling model</w:t>
            </w:r>
          </w:p>
        </w:tc>
      </w:tr>
      <w:tr w:rsidR="003245F5" w14:paraId="42BA7105" w14:textId="77777777" w:rsidTr="00397A37">
        <w:tc>
          <w:tcPr>
            <w:tcW w:w="4086" w:type="dxa"/>
          </w:tcPr>
          <w:p w14:paraId="0DE71EB3" w14:textId="77777777" w:rsidR="003245F5" w:rsidRDefault="003245F5" w:rsidP="00397A37">
            <w:pPr>
              <w:jc w:val="both"/>
            </w:pPr>
            <w:r>
              <w:t>Workload isolation</w:t>
            </w:r>
          </w:p>
        </w:tc>
        <w:tc>
          <w:tcPr>
            <w:tcW w:w="5273" w:type="dxa"/>
          </w:tcPr>
          <w:p w14:paraId="7691641C" w14:textId="77777777" w:rsidR="003245F5" w:rsidRDefault="003245F5" w:rsidP="00397A37">
            <w:pPr>
              <w:jc w:val="both"/>
            </w:pPr>
            <w:r>
              <w:t>Section 7.5: cluster, priority-tier, topic, API, database and security isolation</w:t>
            </w:r>
          </w:p>
        </w:tc>
      </w:tr>
      <w:tr w:rsidR="003245F5" w14:paraId="4E846578" w14:textId="77777777" w:rsidTr="00397A37">
        <w:tc>
          <w:tcPr>
            <w:tcW w:w="4086" w:type="dxa"/>
          </w:tcPr>
          <w:p w14:paraId="058EA78F" w14:textId="77777777" w:rsidR="003245F5" w:rsidRDefault="003245F5" w:rsidP="00397A37">
            <w:pPr>
              <w:jc w:val="both"/>
            </w:pPr>
            <w:r>
              <w:t>Throughput benchmarks</w:t>
            </w:r>
          </w:p>
        </w:tc>
        <w:tc>
          <w:tcPr>
            <w:tcW w:w="5273" w:type="dxa"/>
          </w:tcPr>
          <w:p w14:paraId="4CBECB27" w14:textId="77777777" w:rsidR="003245F5" w:rsidRDefault="003245F5" w:rsidP="00397A37">
            <w:pPr>
              <w:jc w:val="both"/>
            </w:pPr>
            <w:r>
              <w:t>Section 7.6: targets and validation method</w:t>
            </w:r>
          </w:p>
        </w:tc>
      </w:tr>
      <w:tr w:rsidR="003245F5" w14:paraId="17CAC16A" w14:textId="77777777" w:rsidTr="00397A37">
        <w:tc>
          <w:tcPr>
            <w:tcW w:w="4086" w:type="dxa"/>
          </w:tcPr>
          <w:p w14:paraId="48357F50" w14:textId="77777777" w:rsidR="003245F5" w:rsidRDefault="003245F5" w:rsidP="00397A37">
            <w:pPr>
              <w:jc w:val="both"/>
            </w:pPr>
            <w:r>
              <w:t>Latency benchmarks</w:t>
            </w:r>
          </w:p>
        </w:tc>
        <w:tc>
          <w:tcPr>
            <w:tcW w:w="5273" w:type="dxa"/>
          </w:tcPr>
          <w:p w14:paraId="47620E48" w14:textId="77777777" w:rsidR="003245F5" w:rsidRDefault="003245F5" w:rsidP="00397A37">
            <w:pPr>
              <w:jc w:val="both"/>
            </w:pPr>
            <w:r>
              <w:t>Section 7.7: per-stage targets and validation method</w:t>
            </w:r>
          </w:p>
        </w:tc>
      </w:tr>
      <w:tr w:rsidR="003245F5" w14:paraId="362219A8" w14:textId="77777777" w:rsidTr="00397A37">
        <w:tc>
          <w:tcPr>
            <w:tcW w:w="4086" w:type="dxa"/>
          </w:tcPr>
          <w:p w14:paraId="586AD081" w14:textId="77777777" w:rsidR="003245F5" w:rsidRDefault="003245F5" w:rsidP="00397A37">
            <w:pPr>
              <w:jc w:val="both"/>
            </w:pPr>
            <w:r>
              <w:t>Comparable deployment evidence</w:t>
            </w:r>
          </w:p>
        </w:tc>
        <w:tc>
          <w:tcPr>
            <w:tcW w:w="5273" w:type="dxa"/>
          </w:tcPr>
          <w:p w14:paraId="14CDCC44" w14:textId="77777777" w:rsidR="003245F5" w:rsidRDefault="003245F5" w:rsidP="00397A37">
            <w:pPr>
              <w:jc w:val="both"/>
            </w:pPr>
            <w:r>
              <w:t>Section 7.8: reference template for verified deployments</w:t>
            </w:r>
          </w:p>
        </w:tc>
      </w:tr>
    </w:tbl>
    <w:p w14:paraId="553F0A69" w14:textId="77777777" w:rsidR="003245F5" w:rsidRDefault="003245F5" w:rsidP="003245F5">
      <w:pPr>
        <w:jc w:val="both"/>
      </w:pPr>
    </w:p>
    <w:p w14:paraId="6E7F49D0" w14:textId="77777777" w:rsidR="003245F5" w:rsidRDefault="003245F5" w:rsidP="001F3E37">
      <w:pPr>
        <w:jc w:val="both"/>
      </w:pPr>
    </w:p>
    <w:p w14:paraId="243FB171" w14:textId="77777777" w:rsidR="00995499" w:rsidRDefault="00000000">
      <w:r>
        <w:br w:type="page"/>
      </w:r>
    </w:p>
    <w:p w14:paraId="3A86FFB6" w14:textId="261ABF9A" w:rsidR="00995499" w:rsidRDefault="00000000" w:rsidP="0087603A">
      <w:pPr>
        <w:pStyle w:val="Heading1"/>
      </w:pPr>
      <w:r>
        <w:lastRenderedPageBreak/>
        <w:t xml:space="preserve">Compute Layer Supplement </w:t>
      </w:r>
    </w:p>
    <w:p w14:paraId="680CC3C7" w14:textId="77777777" w:rsidR="00995499" w:rsidRDefault="00000000">
      <w:r>
        <w:t>This supplement updates Section 7 sizing with the specified Cloudera node inventory and expands the node architecture, workload isolation and benchmark evidence. Aggregate figures are raw installed capacity, not usable capacity or a guaranteed performance result.</w:t>
      </w:r>
    </w:p>
    <w:p w14:paraId="4CBFA141" w14:textId="77777777" w:rsidR="00995499" w:rsidRDefault="00000000" w:rsidP="0087603A">
      <w:pPr>
        <w:pStyle w:val="Heading2"/>
      </w:pPr>
      <w:r>
        <w:t>A. Proposed cluster sizing summary</w:t>
      </w:r>
    </w:p>
    <w:tbl>
      <w:tblPr>
        <w:tblStyle w:val="TableGrid"/>
        <w:tblW w:w="0" w:type="auto"/>
        <w:jc w:val="center"/>
        <w:tblLook w:val="04A0" w:firstRow="1" w:lastRow="0" w:firstColumn="1" w:lastColumn="0" w:noHBand="0" w:noVBand="1"/>
      </w:tblPr>
      <w:tblGrid>
        <w:gridCol w:w="2340"/>
        <w:gridCol w:w="2340"/>
        <w:gridCol w:w="2340"/>
        <w:gridCol w:w="2340"/>
      </w:tblGrid>
      <w:tr w:rsidR="00995499" w14:paraId="70ECCDC2" w14:textId="77777777">
        <w:trPr>
          <w:jc w:val="center"/>
        </w:trPr>
        <w:tc>
          <w:tcPr>
            <w:tcW w:w="2340" w:type="dxa"/>
            <w:shd w:val="clear" w:color="auto" w:fill="1F4E78"/>
            <w:vAlign w:val="center"/>
          </w:tcPr>
          <w:p w14:paraId="6E9A0D08" w14:textId="77777777" w:rsidR="00995499" w:rsidRDefault="00000000">
            <w:pPr>
              <w:spacing w:after="20"/>
            </w:pPr>
            <w:r>
              <w:rPr>
                <w:b/>
                <w:color w:val="FFFFFF"/>
                <w:sz w:val="16"/>
              </w:rPr>
              <w:t>Pool</w:t>
            </w:r>
          </w:p>
        </w:tc>
        <w:tc>
          <w:tcPr>
            <w:tcW w:w="2340" w:type="dxa"/>
            <w:shd w:val="clear" w:color="auto" w:fill="1F4E78"/>
            <w:vAlign w:val="center"/>
          </w:tcPr>
          <w:p w14:paraId="26F2E49E" w14:textId="77777777" w:rsidR="00995499" w:rsidRDefault="00000000">
            <w:pPr>
              <w:spacing w:after="20"/>
            </w:pPr>
            <w:r>
              <w:rPr>
                <w:b/>
                <w:color w:val="FFFFFF"/>
                <w:sz w:val="16"/>
              </w:rPr>
              <w:t>Nodes and per-node specification</w:t>
            </w:r>
          </w:p>
        </w:tc>
        <w:tc>
          <w:tcPr>
            <w:tcW w:w="2340" w:type="dxa"/>
            <w:shd w:val="clear" w:color="auto" w:fill="1F4E78"/>
            <w:vAlign w:val="center"/>
          </w:tcPr>
          <w:p w14:paraId="4F394CDA" w14:textId="77777777" w:rsidR="00995499" w:rsidRDefault="00000000">
            <w:pPr>
              <w:spacing w:after="20"/>
            </w:pPr>
            <w:r>
              <w:rPr>
                <w:b/>
                <w:color w:val="FFFFFF"/>
                <w:sz w:val="16"/>
              </w:rPr>
              <w:t>Aggregate CPU / RAM</w:t>
            </w:r>
          </w:p>
        </w:tc>
        <w:tc>
          <w:tcPr>
            <w:tcW w:w="2340" w:type="dxa"/>
            <w:shd w:val="clear" w:color="auto" w:fill="1F4E78"/>
            <w:vAlign w:val="center"/>
          </w:tcPr>
          <w:p w14:paraId="64461DA9" w14:textId="77777777" w:rsidR="00995499" w:rsidRDefault="00000000">
            <w:pPr>
              <w:spacing w:after="20"/>
            </w:pPr>
            <w:r>
              <w:rPr>
                <w:b/>
                <w:color w:val="FFFFFF"/>
                <w:sz w:val="16"/>
              </w:rPr>
              <w:t>Aggregate raw NVMe</w:t>
            </w:r>
          </w:p>
        </w:tc>
      </w:tr>
      <w:tr w:rsidR="00995499" w14:paraId="248ACB2D" w14:textId="77777777">
        <w:trPr>
          <w:jc w:val="center"/>
        </w:trPr>
        <w:tc>
          <w:tcPr>
            <w:tcW w:w="2340" w:type="dxa"/>
            <w:vAlign w:val="center"/>
          </w:tcPr>
          <w:p w14:paraId="479E84DC" w14:textId="77777777" w:rsidR="00995499" w:rsidRDefault="00000000">
            <w:pPr>
              <w:spacing w:after="20"/>
            </w:pPr>
            <w:r>
              <w:rPr>
                <w:sz w:val="16"/>
              </w:rPr>
              <w:t>Master</w:t>
            </w:r>
          </w:p>
        </w:tc>
        <w:tc>
          <w:tcPr>
            <w:tcW w:w="2340" w:type="dxa"/>
            <w:vAlign w:val="center"/>
          </w:tcPr>
          <w:p w14:paraId="275BCFA7" w14:textId="77777777" w:rsidR="00995499" w:rsidRDefault="00000000">
            <w:pPr>
              <w:spacing w:after="20"/>
            </w:pPr>
            <w:r>
              <w:rPr>
                <w:sz w:val="16"/>
              </w:rPr>
              <w:t>3 × (16 cores, 256 GB RAM, 8 × 1 TB NVMe)</w:t>
            </w:r>
          </w:p>
        </w:tc>
        <w:tc>
          <w:tcPr>
            <w:tcW w:w="2340" w:type="dxa"/>
            <w:vAlign w:val="center"/>
          </w:tcPr>
          <w:p w14:paraId="083A0A72" w14:textId="77777777" w:rsidR="00995499" w:rsidRDefault="00000000">
            <w:pPr>
              <w:spacing w:after="20"/>
            </w:pPr>
            <w:r>
              <w:rPr>
                <w:sz w:val="16"/>
              </w:rPr>
              <w:t>48 cores / 768 GB</w:t>
            </w:r>
          </w:p>
        </w:tc>
        <w:tc>
          <w:tcPr>
            <w:tcW w:w="2340" w:type="dxa"/>
            <w:vAlign w:val="center"/>
          </w:tcPr>
          <w:p w14:paraId="35AF638C" w14:textId="77777777" w:rsidR="00995499" w:rsidRDefault="00000000">
            <w:pPr>
              <w:spacing w:after="20"/>
            </w:pPr>
            <w:r>
              <w:rPr>
                <w:sz w:val="16"/>
              </w:rPr>
              <w:t>24 TB</w:t>
            </w:r>
          </w:p>
        </w:tc>
      </w:tr>
      <w:tr w:rsidR="00995499" w14:paraId="67DFDD06" w14:textId="77777777">
        <w:trPr>
          <w:jc w:val="center"/>
        </w:trPr>
        <w:tc>
          <w:tcPr>
            <w:tcW w:w="2340" w:type="dxa"/>
            <w:vAlign w:val="center"/>
          </w:tcPr>
          <w:p w14:paraId="7BA1449A" w14:textId="77777777" w:rsidR="00995499" w:rsidRDefault="00000000">
            <w:pPr>
              <w:spacing w:after="20"/>
            </w:pPr>
            <w:r>
              <w:rPr>
                <w:sz w:val="16"/>
              </w:rPr>
              <w:t>Worker</w:t>
            </w:r>
          </w:p>
        </w:tc>
        <w:tc>
          <w:tcPr>
            <w:tcW w:w="2340" w:type="dxa"/>
            <w:vAlign w:val="center"/>
          </w:tcPr>
          <w:p w14:paraId="74D1BE2E" w14:textId="77777777" w:rsidR="00995499" w:rsidRDefault="00000000">
            <w:pPr>
              <w:spacing w:after="20"/>
            </w:pPr>
            <w:r>
              <w:rPr>
                <w:sz w:val="16"/>
              </w:rPr>
              <w:t>21 × (32 cores, 384 GB RAM, 6 × 4 TB NVMe)</w:t>
            </w:r>
          </w:p>
        </w:tc>
        <w:tc>
          <w:tcPr>
            <w:tcW w:w="2340" w:type="dxa"/>
            <w:vAlign w:val="center"/>
          </w:tcPr>
          <w:p w14:paraId="2D79DCD4" w14:textId="77777777" w:rsidR="00995499" w:rsidRDefault="00000000">
            <w:pPr>
              <w:spacing w:after="20"/>
            </w:pPr>
            <w:r>
              <w:rPr>
                <w:sz w:val="16"/>
              </w:rPr>
              <w:t>672 cores / 8,064 GB</w:t>
            </w:r>
          </w:p>
        </w:tc>
        <w:tc>
          <w:tcPr>
            <w:tcW w:w="2340" w:type="dxa"/>
            <w:vAlign w:val="center"/>
          </w:tcPr>
          <w:p w14:paraId="37197D12" w14:textId="77777777" w:rsidR="00995499" w:rsidRDefault="00000000">
            <w:pPr>
              <w:spacing w:after="20"/>
            </w:pPr>
            <w:r>
              <w:rPr>
                <w:sz w:val="16"/>
              </w:rPr>
              <w:t>504 TB</w:t>
            </w:r>
          </w:p>
        </w:tc>
      </w:tr>
      <w:tr w:rsidR="00995499" w14:paraId="7F006B5C" w14:textId="77777777">
        <w:trPr>
          <w:jc w:val="center"/>
        </w:trPr>
        <w:tc>
          <w:tcPr>
            <w:tcW w:w="2340" w:type="dxa"/>
            <w:vAlign w:val="center"/>
          </w:tcPr>
          <w:p w14:paraId="122F25F2" w14:textId="77777777" w:rsidR="00995499" w:rsidRDefault="00000000">
            <w:pPr>
              <w:spacing w:after="20"/>
            </w:pPr>
            <w:r>
              <w:rPr>
                <w:sz w:val="16"/>
              </w:rPr>
              <w:t>Kafka</w:t>
            </w:r>
          </w:p>
        </w:tc>
        <w:tc>
          <w:tcPr>
            <w:tcW w:w="2340" w:type="dxa"/>
            <w:vAlign w:val="center"/>
          </w:tcPr>
          <w:p w14:paraId="35CF6492" w14:textId="77777777" w:rsidR="00995499" w:rsidRDefault="00000000">
            <w:pPr>
              <w:spacing w:after="20"/>
            </w:pPr>
            <w:r>
              <w:rPr>
                <w:sz w:val="16"/>
              </w:rPr>
              <w:t>3 × (32 cores, 384 GB RAM, 4 × 4 TB NVMe)</w:t>
            </w:r>
          </w:p>
        </w:tc>
        <w:tc>
          <w:tcPr>
            <w:tcW w:w="2340" w:type="dxa"/>
            <w:vAlign w:val="center"/>
          </w:tcPr>
          <w:p w14:paraId="7051FC98" w14:textId="77777777" w:rsidR="00995499" w:rsidRDefault="00000000">
            <w:pPr>
              <w:spacing w:after="20"/>
            </w:pPr>
            <w:r>
              <w:rPr>
                <w:sz w:val="16"/>
              </w:rPr>
              <w:t>96 cores / 1,152 GB</w:t>
            </w:r>
          </w:p>
        </w:tc>
        <w:tc>
          <w:tcPr>
            <w:tcW w:w="2340" w:type="dxa"/>
            <w:vAlign w:val="center"/>
          </w:tcPr>
          <w:p w14:paraId="14543EF8" w14:textId="77777777" w:rsidR="00995499" w:rsidRDefault="00000000">
            <w:pPr>
              <w:spacing w:after="20"/>
            </w:pPr>
            <w:r>
              <w:rPr>
                <w:sz w:val="16"/>
              </w:rPr>
              <w:t>48 TB</w:t>
            </w:r>
          </w:p>
        </w:tc>
      </w:tr>
      <w:tr w:rsidR="00995499" w14:paraId="693729D8" w14:textId="77777777">
        <w:trPr>
          <w:jc w:val="center"/>
        </w:trPr>
        <w:tc>
          <w:tcPr>
            <w:tcW w:w="2340" w:type="dxa"/>
            <w:vAlign w:val="center"/>
          </w:tcPr>
          <w:p w14:paraId="4E239C43" w14:textId="77777777" w:rsidR="00995499" w:rsidRDefault="00000000">
            <w:pPr>
              <w:spacing w:after="20"/>
            </w:pPr>
            <w:r>
              <w:rPr>
                <w:sz w:val="16"/>
              </w:rPr>
              <w:t>Utility</w:t>
            </w:r>
          </w:p>
        </w:tc>
        <w:tc>
          <w:tcPr>
            <w:tcW w:w="2340" w:type="dxa"/>
            <w:vAlign w:val="center"/>
          </w:tcPr>
          <w:p w14:paraId="472E8949" w14:textId="77777777" w:rsidR="00995499" w:rsidRDefault="00000000">
            <w:pPr>
              <w:spacing w:after="20"/>
            </w:pPr>
            <w:r>
              <w:rPr>
                <w:sz w:val="16"/>
              </w:rPr>
              <w:t>3 × (32 cores, 384 GB RAM, 4 × 1 TB NVMe)</w:t>
            </w:r>
          </w:p>
        </w:tc>
        <w:tc>
          <w:tcPr>
            <w:tcW w:w="2340" w:type="dxa"/>
            <w:vAlign w:val="center"/>
          </w:tcPr>
          <w:p w14:paraId="5F559247" w14:textId="77777777" w:rsidR="00995499" w:rsidRDefault="00000000">
            <w:pPr>
              <w:spacing w:after="20"/>
            </w:pPr>
            <w:r>
              <w:rPr>
                <w:sz w:val="16"/>
              </w:rPr>
              <w:t>96 cores / 1,152 GB</w:t>
            </w:r>
          </w:p>
        </w:tc>
        <w:tc>
          <w:tcPr>
            <w:tcW w:w="2340" w:type="dxa"/>
            <w:vAlign w:val="center"/>
          </w:tcPr>
          <w:p w14:paraId="70D9A90C" w14:textId="77777777" w:rsidR="00995499" w:rsidRDefault="00000000">
            <w:pPr>
              <w:spacing w:after="20"/>
            </w:pPr>
            <w:r>
              <w:rPr>
                <w:sz w:val="16"/>
              </w:rPr>
              <w:t>12 TB</w:t>
            </w:r>
          </w:p>
        </w:tc>
      </w:tr>
      <w:tr w:rsidR="00995499" w14:paraId="6C95ABF4" w14:textId="77777777">
        <w:trPr>
          <w:jc w:val="center"/>
        </w:trPr>
        <w:tc>
          <w:tcPr>
            <w:tcW w:w="2340" w:type="dxa"/>
            <w:vAlign w:val="center"/>
          </w:tcPr>
          <w:p w14:paraId="044D204F" w14:textId="77777777" w:rsidR="00995499" w:rsidRDefault="00000000">
            <w:pPr>
              <w:spacing w:after="20"/>
            </w:pPr>
            <w:r>
              <w:rPr>
                <w:sz w:val="16"/>
              </w:rPr>
              <w:t>TOTAL</w:t>
            </w:r>
          </w:p>
        </w:tc>
        <w:tc>
          <w:tcPr>
            <w:tcW w:w="2340" w:type="dxa"/>
            <w:vAlign w:val="center"/>
          </w:tcPr>
          <w:p w14:paraId="1DDD2C33" w14:textId="77777777" w:rsidR="00995499" w:rsidRDefault="00000000">
            <w:pPr>
              <w:spacing w:after="20"/>
            </w:pPr>
            <w:r>
              <w:rPr>
                <w:sz w:val="16"/>
              </w:rPr>
              <w:t>30 physical nodes</w:t>
            </w:r>
          </w:p>
        </w:tc>
        <w:tc>
          <w:tcPr>
            <w:tcW w:w="2340" w:type="dxa"/>
            <w:vAlign w:val="center"/>
          </w:tcPr>
          <w:p w14:paraId="48F56E87" w14:textId="77777777" w:rsidR="00995499" w:rsidRDefault="00000000">
            <w:pPr>
              <w:spacing w:after="20"/>
            </w:pPr>
            <w:r>
              <w:rPr>
                <w:sz w:val="16"/>
              </w:rPr>
              <w:t>912 cores / 11,136 GB RAM</w:t>
            </w:r>
          </w:p>
        </w:tc>
        <w:tc>
          <w:tcPr>
            <w:tcW w:w="2340" w:type="dxa"/>
            <w:vAlign w:val="center"/>
          </w:tcPr>
          <w:p w14:paraId="0A9E0E42" w14:textId="77777777" w:rsidR="00995499" w:rsidRDefault="00000000">
            <w:pPr>
              <w:spacing w:after="20"/>
            </w:pPr>
            <w:r>
              <w:rPr>
                <w:sz w:val="16"/>
              </w:rPr>
              <w:t>588 TB raw NVMe</w:t>
            </w:r>
          </w:p>
        </w:tc>
      </w:tr>
    </w:tbl>
    <w:p w14:paraId="44F28F66" w14:textId="77777777" w:rsidR="00995499" w:rsidRDefault="00000000" w:rsidP="0087603A">
      <w:pPr>
        <w:pStyle w:val="Heading2"/>
      </w:pPr>
      <w:r>
        <w:t>B. Node architecture and service placement</w:t>
      </w:r>
    </w:p>
    <w:tbl>
      <w:tblPr>
        <w:tblStyle w:val="TableGrid"/>
        <w:tblW w:w="0" w:type="auto"/>
        <w:jc w:val="center"/>
        <w:tblLook w:val="04A0" w:firstRow="1" w:lastRow="0" w:firstColumn="1" w:lastColumn="0" w:noHBand="0" w:noVBand="1"/>
      </w:tblPr>
      <w:tblGrid>
        <w:gridCol w:w="3120"/>
        <w:gridCol w:w="3120"/>
        <w:gridCol w:w="3120"/>
      </w:tblGrid>
      <w:tr w:rsidR="00995499" w14:paraId="06C21FAD" w14:textId="77777777">
        <w:trPr>
          <w:jc w:val="center"/>
        </w:trPr>
        <w:tc>
          <w:tcPr>
            <w:tcW w:w="3120" w:type="dxa"/>
            <w:shd w:val="clear" w:color="auto" w:fill="1F4E78"/>
            <w:vAlign w:val="center"/>
          </w:tcPr>
          <w:p w14:paraId="28741B4A" w14:textId="77777777" w:rsidR="00995499" w:rsidRDefault="00000000">
            <w:pPr>
              <w:spacing w:after="20"/>
            </w:pPr>
            <w:r>
              <w:rPr>
                <w:b/>
                <w:color w:val="FFFFFF"/>
                <w:sz w:val="15"/>
              </w:rPr>
              <w:t>Pool</w:t>
            </w:r>
          </w:p>
        </w:tc>
        <w:tc>
          <w:tcPr>
            <w:tcW w:w="3120" w:type="dxa"/>
            <w:shd w:val="clear" w:color="auto" w:fill="1F4E78"/>
            <w:vAlign w:val="center"/>
          </w:tcPr>
          <w:p w14:paraId="0947BA8E" w14:textId="77777777" w:rsidR="00995499" w:rsidRDefault="00000000">
            <w:pPr>
              <w:spacing w:after="20"/>
            </w:pPr>
            <w:r>
              <w:rPr>
                <w:b/>
                <w:color w:val="FFFFFF"/>
                <w:sz w:val="15"/>
              </w:rPr>
              <w:t>Placement intent</w:t>
            </w:r>
          </w:p>
        </w:tc>
        <w:tc>
          <w:tcPr>
            <w:tcW w:w="3120" w:type="dxa"/>
            <w:shd w:val="clear" w:color="auto" w:fill="1F4E78"/>
            <w:vAlign w:val="center"/>
          </w:tcPr>
          <w:p w14:paraId="1FCC96CE" w14:textId="77777777" w:rsidR="00995499" w:rsidRDefault="00000000">
            <w:pPr>
              <w:spacing w:after="20"/>
            </w:pPr>
            <w:r>
              <w:rPr>
                <w:b/>
                <w:color w:val="FFFFFF"/>
                <w:sz w:val="15"/>
              </w:rPr>
              <w:t>Availability / operating controls</w:t>
            </w:r>
          </w:p>
        </w:tc>
      </w:tr>
      <w:tr w:rsidR="00995499" w14:paraId="3A2046BB" w14:textId="77777777">
        <w:trPr>
          <w:jc w:val="center"/>
        </w:trPr>
        <w:tc>
          <w:tcPr>
            <w:tcW w:w="3120" w:type="dxa"/>
            <w:vAlign w:val="center"/>
          </w:tcPr>
          <w:p w14:paraId="6045E439" w14:textId="77777777" w:rsidR="00995499" w:rsidRDefault="00000000">
            <w:pPr>
              <w:spacing w:after="20"/>
            </w:pPr>
            <w:r>
              <w:rPr>
                <w:sz w:val="15"/>
              </w:rPr>
              <w:t>Master (3)</w:t>
            </w:r>
          </w:p>
        </w:tc>
        <w:tc>
          <w:tcPr>
            <w:tcW w:w="3120" w:type="dxa"/>
            <w:vAlign w:val="center"/>
          </w:tcPr>
          <w:p w14:paraId="74513745" w14:textId="77777777" w:rsidR="00995499" w:rsidRDefault="00000000">
            <w:pPr>
              <w:spacing w:after="20"/>
            </w:pPr>
            <w:r>
              <w:rPr>
                <w:sz w:val="15"/>
              </w:rPr>
              <w:t>Reserve for Cloudera management and control-plane roles selected in low-level design. No general-purpose streaming/batch jobs.</w:t>
            </w:r>
          </w:p>
        </w:tc>
        <w:tc>
          <w:tcPr>
            <w:tcW w:w="3120" w:type="dxa"/>
            <w:vAlign w:val="center"/>
          </w:tcPr>
          <w:p w14:paraId="6AC246BA" w14:textId="77777777" w:rsidR="00995499" w:rsidRDefault="00000000">
            <w:pPr>
              <w:spacing w:after="20"/>
            </w:pPr>
            <w:r>
              <w:rPr>
                <w:sz w:val="15"/>
              </w:rPr>
              <w:t>Distribute across failure domains where possible; monitor management services and document recovery procedures.</w:t>
            </w:r>
          </w:p>
        </w:tc>
      </w:tr>
      <w:tr w:rsidR="00995499" w14:paraId="50AF79AA" w14:textId="77777777">
        <w:trPr>
          <w:jc w:val="center"/>
        </w:trPr>
        <w:tc>
          <w:tcPr>
            <w:tcW w:w="3120" w:type="dxa"/>
            <w:vAlign w:val="center"/>
          </w:tcPr>
          <w:p w14:paraId="034642C3" w14:textId="77777777" w:rsidR="00995499" w:rsidRDefault="00000000">
            <w:pPr>
              <w:spacing w:after="20"/>
            </w:pPr>
            <w:r>
              <w:rPr>
                <w:sz w:val="15"/>
              </w:rPr>
              <w:t>Worker (21)</w:t>
            </w:r>
          </w:p>
        </w:tc>
        <w:tc>
          <w:tcPr>
            <w:tcW w:w="3120" w:type="dxa"/>
            <w:vAlign w:val="center"/>
          </w:tcPr>
          <w:p w14:paraId="397BE99D" w14:textId="77777777" w:rsidR="00995499" w:rsidRDefault="00000000">
            <w:pPr>
              <w:spacing w:after="20"/>
            </w:pPr>
            <w:r>
              <w:rPr>
                <w:sz w:val="15"/>
              </w:rPr>
              <w:t>Primary distributed compute tier for Flink TaskManagers and other approved Cloudera compute roles. Use distinct resource pools/queues for real-time, micro-batch and backfill.</w:t>
            </w:r>
          </w:p>
        </w:tc>
        <w:tc>
          <w:tcPr>
            <w:tcW w:w="3120" w:type="dxa"/>
            <w:vAlign w:val="center"/>
          </w:tcPr>
          <w:p w14:paraId="61BDFD68" w14:textId="77777777" w:rsidR="00995499" w:rsidRDefault="00000000">
            <w:pPr>
              <w:spacing w:after="20"/>
            </w:pPr>
            <w:r>
              <w:rPr>
                <w:sz w:val="15"/>
              </w:rPr>
              <w:t>Set resource guarantees/quotas and maintain headroom for recovery, rebalancing and growth.</w:t>
            </w:r>
          </w:p>
        </w:tc>
      </w:tr>
      <w:tr w:rsidR="00995499" w14:paraId="429C62FA" w14:textId="77777777">
        <w:trPr>
          <w:jc w:val="center"/>
        </w:trPr>
        <w:tc>
          <w:tcPr>
            <w:tcW w:w="3120" w:type="dxa"/>
            <w:vAlign w:val="center"/>
          </w:tcPr>
          <w:p w14:paraId="76DB4466" w14:textId="77777777" w:rsidR="00995499" w:rsidRDefault="00000000">
            <w:pPr>
              <w:spacing w:after="20"/>
            </w:pPr>
            <w:r>
              <w:rPr>
                <w:sz w:val="15"/>
              </w:rPr>
              <w:t>Kafka (3)</w:t>
            </w:r>
          </w:p>
        </w:tc>
        <w:tc>
          <w:tcPr>
            <w:tcW w:w="3120" w:type="dxa"/>
            <w:vAlign w:val="center"/>
          </w:tcPr>
          <w:p w14:paraId="54DBEE7F" w14:textId="77777777" w:rsidR="00995499" w:rsidRDefault="00000000">
            <w:pPr>
              <w:spacing w:after="20"/>
            </w:pPr>
            <w:r>
              <w:rPr>
                <w:sz w:val="15"/>
              </w:rPr>
              <w:t xml:space="preserve">Dedicated Kafka brokers, with broker logs on local NVMe. Use replication factor 3 and </w:t>
            </w:r>
            <w:proofErr w:type="gramStart"/>
            <w:r>
              <w:rPr>
                <w:sz w:val="15"/>
              </w:rPr>
              <w:t>min.insync</w:t>
            </w:r>
            <w:proofErr w:type="gramEnd"/>
            <w:r>
              <w:rPr>
                <w:sz w:val="15"/>
              </w:rPr>
              <w:t>.replicas=2 for critical topics where appropriate.</w:t>
            </w:r>
          </w:p>
        </w:tc>
        <w:tc>
          <w:tcPr>
            <w:tcW w:w="3120" w:type="dxa"/>
            <w:vAlign w:val="center"/>
          </w:tcPr>
          <w:p w14:paraId="14595847" w14:textId="77777777" w:rsidR="00995499" w:rsidRDefault="00000000">
            <w:pPr>
              <w:spacing w:after="20"/>
            </w:pPr>
            <w:r>
              <w:rPr>
                <w:sz w:val="15"/>
              </w:rPr>
              <w:t>Use rack-aware placement where supported; alert on under-replicated partitions, disk pressure, request latency and consumer lag.</w:t>
            </w:r>
          </w:p>
        </w:tc>
      </w:tr>
      <w:tr w:rsidR="00995499" w14:paraId="38330B14" w14:textId="77777777">
        <w:trPr>
          <w:jc w:val="center"/>
        </w:trPr>
        <w:tc>
          <w:tcPr>
            <w:tcW w:w="3120" w:type="dxa"/>
            <w:vAlign w:val="center"/>
          </w:tcPr>
          <w:p w14:paraId="048DD9BB" w14:textId="77777777" w:rsidR="00995499" w:rsidRDefault="00000000">
            <w:pPr>
              <w:spacing w:after="20"/>
            </w:pPr>
            <w:r>
              <w:rPr>
                <w:sz w:val="15"/>
              </w:rPr>
              <w:t>Utility (3)</w:t>
            </w:r>
          </w:p>
        </w:tc>
        <w:tc>
          <w:tcPr>
            <w:tcW w:w="3120" w:type="dxa"/>
            <w:vAlign w:val="center"/>
          </w:tcPr>
          <w:p w14:paraId="50E6844B" w14:textId="77777777" w:rsidR="00995499" w:rsidRDefault="00000000">
            <w:pPr>
              <w:spacing w:after="20"/>
            </w:pPr>
            <w:r>
              <w:rPr>
                <w:sz w:val="15"/>
              </w:rPr>
              <w:t>Approved utility/support roles, monitoring agents or auxiliary services only as assigned by the detailed service-role map.</w:t>
            </w:r>
          </w:p>
        </w:tc>
        <w:tc>
          <w:tcPr>
            <w:tcW w:w="3120" w:type="dxa"/>
            <w:vAlign w:val="center"/>
          </w:tcPr>
          <w:p w14:paraId="366E1547" w14:textId="77777777" w:rsidR="00995499" w:rsidRDefault="00000000">
            <w:pPr>
              <w:spacing w:after="20"/>
            </w:pPr>
            <w:r>
              <w:rPr>
                <w:sz w:val="15"/>
              </w:rPr>
              <w:t>Do not place latency-critical broker or TaskManager data paths here without capacity and interference testing.</w:t>
            </w:r>
          </w:p>
        </w:tc>
      </w:tr>
    </w:tbl>
    <w:p w14:paraId="193CC048" w14:textId="77777777" w:rsidR="00995499" w:rsidRDefault="00000000" w:rsidP="0087603A">
      <w:pPr>
        <w:pStyle w:val="Heading2"/>
      </w:pPr>
      <w:r>
        <w:lastRenderedPageBreak/>
        <w:t>C. Logical streaming compute architecture</w:t>
      </w:r>
    </w:p>
    <w:p w14:paraId="58C985F0" w14:textId="0A07C8EB" w:rsidR="00BF6904" w:rsidRPr="00BF6904" w:rsidRDefault="00BF6904" w:rsidP="00BF6904">
      <w:r w:rsidRPr="00BF6904">
        <w:rPr>
          <w:noProof/>
        </w:rPr>
        <w:drawing>
          <wp:inline distT="0" distB="0" distL="0" distR="0" wp14:anchorId="168A757A" wp14:editId="112315CB">
            <wp:extent cx="5943600" cy="3241675"/>
            <wp:effectExtent l="0" t="0" r="0" b="0"/>
            <wp:docPr id="167035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6D938A79" w14:textId="77777777" w:rsidR="00BF6904" w:rsidRDefault="00BF6904"/>
    <w:p w14:paraId="19957946" w14:textId="130A5FBD" w:rsidR="00BF6904" w:rsidRPr="00BF6904" w:rsidRDefault="00BF6904" w:rsidP="00BF6904">
      <w:pPr>
        <w:pStyle w:val="ListParagraph"/>
        <w:numPr>
          <w:ilvl w:val="0"/>
          <w:numId w:val="11"/>
        </w:numPr>
        <w:ind w:left="540" w:hanging="270"/>
        <w:jc w:val="both"/>
      </w:pPr>
      <w:r w:rsidRPr="00BF6904">
        <w:rPr>
          <w:b/>
          <w:bCs/>
        </w:rPr>
        <w:t>Source Systems &amp; Ingestion:</w:t>
      </w:r>
      <w:r w:rsidRPr="00BF6904">
        <w:t xml:space="preserve"> Data originates from source systems (IRIS, </w:t>
      </w:r>
      <w:proofErr w:type="spellStart"/>
      <w:r w:rsidRPr="00BF6904">
        <w:t>eFBR</w:t>
      </w:r>
      <w:proofErr w:type="spellEnd"/>
      <w:r w:rsidRPr="00BF6904">
        <w:t xml:space="preserve">, </w:t>
      </w:r>
      <w:proofErr w:type="spellStart"/>
      <w:r w:rsidRPr="00BF6904">
        <w:t>RegSys</w:t>
      </w:r>
      <w:proofErr w:type="spellEnd"/>
      <w:r w:rsidRPr="00BF6904">
        <w:t xml:space="preserve">, and TAMS) and flows into Oracle via log-based Change Data Capture (CDC) using Oracle </w:t>
      </w:r>
      <w:proofErr w:type="spellStart"/>
      <w:r w:rsidRPr="00BF6904">
        <w:t>GoldenGate</w:t>
      </w:r>
      <w:proofErr w:type="spellEnd"/>
      <w:r w:rsidRPr="00BF6904">
        <w:t xml:space="preserve"> 26ai, alongside API and file feeds.</w:t>
      </w:r>
    </w:p>
    <w:p w14:paraId="165A31D2" w14:textId="4DD0EF3E" w:rsidR="00BF6904" w:rsidRPr="00BF6904" w:rsidRDefault="00BF6904" w:rsidP="00BF6904">
      <w:pPr>
        <w:pStyle w:val="ListParagraph"/>
        <w:numPr>
          <w:ilvl w:val="0"/>
          <w:numId w:val="11"/>
        </w:numPr>
        <w:ind w:left="540" w:hanging="270"/>
        <w:jc w:val="both"/>
      </w:pPr>
      <w:r w:rsidRPr="00BF6904">
        <w:rPr>
          <w:b/>
          <w:bCs/>
        </w:rPr>
        <w:t>Data Flow &amp; Messaging:</w:t>
      </w:r>
      <w:r w:rsidRPr="00BF6904">
        <w:t xml:space="preserve"> Ingested data moves through </w:t>
      </w:r>
      <w:proofErr w:type="spellStart"/>
      <w:r w:rsidRPr="00BF6904">
        <w:t>NiFi</w:t>
      </w:r>
      <w:proofErr w:type="spellEnd"/>
      <w:r w:rsidRPr="00BF6904">
        <w:t xml:space="preserve"> / Cloudera </w:t>
      </w:r>
      <w:proofErr w:type="spellStart"/>
      <w:r w:rsidRPr="00BF6904">
        <w:t>DataFlow</w:t>
      </w:r>
      <w:proofErr w:type="spellEnd"/>
      <w:r w:rsidRPr="00BF6904">
        <w:t xml:space="preserve"> into a dedicated 3-node Kafka messaging pool configured with replication factor 3, minimum ISR 2 for critical topics, quotas, and ACLs.</w:t>
      </w:r>
    </w:p>
    <w:p w14:paraId="1D361265" w14:textId="1A344957" w:rsidR="00BF6904" w:rsidRPr="00BF6904" w:rsidRDefault="00BF6904" w:rsidP="00BF6904">
      <w:pPr>
        <w:pStyle w:val="ListParagraph"/>
        <w:numPr>
          <w:ilvl w:val="0"/>
          <w:numId w:val="11"/>
        </w:numPr>
        <w:ind w:left="540" w:hanging="270"/>
        <w:jc w:val="both"/>
      </w:pPr>
      <w:r w:rsidRPr="00BF6904">
        <w:rPr>
          <w:b/>
          <w:bCs/>
        </w:rPr>
        <w:t>Real-Time Processing &amp; Compute:</w:t>
      </w:r>
      <w:r w:rsidRPr="00BF6904">
        <w:t xml:space="preserve"> A 21-node worker pool running Apache Flink </w:t>
      </w:r>
      <w:proofErr w:type="spellStart"/>
      <w:r w:rsidRPr="00BF6904">
        <w:t>TaskManagers</w:t>
      </w:r>
      <w:proofErr w:type="spellEnd"/>
      <w:r w:rsidRPr="00BF6904">
        <w:t xml:space="preserve"> handles real-time compute, utilizing checkpointed state, parallelism controls, back-pressure handling, and resource pooling.</w:t>
      </w:r>
    </w:p>
    <w:p w14:paraId="3E6C5CA5" w14:textId="23722D56" w:rsidR="00BF6904" w:rsidRPr="00BF6904" w:rsidRDefault="00BF6904" w:rsidP="00BF6904">
      <w:pPr>
        <w:pStyle w:val="ListParagraph"/>
        <w:numPr>
          <w:ilvl w:val="0"/>
          <w:numId w:val="11"/>
        </w:numPr>
        <w:ind w:left="540" w:hanging="270"/>
        <w:jc w:val="both"/>
      </w:pPr>
      <w:r w:rsidRPr="00BF6904">
        <w:rPr>
          <w:b/>
          <w:bCs/>
        </w:rPr>
        <w:t>Cluster Management &amp; Utility:</w:t>
      </w:r>
      <w:r w:rsidRPr="00BF6904">
        <w:t xml:space="preserve"> The infrastructure includes a 3-node master pool dedicated to control-plane services and Cloudera Manager (with no general-purpose workload scheduling), plus a 3-node utility pool restricted to approved and monitored support services.</w:t>
      </w:r>
    </w:p>
    <w:p w14:paraId="5E2B095F" w14:textId="5724BCEE" w:rsidR="00BF6904" w:rsidRPr="00BF6904" w:rsidRDefault="00BF6904" w:rsidP="00BF6904">
      <w:pPr>
        <w:pStyle w:val="ListParagraph"/>
        <w:numPr>
          <w:ilvl w:val="0"/>
          <w:numId w:val="11"/>
        </w:numPr>
        <w:ind w:left="540" w:hanging="270"/>
        <w:jc w:val="both"/>
      </w:pPr>
      <w:r w:rsidRPr="00BF6904">
        <w:rPr>
          <w:b/>
          <w:bCs/>
        </w:rPr>
        <w:t>Storage, Caching &amp; Serving Layers:</w:t>
      </w:r>
      <w:r w:rsidRPr="00BF6904">
        <w:t xml:space="preserve"> Processed data lands in Bronze Iceberg/Parquet storage on HPE </w:t>
      </w:r>
      <w:proofErr w:type="spellStart"/>
      <w:r w:rsidRPr="00BF6904">
        <w:t>Alletra</w:t>
      </w:r>
      <w:proofErr w:type="spellEnd"/>
      <w:r w:rsidRPr="00BF6904">
        <w:t xml:space="preserve"> Object Storage, feeds quarantine topics, updates the Redis Enterprise cache, and powers the Cloudera AI online feature path, with Spark/ODI subsequently promoting data to </w:t>
      </w:r>
      <w:proofErr w:type="gramStart"/>
      <w:r w:rsidRPr="00BF6904">
        <w:t>Silver and Gold</w:t>
      </w:r>
      <w:proofErr w:type="gramEnd"/>
      <w:r w:rsidRPr="00BF6904">
        <w:t xml:space="preserve"> layers.</w:t>
      </w:r>
    </w:p>
    <w:p w14:paraId="34135CC7" w14:textId="3A5D1ABE" w:rsidR="00BF6904" w:rsidRPr="00BF6904" w:rsidRDefault="00BF6904" w:rsidP="00BF6904">
      <w:pPr>
        <w:pStyle w:val="ListParagraph"/>
        <w:numPr>
          <w:ilvl w:val="0"/>
          <w:numId w:val="11"/>
        </w:numPr>
        <w:ind w:left="540" w:hanging="270"/>
        <w:jc w:val="both"/>
      </w:pPr>
      <w:r w:rsidRPr="00BF6904">
        <w:rPr>
          <w:b/>
          <w:bCs/>
        </w:rPr>
        <w:t>Infrastructure Summary:</w:t>
      </w:r>
      <w:r w:rsidRPr="00BF6904">
        <w:t xml:space="preserve"> The core compute and messaging infrastructure totals 30 nodes and 588 TB of </w:t>
      </w:r>
      <w:proofErr w:type="spellStart"/>
      <w:r w:rsidRPr="00BF6904">
        <w:t>NVMe</w:t>
      </w:r>
      <w:proofErr w:type="spellEnd"/>
      <w:r w:rsidRPr="00BF6904">
        <w:t xml:space="preserve"> storage, while external/separate platform components (</w:t>
      </w:r>
      <w:proofErr w:type="spellStart"/>
      <w:r w:rsidRPr="00BF6904">
        <w:t>GoldenGate</w:t>
      </w:r>
      <w:proofErr w:type="spellEnd"/>
      <w:r w:rsidRPr="00BF6904">
        <w:t xml:space="preserve">, Redis Enterprise, and HPE </w:t>
      </w:r>
      <w:proofErr w:type="spellStart"/>
      <w:r w:rsidRPr="00BF6904">
        <w:t>Alletra</w:t>
      </w:r>
      <w:proofErr w:type="spellEnd"/>
      <w:r w:rsidRPr="00BF6904">
        <w:t xml:space="preserve"> Object Storage) are sized independently.</w:t>
      </w:r>
    </w:p>
    <w:tbl>
      <w:tblPr>
        <w:tblStyle w:val="TableGrid"/>
        <w:tblW w:w="0" w:type="auto"/>
        <w:jc w:val="center"/>
        <w:tblLook w:val="04A0" w:firstRow="1" w:lastRow="0" w:firstColumn="1" w:lastColumn="0" w:noHBand="0" w:noVBand="1"/>
      </w:tblPr>
      <w:tblGrid>
        <w:gridCol w:w="3120"/>
        <w:gridCol w:w="3120"/>
        <w:gridCol w:w="3120"/>
      </w:tblGrid>
      <w:tr w:rsidR="00995499" w14:paraId="37B6BDC1" w14:textId="77777777">
        <w:trPr>
          <w:jc w:val="center"/>
        </w:trPr>
        <w:tc>
          <w:tcPr>
            <w:tcW w:w="3120" w:type="dxa"/>
            <w:shd w:val="clear" w:color="auto" w:fill="1F4E78"/>
            <w:vAlign w:val="center"/>
          </w:tcPr>
          <w:p w14:paraId="59D39FD7" w14:textId="77777777" w:rsidR="00995499" w:rsidRDefault="00000000">
            <w:pPr>
              <w:spacing w:after="20"/>
            </w:pPr>
            <w:r>
              <w:rPr>
                <w:b/>
                <w:color w:val="FFFFFF"/>
                <w:sz w:val="15"/>
              </w:rPr>
              <w:t>Flow stage</w:t>
            </w:r>
          </w:p>
        </w:tc>
        <w:tc>
          <w:tcPr>
            <w:tcW w:w="3120" w:type="dxa"/>
            <w:shd w:val="clear" w:color="auto" w:fill="1F4E78"/>
            <w:vAlign w:val="center"/>
          </w:tcPr>
          <w:p w14:paraId="26A7EBA6" w14:textId="77777777" w:rsidR="00995499" w:rsidRDefault="00000000">
            <w:pPr>
              <w:spacing w:after="20"/>
            </w:pPr>
            <w:r>
              <w:rPr>
                <w:b/>
                <w:color w:val="FFFFFF"/>
                <w:sz w:val="15"/>
              </w:rPr>
              <w:t>Assigned node pool / platform</w:t>
            </w:r>
          </w:p>
        </w:tc>
        <w:tc>
          <w:tcPr>
            <w:tcW w:w="3120" w:type="dxa"/>
            <w:shd w:val="clear" w:color="auto" w:fill="1F4E78"/>
            <w:vAlign w:val="center"/>
          </w:tcPr>
          <w:p w14:paraId="13081267" w14:textId="77777777" w:rsidR="00995499" w:rsidRDefault="00000000">
            <w:pPr>
              <w:spacing w:after="20"/>
            </w:pPr>
            <w:r>
              <w:rPr>
                <w:b/>
                <w:color w:val="FFFFFF"/>
                <w:sz w:val="15"/>
              </w:rPr>
              <w:t>Key controls</w:t>
            </w:r>
          </w:p>
        </w:tc>
      </w:tr>
      <w:tr w:rsidR="00995499" w14:paraId="768AA26B" w14:textId="77777777">
        <w:trPr>
          <w:jc w:val="center"/>
        </w:trPr>
        <w:tc>
          <w:tcPr>
            <w:tcW w:w="3120" w:type="dxa"/>
            <w:vAlign w:val="center"/>
          </w:tcPr>
          <w:p w14:paraId="789A61C3" w14:textId="77777777" w:rsidR="00995499" w:rsidRDefault="00000000">
            <w:pPr>
              <w:spacing w:after="20"/>
            </w:pPr>
            <w:r>
              <w:rPr>
                <w:sz w:val="15"/>
              </w:rPr>
              <w:t>Ingestion</w:t>
            </w:r>
          </w:p>
        </w:tc>
        <w:tc>
          <w:tcPr>
            <w:tcW w:w="3120" w:type="dxa"/>
            <w:vAlign w:val="center"/>
          </w:tcPr>
          <w:p w14:paraId="55A56F13" w14:textId="77777777" w:rsidR="00995499" w:rsidRDefault="00000000">
            <w:pPr>
              <w:spacing w:after="20"/>
            </w:pPr>
            <w:r>
              <w:rPr>
                <w:sz w:val="15"/>
              </w:rPr>
              <w:t>GoldenGate and NiFi / Cloudera DataFlow (role placement to be confirmed)</w:t>
            </w:r>
          </w:p>
        </w:tc>
        <w:tc>
          <w:tcPr>
            <w:tcW w:w="3120" w:type="dxa"/>
            <w:vAlign w:val="center"/>
          </w:tcPr>
          <w:p w14:paraId="46A301D8" w14:textId="77777777" w:rsidR="00995499" w:rsidRDefault="00000000">
            <w:pPr>
              <w:spacing w:after="20"/>
            </w:pPr>
            <w:r>
              <w:rPr>
                <w:sz w:val="15"/>
              </w:rPr>
              <w:t>Log-based CDC, source impact controls, schema validation</w:t>
            </w:r>
          </w:p>
        </w:tc>
      </w:tr>
      <w:tr w:rsidR="00995499" w14:paraId="5924A0A8" w14:textId="77777777">
        <w:trPr>
          <w:jc w:val="center"/>
        </w:trPr>
        <w:tc>
          <w:tcPr>
            <w:tcW w:w="3120" w:type="dxa"/>
            <w:vAlign w:val="center"/>
          </w:tcPr>
          <w:p w14:paraId="3F85D2BD" w14:textId="77777777" w:rsidR="00995499" w:rsidRDefault="00000000">
            <w:pPr>
              <w:spacing w:after="20"/>
            </w:pPr>
            <w:r>
              <w:rPr>
                <w:sz w:val="15"/>
              </w:rPr>
              <w:t>Durable messaging</w:t>
            </w:r>
          </w:p>
        </w:tc>
        <w:tc>
          <w:tcPr>
            <w:tcW w:w="3120" w:type="dxa"/>
            <w:vAlign w:val="center"/>
          </w:tcPr>
          <w:p w14:paraId="0BF27DD8" w14:textId="77777777" w:rsidR="00995499" w:rsidRDefault="00000000">
            <w:pPr>
              <w:spacing w:after="20"/>
            </w:pPr>
            <w:r>
              <w:rPr>
                <w:sz w:val="15"/>
              </w:rPr>
              <w:t>3 × Kafka nodes</w:t>
            </w:r>
          </w:p>
        </w:tc>
        <w:tc>
          <w:tcPr>
            <w:tcW w:w="3120" w:type="dxa"/>
            <w:vAlign w:val="center"/>
          </w:tcPr>
          <w:p w14:paraId="70D2917F" w14:textId="77777777" w:rsidR="00995499" w:rsidRDefault="00000000">
            <w:pPr>
              <w:spacing w:after="20"/>
            </w:pPr>
            <w:r>
              <w:rPr>
                <w:sz w:val="15"/>
              </w:rPr>
              <w:t xml:space="preserve">Replication factor 3; min ISR 2 for critical </w:t>
            </w:r>
            <w:r>
              <w:rPr>
                <w:sz w:val="15"/>
              </w:rPr>
              <w:lastRenderedPageBreak/>
              <w:t>topics; quotas, ACLs, lag monitoring</w:t>
            </w:r>
          </w:p>
        </w:tc>
      </w:tr>
      <w:tr w:rsidR="00995499" w14:paraId="088C39D5" w14:textId="77777777">
        <w:trPr>
          <w:jc w:val="center"/>
        </w:trPr>
        <w:tc>
          <w:tcPr>
            <w:tcW w:w="3120" w:type="dxa"/>
            <w:vAlign w:val="center"/>
          </w:tcPr>
          <w:p w14:paraId="6D34400B" w14:textId="77777777" w:rsidR="00995499" w:rsidRDefault="00000000">
            <w:pPr>
              <w:spacing w:after="20"/>
            </w:pPr>
            <w:r>
              <w:rPr>
                <w:sz w:val="15"/>
              </w:rPr>
              <w:lastRenderedPageBreak/>
              <w:t>Real-time compute</w:t>
            </w:r>
          </w:p>
        </w:tc>
        <w:tc>
          <w:tcPr>
            <w:tcW w:w="3120" w:type="dxa"/>
            <w:vAlign w:val="center"/>
          </w:tcPr>
          <w:p w14:paraId="0889DF3C" w14:textId="77777777" w:rsidR="00995499" w:rsidRDefault="00000000">
            <w:pPr>
              <w:spacing w:after="20"/>
            </w:pPr>
            <w:r>
              <w:rPr>
                <w:sz w:val="15"/>
              </w:rPr>
              <w:t>21 × worker nodes hosting Flink TaskManagers through resource pools/queues</w:t>
            </w:r>
          </w:p>
        </w:tc>
        <w:tc>
          <w:tcPr>
            <w:tcW w:w="3120" w:type="dxa"/>
            <w:vAlign w:val="center"/>
          </w:tcPr>
          <w:p w14:paraId="2C45B061" w14:textId="77777777" w:rsidR="00995499" w:rsidRDefault="00000000">
            <w:pPr>
              <w:spacing w:after="20"/>
            </w:pPr>
            <w:r>
              <w:rPr>
                <w:sz w:val="15"/>
              </w:rPr>
              <w:t>Checkpointed state, parallelism, back-pressure, Tier 1 priority</w:t>
            </w:r>
          </w:p>
        </w:tc>
      </w:tr>
      <w:tr w:rsidR="00995499" w14:paraId="2315AAAD" w14:textId="77777777">
        <w:trPr>
          <w:jc w:val="center"/>
        </w:trPr>
        <w:tc>
          <w:tcPr>
            <w:tcW w:w="3120" w:type="dxa"/>
            <w:vAlign w:val="center"/>
          </w:tcPr>
          <w:p w14:paraId="06934386" w14:textId="77777777" w:rsidR="00995499" w:rsidRDefault="00000000">
            <w:pPr>
              <w:spacing w:after="20"/>
            </w:pPr>
            <w:r>
              <w:rPr>
                <w:sz w:val="15"/>
              </w:rPr>
              <w:t>Management</w:t>
            </w:r>
          </w:p>
        </w:tc>
        <w:tc>
          <w:tcPr>
            <w:tcW w:w="3120" w:type="dxa"/>
            <w:vAlign w:val="center"/>
          </w:tcPr>
          <w:p w14:paraId="5A92266C" w14:textId="77777777" w:rsidR="00995499" w:rsidRDefault="00000000">
            <w:pPr>
              <w:spacing w:after="20"/>
            </w:pPr>
            <w:r>
              <w:rPr>
                <w:sz w:val="15"/>
              </w:rPr>
              <w:t>3 × master nodes</w:t>
            </w:r>
          </w:p>
        </w:tc>
        <w:tc>
          <w:tcPr>
            <w:tcW w:w="3120" w:type="dxa"/>
            <w:vAlign w:val="center"/>
          </w:tcPr>
          <w:p w14:paraId="33D8E6A9" w14:textId="77777777" w:rsidR="00995499" w:rsidRDefault="00000000">
            <w:pPr>
              <w:spacing w:after="20"/>
            </w:pPr>
            <w:r>
              <w:rPr>
                <w:sz w:val="15"/>
              </w:rPr>
              <w:t>Control-plane services; no general-purpose workload scheduling</w:t>
            </w:r>
          </w:p>
        </w:tc>
      </w:tr>
      <w:tr w:rsidR="00995499" w14:paraId="700D6222" w14:textId="77777777">
        <w:trPr>
          <w:jc w:val="center"/>
        </w:trPr>
        <w:tc>
          <w:tcPr>
            <w:tcW w:w="3120" w:type="dxa"/>
            <w:vAlign w:val="center"/>
          </w:tcPr>
          <w:p w14:paraId="11417B0E" w14:textId="77777777" w:rsidR="00995499" w:rsidRDefault="00000000">
            <w:pPr>
              <w:spacing w:after="20"/>
            </w:pPr>
            <w:r>
              <w:rPr>
                <w:sz w:val="15"/>
              </w:rPr>
              <w:t>Utility/support</w:t>
            </w:r>
          </w:p>
        </w:tc>
        <w:tc>
          <w:tcPr>
            <w:tcW w:w="3120" w:type="dxa"/>
            <w:vAlign w:val="center"/>
          </w:tcPr>
          <w:p w14:paraId="181A7126" w14:textId="77777777" w:rsidR="00995499" w:rsidRDefault="00000000">
            <w:pPr>
              <w:spacing w:after="20"/>
            </w:pPr>
            <w:r>
              <w:rPr>
                <w:sz w:val="15"/>
              </w:rPr>
              <w:t>3 × utility nodes</w:t>
            </w:r>
          </w:p>
        </w:tc>
        <w:tc>
          <w:tcPr>
            <w:tcW w:w="3120" w:type="dxa"/>
            <w:vAlign w:val="center"/>
          </w:tcPr>
          <w:p w14:paraId="497386F6" w14:textId="77777777" w:rsidR="00995499" w:rsidRDefault="00000000">
            <w:pPr>
              <w:spacing w:after="20"/>
            </w:pPr>
            <w:r>
              <w:rPr>
                <w:sz w:val="15"/>
              </w:rPr>
              <w:t>Restricted to approved utility roles and monitored services</w:t>
            </w:r>
          </w:p>
        </w:tc>
      </w:tr>
      <w:tr w:rsidR="00995499" w14:paraId="16A02DBB" w14:textId="77777777">
        <w:trPr>
          <w:jc w:val="center"/>
        </w:trPr>
        <w:tc>
          <w:tcPr>
            <w:tcW w:w="3120" w:type="dxa"/>
            <w:vAlign w:val="center"/>
          </w:tcPr>
          <w:p w14:paraId="4C7A993A" w14:textId="77777777" w:rsidR="00995499" w:rsidRDefault="00000000">
            <w:pPr>
              <w:spacing w:after="20"/>
            </w:pPr>
            <w:r>
              <w:rPr>
                <w:sz w:val="15"/>
              </w:rPr>
              <w:t>Storage and serving</w:t>
            </w:r>
          </w:p>
        </w:tc>
        <w:tc>
          <w:tcPr>
            <w:tcW w:w="3120" w:type="dxa"/>
            <w:vAlign w:val="center"/>
          </w:tcPr>
          <w:p w14:paraId="16552F0C" w14:textId="77777777" w:rsidR="00995499" w:rsidRDefault="00000000">
            <w:pPr>
              <w:spacing w:after="20"/>
            </w:pPr>
            <w:r>
              <w:rPr>
                <w:sz w:val="15"/>
              </w:rPr>
              <w:t>HPE Alletra object storage, Redis Enterprise, Oracle platform</w:t>
            </w:r>
          </w:p>
        </w:tc>
        <w:tc>
          <w:tcPr>
            <w:tcW w:w="3120" w:type="dxa"/>
            <w:vAlign w:val="center"/>
          </w:tcPr>
          <w:p w14:paraId="5CFAA531" w14:textId="77777777" w:rsidR="00995499" w:rsidRDefault="00000000">
            <w:pPr>
              <w:spacing w:after="20"/>
            </w:pPr>
            <w:r>
              <w:rPr>
                <w:sz w:val="15"/>
              </w:rPr>
              <w:t xml:space="preserve">Checkpoint durability, </w:t>
            </w:r>
            <w:proofErr w:type="gramStart"/>
            <w:r>
              <w:rPr>
                <w:sz w:val="15"/>
              </w:rPr>
              <w:t>Bronze</w:t>
            </w:r>
            <w:proofErr w:type="gramEnd"/>
            <w:r>
              <w:rPr>
                <w:sz w:val="15"/>
              </w:rPr>
              <w:t xml:space="preserve"> history, cache refresh; separately sized</w:t>
            </w:r>
          </w:p>
        </w:tc>
      </w:tr>
    </w:tbl>
    <w:p w14:paraId="1A072C1D" w14:textId="77777777" w:rsidR="00995499" w:rsidRDefault="00000000" w:rsidP="0087603A">
      <w:pPr>
        <w:pStyle w:val="Heading2"/>
      </w:pPr>
      <w:r>
        <w:t>D. Workload isolation</w:t>
      </w:r>
    </w:p>
    <w:p w14:paraId="20340B76" w14:textId="77777777" w:rsidR="00995499" w:rsidRDefault="00000000">
      <w:r>
        <w:t>Physical isolation: Kafka brokers use a dedicated three-node pool; master nodes are reserved for control-plane services; worker nodes provide distributed compute; utility nodes are restricted to approved support roles.</w:t>
      </w:r>
    </w:p>
    <w:p w14:paraId="07A866D1" w14:textId="77777777" w:rsidR="00995499" w:rsidRDefault="00000000">
      <w:r>
        <w:t>Priority tiers: Tier 1 includes operational alerts, cache refresh and online-feature refresh; Tier 2 includes CDC apply and inline data quality; Tier 3 includes replay, backfill and exploratory jobs. Apply separate resource pools/queues, concurrency limits and resource guarantees.</w:t>
      </w:r>
    </w:p>
    <w:p w14:paraId="627D1533" w14:textId="77777777" w:rsidR="00995499" w:rsidRDefault="00000000">
      <w:r>
        <w:t>Messaging controls: set Kafka producer/consumer/request quotas by application and principal, enforce topic ACLs, separate consumer groups by use case and reserve partitions/capacity for critical topics where justified.</w:t>
      </w:r>
    </w:p>
    <w:p w14:paraId="73A324FC" w14:textId="77777777" w:rsidR="00995499" w:rsidRDefault="00000000">
      <w:r>
        <w:t>Back-pressure and failure isolation: throttle lower-priority backfills before they affect critical streams; route invalid records to quarantine topics; use Flink checkpoints/savepoints and Kafka replication/replay for recovery.</w:t>
      </w:r>
    </w:p>
    <w:p w14:paraId="54CEC11F" w14:textId="77777777" w:rsidR="00995499" w:rsidRDefault="00000000">
      <w:r>
        <w:t>Security isolation: Keycloak/AD-backed identity, least-privilege RBAC, TLS in transit, service-specific credentials and audited administration.</w:t>
      </w:r>
    </w:p>
    <w:p w14:paraId="1AD3998E" w14:textId="77777777" w:rsidR="00995499" w:rsidRDefault="00000000">
      <w:r>
        <w:t xml:space="preserve">Acceptance under contention: test peak </w:t>
      </w:r>
      <w:proofErr w:type="gramStart"/>
      <w:r>
        <w:t>ingest</w:t>
      </w:r>
      <w:proofErr w:type="gramEnd"/>
      <w:r>
        <w:t xml:space="preserve"> while replay/backfill and node-failure scenarios are active; verify Tier 1 latency and consumer lag remain within agreed SLOs.</w:t>
      </w:r>
    </w:p>
    <w:p w14:paraId="42B6A784" w14:textId="1A189DC3" w:rsidR="00995499" w:rsidRDefault="00000000" w:rsidP="0087603A">
      <w:pPr>
        <w:pStyle w:val="Heading2"/>
      </w:pPr>
      <w:r>
        <w:t>E. Alignment with</w:t>
      </w:r>
      <w:r w:rsidR="00815D1E">
        <w:t xml:space="preserve"> RFP</w:t>
      </w:r>
      <w:r>
        <w:t xml:space="preserve"> Section 6 sizing requirements</w:t>
      </w:r>
    </w:p>
    <w:p w14:paraId="74453F01" w14:textId="77777777" w:rsidR="00995499" w:rsidRDefault="00000000">
      <w:r>
        <w:t>The proposed inventory specifies 30 nodes, 912 physical cores, 11,136 GB RAM and 588 TB raw NVMe. Section 6 compliance should be cross-checked against the actual Section 6 requirements for network speed/redundancy, usable storage, rack/failure-domain placement, power, OS/platform versions, HA/DR and growth headroom; these cannot be confirmed from CPU/RAM/disk counts alone.</w:t>
      </w:r>
    </w:p>
    <w:tbl>
      <w:tblPr>
        <w:tblStyle w:val="TableGrid"/>
        <w:tblW w:w="0" w:type="auto"/>
        <w:jc w:val="center"/>
        <w:tblLook w:val="04A0" w:firstRow="1" w:lastRow="0" w:firstColumn="1" w:lastColumn="0" w:noHBand="0" w:noVBand="1"/>
      </w:tblPr>
      <w:tblGrid>
        <w:gridCol w:w="4680"/>
        <w:gridCol w:w="4680"/>
      </w:tblGrid>
      <w:tr w:rsidR="00995499" w14:paraId="30036E00" w14:textId="77777777">
        <w:trPr>
          <w:jc w:val="center"/>
        </w:trPr>
        <w:tc>
          <w:tcPr>
            <w:tcW w:w="4680" w:type="dxa"/>
            <w:shd w:val="clear" w:color="auto" w:fill="1F4E78"/>
            <w:vAlign w:val="center"/>
          </w:tcPr>
          <w:p w14:paraId="1F8EF137" w14:textId="77777777" w:rsidR="00995499" w:rsidRDefault="00000000">
            <w:pPr>
              <w:spacing w:after="20"/>
            </w:pPr>
            <w:r>
              <w:rPr>
                <w:b/>
                <w:color w:val="FFFFFF"/>
                <w:sz w:val="16"/>
              </w:rPr>
              <w:t>Dimension</w:t>
            </w:r>
          </w:p>
        </w:tc>
        <w:tc>
          <w:tcPr>
            <w:tcW w:w="4680" w:type="dxa"/>
            <w:shd w:val="clear" w:color="auto" w:fill="1F4E78"/>
            <w:vAlign w:val="center"/>
          </w:tcPr>
          <w:p w14:paraId="49C89B87" w14:textId="77777777" w:rsidR="00995499" w:rsidRDefault="00000000">
            <w:pPr>
              <w:spacing w:after="20"/>
            </w:pPr>
            <w:r>
              <w:rPr>
                <w:b/>
                <w:color w:val="FFFFFF"/>
                <w:sz w:val="16"/>
              </w:rPr>
              <w:t>Sizing interpretation / required verification</w:t>
            </w:r>
          </w:p>
        </w:tc>
      </w:tr>
      <w:tr w:rsidR="00995499" w14:paraId="14CB0A64" w14:textId="77777777">
        <w:trPr>
          <w:jc w:val="center"/>
        </w:trPr>
        <w:tc>
          <w:tcPr>
            <w:tcW w:w="4680" w:type="dxa"/>
            <w:vAlign w:val="center"/>
          </w:tcPr>
          <w:p w14:paraId="0E9FB551" w14:textId="77777777" w:rsidR="00995499" w:rsidRDefault="00000000">
            <w:pPr>
              <w:spacing w:after="20"/>
            </w:pPr>
            <w:r>
              <w:rPr>
                <w:sz w:val="16"/>
              </w:rPr>
              <w:t>Compute</w:t>
            </w:r>
          </w:p>
        </w:tc>
        <w:tc>
          <w:tcPr>
            <w:tcW w:w="4680" w:type="dxa"/>
            <w:vAlign w:val="center"/>
          </w:tcPr>
          <w:p w14:paraId="1FFBAA90" w14:textId="77777777" w:rsidR="00995499" w:rsidRDefault="00000000">
            <w:pPr>
              <w:spacing w:after="20"/>
            </w:pPr>
            <w:r>
              <w:rPr>
                <w:sz w:val="16"/>
              </w:rPr>
              <w:t>Aggregate values are arithmetic totals of the specified node inventory; reserve resources for operating system, management agents and failover.</w:t>
            </w:r>
          </w:p>
        </w:tc>
      </w:tr>
      <w:tr w:rsidR="00995499" w14:paraId="01AABE2C" w14:textId="77777777">
        <w:trPr>
          <w:jc w:val="center"/>
        </w:trPr>
        <w:tc>
          <w:tcPr>
            <w:tcW w:w="4680" w:type="dxa"/>
            <w:vAlign w:val="center"/>
          </w:tcPr>
          <w:p w14:paraId="4C5A5B05" w14:textId="77777777" w:rsidR="00995499" w:rsidRDefault="00000000">
            <w:pPr>
              <w:spacing w:after="20"/>
            </w:pPr>
            <w:r>
              <w:rPr>
                <w:sz w:val="16"/>
              </w:rPr>
              <w:t>Storage</w:t>
            </w:r>
          </w:p>
        </w:tc>
        <w:tc>
          <w:tcPr>
            <w:tcW w:w="4680" w:type="dxa"/>
            <w:vAlign w:val="center"/>
          </w:tcPr>
          <w:p w14:paraId="4162AD9A" w14:textId="77777777" w:rsidR="00995499" w:rsidRDefault="00000000">
            <w:pPr>
              <w:spacing w:after="20"/>
            </w:pPr>
            <w:r>
              <w:rPr>
                <w:sz w:val="16"/>
              </w:rPr>
              <w:t>588 TB is raw NVMe. Calculate usable capacity after formatting, RAID/filesystem overhead, reserved space and any data replication. Kafka retention must be validated against payload rate and replication factor.</w:t>
            </w:r>
          </w:p>
        </w:tc>
      </w:tr>
      <w:tr w:rsidR="00995499" w14:paraId="12333537" w14:textId="77777777">
        <w:trPr>
          <w:jc w:val="center"/>
        </w:trPr>
        <w:tc>
          <w:tcPr>
            <w:tcW w:w="4680" w:type="dxa"/>
            <w:vAlign w:val="center"/>
          </w:tcPr>
          <w:p w14:paraId="0E4E4D91" w14:textId="77777777" w:rsidR="00995499" w:rsidRDefault="00000000">
            <w:pPr>
              <w:spacing w:after="20"/>
            </w:pPr>
            <w:r>
              <w:rPr>
                <w:sz w:val="16"/>
              </w:rPr>
              <w:t>Network</w:t>
            </w:r>
          </w:p>
        </w:tc>
        <w:tc>
          <w:tcPr>
            <w:tcW w:w="4680" w:type="dxa"/>
            <w:vAlign w:val="center"/>
          </w:tcPr>
          <w:p w14:paraId="6D027444" w14:textId="77777777" w:rsidR="00995499" w:rsidRDefault="00000000">
            <w:pPr>
              <w:spacing w:after="20"/>
            </w:pPr>
            <w:r>
              <w:rPr>
                <w:sz w:val="16"/>
              </w:rPr>
              <w:t>Confirm redundant high-bandwidth links for Kafka replication, Flink shuffles and storage. Link speed is not specified in the supplied node inventory.</w:t>
            </w:r>
          </w:p>
        </w:tc>
      </w:tr>
      <w:tr w:rsidR="00995499" w14:paraId="33A29E5D" w14:textId="77777777">
        <w:trPr>
          <w:jc w:val="center"/>
        </w:trPr>
        <w:tc>
          <w:tcPr>
            <w:tcW w:w="4680" w:type="dxa"/>
            <w:vAlign w:val="center"/>
          </w:tcPr>
          <w:p w14:paraId="518D30A8" w14:textId="77777777" w:rsidR="00995499" w:rsidRDefault="00000000">
            <w:pPr>
              <w:spacing w:after="20"/>
            </w:pPr>
            <w:r>
              <w:rPr>
                <w:sz w:val="16"/>
              </w:rPr>
              <w:t>Availability</w:t>
            </w:r>
          </w:p>
        </w:tc>
        <w:tc>
          <w:tcPr>
            <w:tcW w:w="4680" w:type="dxa"/>
            <w:vAlign w:val="center"/>
          </w:tcPr>
          <w:p w14:paraId="30908748" w14:textId="77777777" w:rsidR="00995499" w:rsidRDefault="00000000">
            <w:pPr>
              <w:spacing w:after="20"/>
            </w:pPr>
            <w:r>
              <w:rPr>
                <w:sz w:val="16"/>
              </w:rPr>
              <w:t xml:space="preserve">Three Kafka nodes enable a three-replica design but do not alone </w:t>
            </w:r>
            <w:r>
              <w:rPr>
                <w:sz w:val="16"/>
              </w:rPr>
              <w:lastRenderedPageBreak/>
              <w:t>prove rack-level or site-level resilience; verify physical failure domains and DR replication.</w:t>
            </w:r>
          </w:p>
        </w:tc>
      </w:tr>
      <w:tr w:rsidR="00995499" w14:paraId="45115191" w14:textId="77777777">
        <w:trPr>
          <w:jc w:val="center"/>
        </w:trPr>
        <w:tc>
          <w:tcPr>
            <w:tcW w:w="4680" w:type="dxa"/>
            <w:vAlign w:val="center"/>
          </w:tcPr>
          <w:p w14:paraId="00A21B06" w14:textId="77777777" w:rsidR="00995499" w:rsidRDefault="00000000">
            <w:pPr>
              <w:spacing w:after="20"/>
            </w:pPr>
            <w:r>
              <w:rPr>
                <w:sz w:val="16"/>
              </w:rPr>
              <w:lastRenderedPageBreak/>
              <w:t>Capacity acceptance</w:t>
            </w:r>
          </w:p>
        </w:tc>
        <w:tc>
          <w:tcPr>
            <w:tcW w:w="4680" w:type="dxa"/>
            <w:vAlign w:val="center"/>
          </w:tcPr>
          <w:p w14:paraId="65F3625C" w14:textId="77777777" w:rsidR="00995499" w:rsidRDefault="00000000">
            <w:pPr>
              <w:spacing w:after="20"/>
            </w:pPr>
            <w:r>
              <w:rPr>
                <w:sz w:val="16"/>
              </w:rPr>
              <w:t>Run representative sustained, peak, replay and node-failure tests. Capture CPU/RAM, NVMe throughput/latency, network use, consumer lag, checkpoint duration and p50/p95/p99 end-to-end latency.</w:t>
            </w:r>
          </w:p>
        </w:tc>
      </w:tr>
    </w:tbl>
    <w:p w14:paraId="44730D6E" w14:textId="77777777" w:rsidR="00995499" w:rsidRDefault="00000000" w:rsidP="0087603A">
      <w:pPr>
        <w:pStyle w:val="Heading2"/>
      </w:pPr>
      <w:r>
        <w:t>F. Public benchmark and comparable-deployment evidence</w:t>
      </w:r>
    </w:p>
    <w:p w14:paraId="0CD70211" w14:textId="77777777" w:rsidR="00995499" w:rsidRDefault="00000000">
      <w:r>
        <w:t>Public documentation supports the technology choice and provides benchmark methods, but does not establish measured end-to-end performance for this exact FBR configuration. The 50,000 events/sec sustained and 150,000 events/sec peak values in the original Section 7.6 should be treated as proposed acceptance targets until measured on the proposed hardware.</w:t>
      </w:r>
    </w:p>
    <w:tbl>
      <w:tblPr>
        <w:tblStyle w:val="TableGrid"/>
        <w:tblW w:w="0" w:type="auto"/>
        <w:jc w:val="center"/>
        <w:tblLook w:val="04A0" w:firstRow="1" w:lastRow="0" w:firstColumn="1" w:lastColumn="0" w:noHBand="0" w:noVBand="1"/>
      </w:tblPr>
      <w:tblGrid>
        <w:gridCol w:w="2223"/>
        <w:gridCol w:w="2257"/>
        <w:gridCol w:w="2236"/>
        <w:gridCol w:w="2860"/>
      </w:tblGrid>
      <w:tr w:rsidR="00995499" w14:paraId="37C0DDB3" w14:textId="77777777">
        <w:trPr>
          <w:jc w:val="center"/>
        </w:trPr>
        <w:tc>
          <w:tcPr>
            <w:tcW w:w="2340" w:type="dxa"/>
            <w:shd w:val="clear" w:color="auto" w:fill="1F4E78"/>
            <w:vAlign w:val="center"/>
          </w:tcPr>
          <w:p w14:paraId="2F76F622" w14:textId="77777777" w:rsidR="00995499" w:rsidRDefault="00000000">
            <w:pPr>
              <w:spacing w:after="20"/>
            </w:pPr>
            <w:r>
              <w:rPr>
                <w:b/>
                <w:color w:val="FFFFFF"/>
                <w:sz w:val="14"/>
              </w:rPr>
              <w:t>Reference</w:t>
            </w:r>
          </w:p>
        </w:tc>
        <w:tc>
          <w:tcPr>
            <w:tcW w:w="2340" w:type="dxa"/>
            <w:shd w:val="clear" w:color="auto" w:fill="1F4E78"/>
            <w:vAlign w:val="center"/>
          </w:tcPr>
          <w:p w14:paraId="01CD336C" w14:textId="77777777" w:rsidR="00995499" w:rsidRDefault="00000000">
            <w:pPr>
              <w:spacing w:after="20"/>
            </w:pPr>
            <w:r>
              <w:rPr>
                <w:b/>
                <w:color w:val="FFFFFF"/>
                <w:sz w:val="14"/>
              </w:rPr>
              <w:t>Published evidence / relevance</w:t>
            </w:r>
          </w:p>
        </w:tc>
        <w:tc>
          <w:tcPr>
            <w:tcW w:w="2340" w:type="dxa"/>
            <w:shd w:val="clear" w:color="auto" w:fill="1F4E78"/>
            <w:vAlign w:val="center"/>
          </w:tcPr>
          <w:p w14:paraId="383A6B22" w14:textId="77777777" w:rsidR="00995499" w:rsidRDefault="00000000">
            <w:pPr>
              <w:spacing w:after="20"/>
            </w:pPr>
            <w:r>
              <w:rPr>
                <w:b/>
                <w:color w:val="FFFFFF"/>
                <w:sz w:val="14"/>
              </w:rPr>
              <w:t>Limitations</w:t>
            </w:r>
          </w:p>
        </w:tc>
        <w:tc>
          <w:tcPr>
            <w:tcW w:w="2340" w:type="dxa"/>
            <w:shd w:val="clear" w:color="auto" w:fill="1F4E78"/>
            <w:vAlign w:val="center"/>
          </w:tcPr>
          <w:p w14:paraId="342CDA56" w14:textId="77777777" w:rsidR="00995499" w:rsidRDefault="00000000">
            <w:pPr>
              <w:spacing w:after="20"/>
            </w:pPr>
            <w:r>
              <w:rPr>
                <w:b/>
                <w:color w:val="FFFFFF"/>
                <w:sz w:val="14"/>
              </w:rPr>
              <w:t>Public URL</w:t>
            </w:r>
          </w:p>
        </w:tc>
      </w:tr>
      <w:tr w:rsidR="00995499" w14:paraId="516C7F0B" w14:textId="77777777">
        <w:trPr>
          <w:jc w:val="center"/>
        </w:trPr>
        <w:tc>
          <w:tcPr>
            <w:tcW w:w="2340" w:type="dxa"/>
            <w:vAlign w:val="center"/>
          </w:tcPr>
          <w:p w14:paraId="7D05E84D" w14:textId="77777777" w:rsidR="00995499" w:rsidRDefault="00000000">
            <w:pPr>
              <w:spacing w:after="20"/>
            </w:pPr>
            <w:r>
              <w:rPr>
                <w:sz w:val="14"/>
              </w:rPr>
              <w:t>Cloudera Runtime Kafka Performance Tuning</w:t>
            </w:r>
          </w:p>
        </w:tc>
        <w:tc>
          <w:tcPr>
            <w:tcW w:w="2340" w:type="dxa"/>
            <w:vAlign w:val="center"/>
          </w:tcPr>
          <w:p w14:paraId="66ADCEBA" w14:textId="77777777" w:rsidR="00995499" w:rsidRDefault="00000000">
            <w:pPr>
              <w:spacing w:after="20"/>
            </w:pPr>
            <w:r>
              <w:rPr>
                <w:sz w:val="14"/>
              </w:rPr>
              <w:t>Official Kafka sizing guidance derives capacity from network/disk throughput, replication factor and consumer load; recommends simulating expected workloads with Kafka producer/consumer performance tools.</w:t>
            </w:r>
          </w:p>
        </w:tc>
        <w:tc>
          <w:tcPr>
            <w:tcW w:w="2340" w:type="dxa"/>
            <w:vAlign w:val="center"/>
          </w:tcPr>
          <w:p w14:paraId="34E0A00B" w14:textId="77777777" w:rsidR="00995499" w:rsidRDefault="00000000">
            <w:pPr>
              <w:spacing w:after="20"/>
            </w:pPr>
            <w:r>
              <w:rPr>
                <w:sz w:val="14"/>
              </w:rPr>
              <w:t>Methodology, not a guarantee for this hardware. Use to structure broker sizing and tests.</w:t>
            </w:r>
          </w:p>
        </w:tc>
        <w:tc>
          <w:tcPr>
            <w:tcW w:w="2340" w:type="dxa"/>
            <w:vAlign w:val="center"/>
          </w:tcPr>
          <w:p w14:paraId="2583F1E1" w14:textId="7263F4AE" w:rsidR="00995499" w:rsidRDefault="00A32BEB">
            <w:pPr>
              <w:spacing w:after="20"/>
              <w:rPr>
                <w:sz w:val="14"/>
              </w:rPr>
            </w:pPr>
            <w:hyperlink r:id="rId12" w:history="1">
              <w:r w:rsidRPr="00E20EF9">
                <w:rPr>
                  <w:rStyle w:val="Hyperlink"/>
                  <w:sz w:val="14"/>
                </w:rPr>
                <w:t>https://docs.cloudera.com/cdp-private-cloud-base/latest/kafka-performance-tuning/kafka-performance-tuning.pdf</w:t>
              </w:r>
            </w:hyperlink>
          </w:p>
          <w:p w14:paraId="2868A41C" w14:textId="77777777" w:rsidR="00A32BEB" w:rsidRDefault="00A32BEB">
            <w:pPr>
              <w:spacing w:after="20"/>
            </w:pPr>
          </w:p>
        </w:tc>
      </w:tr>
      <w:tr w:rsidR="00995499" w14:paraId="19B54CF3" w14:textId="77777777">
        <w:trPr>
          <w:jc w:val="center"/>
        </w:trPr>
        <w:tc>
          <w:tcPr>
            <w:tcW w:w="2340" w:type="dxa"/>
            <w:vAlign w:val="center"/>
          </w:tcPr>
          <w:p w14:paraId="4A529DAA" w14:textId="77777777" w:rsidR="00995499" w:rsidRDefault="00000000">
            <w:pPr>
              <w:spacing w:after="20"/>
            </w:pPr>
            <w:r>
              <w:rPr>
                <w:sz w:val="14"/>
              </w:rPr>
              <w:t>Cloudera Streaming overview</w:t>
            </w:r>
          </w:p>
        </w:tc>
        <w:tc>
          <w:tcPr>
            <w:tcW w:w="2340" w:type="dxa"/>
            <w:vAlign w:val="center"/>
          </w:tcPr>
          <w:p w14:paraId="5E776656" w14:textId="77777777" w:rsidR="00995499" w:rsidRDefault="00000000">
            <w:pPr>
              <w:spacing w:after="20"/>
            </w:pPr>
            <w:r>
              <w:rPr>
                <w:sz w:val="14"/>
              </w:rPr>
              <w:t>Describes Cloudera streaming based on Kafka and Flink for high-volume, low-latency workloads.</w:t>
            </w:r>
          </w:p>
        </w:tc>
        <w:tc>
          <w:tcPr>
            <w:tcW w:w="2340" w:type="dxa"/>
            <w:vAlign w:val="center"/>
          </w:tcPr>
          <w:p w14:paraId="259DDA72" w14:textId="77777777" w:rsidR="00995499" w:rsidRDefault="00000000">
            <w:pPr>
              <w:spacing w:after="20"/>
            </w:pPr>
            <w:r>
              <w:rPr>
                <w:sz w:val="14"/>
              </w:rPr>
              <w:t>General vendor capability statement; no FBR-specific workload measurements.</w:t>
            </w:r>
          </w:p>
        </w:tc>
        <w:tc>
          <w:tcPr>
            <w:tcW w:w="2340" w:type="dxa"/>
            <w:vAlign w:val="center"/>
          </w:tcPr>
          <w:p w14:paraId="18F16D51" w14:textId="5DBAB387" w:rsidR="00995499" w:rsidRDefault="00A32BEB">
            <w:pPr>
              <w:spacing w:after="20"/>
              <w:rPr>
                <w:sz w:val="14"/>
              </w:rPr>
            </w:pPr>
            <w:hyperlink r:id="rId13" w:history="1">
              <w:r w:rsidRPr="00E20EF9">
                <w:rPr>
                  <w:rStyle w:val="Hyperlink"/>
                  <w:sz w:val="14"/>
                </w:rPr>
                <w:t>https://www.cloudera.com/products/stream-processing.html</w:t>
              </w:r>
            </w:hyperlink>
          </w:p>
          <w:p w14:paraId="33D1FBCA" w14:textId="77777777" w:rsidR="00A32BEB" w:rsidRDefault="00A32BEB">
            <w:pPr>
              <w:spacing w:after="20"/>
            </w:pPr>
          </w:p>
        </w:tc>
      </w:tr>
      <w:tr w:rsidR="00995499" w14:paraId="249ACA5E" w14:textId="77777777">
        <w:trPr>
          <w:jc w:val="center"/>
        </w:trPr>
        <w:tc>
          <w:tcPr>
            <w:tcW w:w="2340" w:type="dxa"/>
            <w:vAlign w:val="center"/>
          </w:tcPr>
          <w:p w14:paraId="5B55D493" w14:textId="77777777" w:rsidR="00995499" w:rsidRDefault="00000000">
            <w:pPr>
              <w:spacing w:after="20"/>
            </w:pPr>
            <w:r>
              <w:rPr>
                <w:sz w:val="14"/>
              </w:rPr>
              <w:t>Apache Flink official site</w:t>
            </w:r>
          </w:p>
        </w:tc>
        <w:tc>
          <w:tcPr>
            <w:tcW w:w="2340" w:type="dxa"/>
            <w:vAlign w:val="center"/>
          </w:tcPr>
          <w:p w14:paraId="06C9047E" w14:textId="77777777" w:rsidR="00995499" w:rsidRDefault="00000000">
            <w:pPr>
              <w:spacing w:after="20"/>
            </w:pPr>
            <w:r>
              <w:rPr>
                <w:sz w:val="14"/>
              </w:rPr>
              <w:t>Documents stateful stream processing, exactly-once state consistency, low latency/high throughput, incremental checkpoints and scale-out.</w:t>
            </w:r>
          </w:p>
        </w:tc>
        <w:tc>
          <w:tcPr>
            <w:tcW w:w="2340" w:type="dxa"/>
            <w:vAlign w:val="center"/>
          </w:tcPr>
          <w:p w14:paraId="68BDF744" w14:textId="77777777" w:rsidR="00995499" w:rsidRDefault="00000000">
            <w:pPr>
              <w:spacing w:after="20"/>
            </w:pPr>
            <w:r>
              <w:rPr>
                <w:sz w:val="14"/>
              </w:rPr>
              <w:t>Capability evidence only; job logic, state, parallelism and checkpoint storage affect results.</w:t>
            </w:r>
          </w:p>
        </w:tc>
        <w:tc>
          <w:tcPr>
            <w:tcW w:w="2340" w:type="dxa"/>
            <w:vAlign w:val="center"/>
          </w:tcPr>
          <w:p w14:paraId="31A6ABF3" w14:textId="592A44F2" w:rsidR="00995499" w:rsidRDefault="00A32BEB">
            <w:pPr>
              <w:spacing w:after="20"/>
              <w:rPr>
                <w:sz w:val="14"/>
              </w:rPr>
            </w:pPr>
            <w:hyperlink r:id="rId14" w:history="1">
              <w:r w:rsidRPr="00E20EF9">
                <w:rPr>
                  <w:rStyle w:val="Hyperlink"/>
                  <w:sz w:val="14"/>
                </w:rPr>
                <w:t>https://flink.apache.org/</w:t>
              </w:r>
            </w:hyperlink>
          </w:p>
          <w:p w14:paraId="5AC3CCF5" w14:textId="77777777" w:rsidR="00A32BEB" w:rsidRDefault="00A32BEB">
            <w:pPr>
              <w:spacing w:after="20"/>
            </w:pPr>
          </w:p>
        </w:tc>
      </w:tr>
      <w:tr w:rsidR="00995499" w14:paraId="17AF921D" w14:textId="77777777">
        <w:trPr>
          <w:jc w:val="center"/>
        </w:trPr>
        <w:tc>
          <w:tcPr>
            <w:tcW w:w="2340" w:type="dxa"/>
            <w:vAlign w:val="center"/>
          </w:tcPr>
          <w:p w14:paraId="6152392F" w14:textId="77777777" w:rsidR="00995499" w:rsidRDefault="00000000">
            <w:pPr>
              <w:spacing w:after="20"/>
            </w:pPr>
            <w:r>
              <w:rPr>
                <w:sz w:val="14"/>
              </w:rPr>
              <w:t>Apache Flink benchmark repository</w:t>
            </w:r>
          </w:p>
        </w:tc>
        <w:tc>
          <w:tcPr>
            <w:tcW w:w="2340" w:type="dxa"/>
            <w:vAlign w:val="center"/>
          </w:tcPr>
          <w:p w14:paraId="2A68B364" w14:textId="77777777" w:rsidR="00995499" w:rsidRDefault="00000000">
            <w:pPr>
              <w:spacing w:after="20"/>
            </w:pPr>
            <w:r>
              <w:rPr>
                <w:sz w:val="14"/>
              </w:rPr>
              <w:t>Provides micro-benchmarks for Flink internals and state backend.</w:t>
            </w:r>
          </w:p>
        </w:tc>
        <w:tc>
          <w:tcPr>
            <w:tcW w:w="2340" w:type="dxa"/>
            <w:vAlign w:val="center"/>
          </w:tcPr>
          <w:p w14:paraId="0DB6CBB6" w14:textId="77777777" w:rsidR="00995499" w:rsidRDefault="00000000">
            <w:pPr>
              <w:spacing w:after="20"/>
            </w:pPr>
            <w:r>
              <w:rPr>
                <w:sz w:val="14"/>
              </w:rPr>
              <w:t>Not an end-to-end pipeline benchmark; use for component-level regression tests.</w:t>
            </w:r>
          </w:p>
        </w:tc>
        <w:tc>
          <w:tcPr>
            <w:tcW w:w="2340" w:type="dxa"/>
            <w:vAlign w:val="center"/>
          </w:tcPr>
          <w:p w14:paraId="21E48C7B" w14:textId="23B4B5A6" w:rsidR="00995499" w:rsidRDefault="00A32BEB">
            <w:pPr>
              <w:spacing w:after="20"/>
              <w:rPr>
                <w:sz w:val="14"/>
              </w:rPr>
            </w:pPr>
            <w:hyperlink r:id="rId15" w:history="1">
              <w:r w:rsidRPr="00E20EF9">
                <w:rPr>
                  <w:rStyle w:val="Hyperlink"/>
                  <w:sz w:val="14"/>
                </w:rPr>
                <w:t>https://github.com/apache/flink-benchmarks</w:t>
              </w:r>
            </w:hyperlink>
          </w:p>
          <w:p w14:paraId="38B1CA6D" w14:textId="77777777" w:rsidR="00A32BEB" w:rsidRDefault="00A32BEB">
            <w:pPr>
              <w:spacing w:after="20"/>
            </w:pPr>
          </w:p>
        </w:tc>
      </w:tr>
      <w:tr w:rsidR="00995499" w14:paraId="0F6C33DA" w14:textId="77777777">
        <w:trPr>
          <w:jc w:val="center"/>
        </w:trPr>
        <w:tc>
          <w:tcPr>
            <w:tcW w:w="2340" w:type="dxa"/>
            <w:vAlign w:val="center"/>
          </w:tcPr>
          <w:p w14:paraId="45852632" w14:textId="77777777" w:rsidR="00995499" w:rsidRDefault="00000000">
            <w:pPr>
              <w:spacing w:after="20"/>
            </w:pPr>
            <w:r>
              <w:rPr>
                <w:sz w:val="14"/>
              </w:rPr>
              <w:t>Cloudera on-premises customer case study</w:t>
            </w:r>
          </w:p>
        </w:tc>
        <w:tc>
          <w:tcPr>
            <w:tcW w:w="2340" w:type="dxa"/>
            <w:vAlign w:val="center"/>
          </w:tcPr>
          <w:p w14:paraId="201726D4" w14:textId="77777777" w:rsidR="00995499" w:rsidRDefault="00000000">
            <w:pPr>
              <w:spacing w:after="20"/>
            </w:pPr>
            <w:r>
              <w:rPr>
                <w:sz w:val="14"/>
              </w:rPr>
              <w:t>A customer case study describes migration of 900+ nodes to CDP Private Cloud Base and use of Cloudera Streams Messaging for buffering and cross-data-centre replication.</w:t>
            </w:r>
          </w:p>
        </w:tc>
        <w:tc>
          <w:tcPr>
            <w:tcW w:w="2340" w:type="dxa"/>
            <w:vAlign w:val="center"/>
          </w:tcPr>
          <w:p w14:paraId="3339649D" w14:textId="77777777" w:rsidR="00995499" w:rsidRDefault="00000000">
            <w:pPr>
              <w:spacing w:after="20"/>
            </w:pPr>
            <w:r>
              <w:rPr>
                <w:sz w:val="14"/>
              </w:rPr>
              <w:t>Comparable operating-scale evidence, but no comparable events/sec or p95/p99 results are published.</w:t>
            </w:r>
          </w:p>
        </w:tc>
        <w:tc>
          <w:tcPr>
            <w:tcW w:w="2340" w:type="dxa"/>
            <w:vAlign w:val="center"/>
          </w:tcPr>
          <w:p w14:paraId="2A1F00C4" w14:textId="0E8AAD35" w:rsidR="00995499" w:rsidRDefault="00A32BEB">
            <w:pPr>
              <w:spacing w:after="20"/>
              <w:rPr>
                <w:sz w:val="14"/>
              </w:rPr>
            </w:pPr>
            <w:hyperlink r:id="rId16" w:history="1">
              <w:r w:rsidRPr="00E20EF9">
                <w:rPr>
                  <w:rStyle w:val="Hyperlink"/>
                  <w:sz w:val="14"/>
                </w:rPr>
                <w:t>https://www.cloudera.com/customers/global-information-technology-company.html</w:t>
              </w:r>
            </w:hyperlink>
          </w:p>
          <w:p w14:paraId="3BD5AD75" w14:textId="77777777" w:rsidR="00A32BEB" w:rsidRDefault="00A32BEB">
            <w:pPr>
              <w:spacing w:after="20"/>
            </w:pPr>
          </w:p>
        </w:tc>
      </w:tr>
    </w:tbl>
    <w:p w14:paraId="450DFD93" w14:textId="366D6830" w:rsidR="00995499" w:rsidRDefault="00000000" w:rsidP="0087603A">
      <w:pPr>
        <w:pStyle w:val="Heading2"/>
      </w:pPr>
      <w:r>
        <w:t xml:space="preserve">G. </w:t>
      </w:r>
      <w:r w:rsidR="006A410A">
        <w:t>PRAL</w:t>
      </w:r>
      <w:r>
        <w:t xml:space="preserve"> infrastructure throughput / latency test plan</w:t>
      </w:r>
    </w:p>
    <w:tbl>
      <w:tblPr>
        <w:tblStyle w:val="TableGrid"/>
        <w:tblW w:w="0" w:type="auto"/>
        <w:jc w:val="center"/>
        <w:tblLook w:val="04A0" w:firstRow="1" w:lastRow="0" w:firstColumn="1" w:lastColumn="0" w:noHBand="0" w:noVBand="1"/>
      </w:tblPr>
      <w:tblGrid>
        <w:gridCol w:w="3120"/>
        <w:gridCol w:w="3120"/>
        <w:gridCol w:w="3120"/>
      </w:tblGrid>
      <w:tr w:rsidR="00995499" w14:paraId="060162E8" w14:textId="77777777">
        <w:trPr>
          <w:jc w:val="center"/>
        </w:trPr>
        <w:tc>
          <w:tcPr>
            <w:tcW w:w="3120" w:type="dxa"/>
            <w:shd w:val="clear" w:color="auto" w:fill="1F4E78"/>
            <w:vAlign w:val="center"/>
          </w:tcPr>
          <w:p w14:paraId="44C5BFE7" w14:textId="77777777" w:rsidR="00995499" w:rsidRDefault="00000000">
            <w:pPr>
              <w:spacing w:after="20"/>
            </w:pPr>
            <w:r>
              <w:rPr>
                <w:b/>
                <w:color w:val="FFFFFF"/>
                <w:sz w:val="15"/>
              </w:rPr>
              <w:t>Test</w:t>
            </w:r>
          </w:p>
        </w:tc>
        <w:tc>
          <w:tcPr>
            <w:tcW w:w="3120" w:type="dxa"/>
            <w:shd w:val="clear" w:color="auto" w:fill="1F4E78"/>
            <w:vAlign w:val="center"/>
          </w:tcPr>
          <w:p w14:paraId="715FD00A" w14:textId="77777777" w:rsidR="00995499" w:rsidRDefault="00000000">
            <w:pPr>
              <w:spacing w:after="20"/>
            </w:pPr>
            <w:r>
              <w:rPr>
                <w:b/>
                <w:color w:val="FFFFFF"/>
                <w:sz w:val="15"/>
              </w:rPr>
              <w:t>Profile</w:t>
            </w:r>
          </w:p>
        </w:tc>
        <w:tc>
          <w:tcPr>
            <w:tcW w:w="3120" w:type="dxa"/>
            <w:shd w:val="clear" w:color="auto" w:fill="1F4E78"/>
            <w:vAlign w:val="center"/>
          </w:tcPr>
          <w:p w14:paraId="03BD08A5" w14:textId="77777777" w:rsidR="00995499" w:rsidRDefault="00000000">
            <w:pPr>
              <w:spacing w:after="20"/>
            </w:pPr>
            <w:r>
              <w:rPr>
                <w:b/>
                <w:color w:val="FFFFFF"/>
                <w:sz w:val="15"/>
              </w:rPr>
              <w:t>Measurements / acceptance evidence</w:t>
            </w:r>
          </w:p>
        </w:tc>
      </w:tr>
      <w:tr w:rsidR="00995499" w14:paraId="24C36658" w14:textId="77777777">
        <w:trPr>
          <w:jc w:val="center"/>
        </w:trPr>
        <w:tc>
          <w:tcPr>
            <w:tcW w:w="3120" w:type="dxa"/>
            <w:vAlign w:val="center"/>
          </w:tcPr>
          <w:p w14:paraId="7E3C2443" w14:textId="77777777" w:rsidR="00995499" w:rsidRDefault="00000000">
            <w:pPr>
              <w:spacing w:after="20"/>
            </w:pPr>
            <w:r>
              <w:rPr>
                <w:sz w:val="15"/>
              </w:rPr>
              <w:t>Kafka broker throughput</w:t>
            </w:r>
          </w:p>
        </w:tc>
        <w:tc>
          <w:tcPr>
            <w:tcW w:w="3120" w:type="dxa"/>
            <w:vAlign w:val="center"/>
          </w:tcPr>
          <w:p w14:paraId="64481134" w14:textId="77777777" w:rsidR="00995499" w:rsidRDefault="00000000">
            <w:pPr>
              <w:spacing w:after="20"/>
            </w:pPr>
            <w:r>
              <w:rPr>
                <w:sz w:val="15"/>
              </w:rPr>
              <w:t>Use Kafka producer/consumer performance tools; test at 1×, 3× and 5× approved sustained target, with representative payloads and replication factor 3.</w:t>
            </w:r>
          </w:p>
        </w:tc>
        <w:tc>
          <w:tcPr>
            <w:tcW w:w="3120" w:type="dxa"/>
            <w:vAlign w:val="center"/>
          </w:tcPr>
          <w:p w14:paraId="3BC8E343" w14:textId="77777777" w:rsidR="00995499" w:rsidRDefault="00000000">
            <w:pPr>
              <w:spacing w:after="20"/>
            </w:pPr>
            <w:r>
              <w:rPr>
                <w:sz w:val="15"/>
              </w:rPr>
              <w:t>Events/sec, MB/sec, disk IOPS/latency, network throughput, under-replicated partitions, errors and consumer lag; demonstrate no sustained backlog growth at approved peak.</w:t>
            </w:r>
          </w:p>
        </w:tc>
      </w:tr>
      <w:tr w:rsidR="00995499" w14:paraId="65E45AF9" w14:textId="77777777">
        <w:trPr>
          <w:jc w:val="center"/>
        </w:trPr>
        <w:tc>
          <w:tcPr>
            <w:tcW w:w="3120" w:type="dxa"/>
            <w:vAlign w:val="center"/>
          </w:tcPr>
          <w:p w14:paraId="773A121C" w14:textId="77777777" w:rsidR="00995499" w:rsidRDefault="00000000">
            <w:pPr>
              <w:spacing w:after="20"/>
            </w:pPr>
            <w:r>
              <w:rPr>
                <w:sz w:val="15"/>
              </w:rPr>
              <w:t>End-to-end stream</w:t>
            </w:r>
          </w:p>
        </w:tc>
        <w:tc>
          <w:tcPr>
            <w:tcW w:w="3120" w:type="dxa"/>
            <w:vAlign w:val="center"/>
          </w:tcPr>
          <w:p w14:paraId="09D5BBB4" w14:textId="77777777" w:rsidR="00995499" w:rsidRDefault="00000000">
            <w:pPr>
              <w:spacing w:after="20"/>
            </w:pPr>
            <w:r>
              <w:rPr>
                <w:sz w:val="15"/>
              </w:rPr>
              <w:t>GoldenGate/NiFi → Kafka → Flink validation/enrichment → Bronze and cache with production-like schemas and data-quality rules.</w:t>
            </w:r>
          </w:p>
        </w:tc>
        <w:tc>
          <w:tcPr>
            <w:tcW w:w="3120" w:type="dxa"/>
            <w:vAlign w:val="center"/>
          </w:tcPr>
          <w:p w14:paraId="678EA1DC" w14:textId="77777777" w:rsidR="00995499" w:rsidRDefault="00000000">
            <w:pPr>
              <w:spacing w:after="20"/>
            </w:pPr>
            <w:r>
              <w:rPr>
                <w:sz w:val="15"/>
              </w:rPr>
              <w:t>Events/sec, duplicate/loss checks, checkpoint duration, back-pressure, consumer lag and source-to-Bronze p50/p95/p99 latency.</w:t>
            </w:r>
          </w:p>
        </w:tc>
      </w:tr>
      <w:tr w:rsidR="00995499" w14:paraId="65B2320B" w14:textId="77777777">
        <w:trPr>
          <w:jc w:val="center"/>
        </w:trPr>
        <w:tc>
          <w:tcPr>
            <w:tcW w:w="3120" w:type="dxa"/>
            <w:vAlign w:val="center"/>
          </w:tcPr>
          <w:p w14:paraId="0482EB6F" w14:textId="77777777" w:rsidR="00995499" w:rsidRDefault="00000000">
            <w:pPr>
              <w:spacing w:after="20"/>
            </w:pPr>
            <w:r>
              <w:rPr>
                <w:sz w:val="15"/>
              </w:rPr>
              <w:t>Failure and recovery</w:t>
            </w:r>
          </w:p>
        </w:tc>
        <w:tc>
          <w:tcPr>
            <w:tcW w:w="3120" w:type="dxa"/>
            <w:vAlign w:val="center"/>
          </w:tcPr>
          <w:p w14:paraId="2D8EC729" w14:textId="77777777" w:rsidR="00995499" w:rsidRDefault="00000000">
            <w:pPr>
              <w:spacing w:after="20"/>
            </w:pPr>
            <w:r>
              <w:rPr>
                <w:sz w:val="15"/>
              </w:rPr>
              <w:t>Terminate one Kafka broker and one Flink TaskManager in separate test runs; checkpointing enabled; validate replay/restart.</w:t>
            </w:r>
          </w:p>
        </w:tc>
        <w:tc>
          <w:tcPr>
            <w:tcW w:w="3120" w:type="dxa"/>
            <w:vAlign w:val="center"/>
          </w:tcPr>
          <w:p w14:paraId="597B2E75" w14:textId="77777777" w:rsidR="00995499" w:rsidRDefault="00000000">
            <w:pPr>
              <w:spacing w:after="20"/>
            </w:pPr>
            <w:r>
              <w:rPr>
                <w:sz w:val="15"/>
              </w:rPr>
              <w:t>Recovery time, restore time, lag recovery, data correctness and impact on Tier 1 latency.</w:t>
            </w:r>
          </w:p>
        </w:tc>
      </w:tr>
      <w:tr w:rsidR="00995499" w14:paraId="2706347F" w14:textId="77777777">
        <w:trPr>
          <w:jc w:val="center"/>
        </w:trPr>
        <w:tc>
          <w:tcPr>
            <w:tcW w:w="3120" w:type="dxa"/>
            <w:vAlign w:val="center"/>
          </w:tcPr>
          <w:p w14:paraId="0036AD49" w14:textId="77777777" w:rsidR="00995499" w:rsidRDefault="00000000">
            <w:pPr>
              <w:spacing w:after="20"/>
            </w:pPr>
            <w:r>
              <w:rPr>
                <w:sz w:val="15"/>
              </w:rPr>
              <w:t>Soak / contention</w:t>
            </w:r>
          </w:p>
        </w:tc>
        <w:tc>
          <w:tcPr>
            <w:tcW w:w="3120" w:type="dxa"/>
            <w:vAlign w:val="center"/>
          </w:tcPr>
          <w:p w14:paraId="4CA28277" w14:textId="77777777" w:rsidR="00995499" w:rsidRDefault="00000000">
            <w:pPr>
              <w:spacing w:after="20"/>
            </w:pPr>
            <w:r>
              <w:rPr>
                <w:sz w:val="15"/>
              </w:rPr>
              <w:t>At least 4-hour sustained test plus agreed longer soak; run lower-priority replay/backfill concurrently.</w:t>
            </w:r>
          </w:p>
        </w:tc>
        <w:tc>
          <w:tcPr>
            <w:tcW w:w="3120" w:type="dxa"/>
            <w:vAlign w:val="center"/>
          </w:tcPr>
          <w:p w14:paraId="1173EADF" w14:textId="77777777" w:rsidR="00995499" w:rsidRDefault="00000000">
            <w:pPr>
              <w:spacing w:after="20"/>
            </w:pPr>
            <w:r>
              <w:rPr>
                <w:sz w:val="15"/>
              </w:rPr>
              <w:t>Stable resource use, no unbounded lag growth, and no critical SLO breach.</w:t>
            </w:r>
          </w:p>
        </w:tc>
      </w:tr>
      <w:tr w:rsidR="00995499" w14:paraId="6347BF45" w14:textId="77777777">
        <w:trPr>
          <w:jc w:val="center"/>
        </w:trPr>
        <w:tc>
          <w:tcPr>
            <w:tcW w:w="3120" w:type="dxa"/>
            <w:vAlign w:val="center"/>
          </w:tcPr>
          <w:p w14:paraId="3418AA8E" w14:textId="77777777" w:rsidR="00995499" w:rsidRDefault="00000000">
            <w:pPr>
              <w:spacing w:after="20"/>
            </w:pPr>
            <w:r>
              <w:rPr>
                <w:sz w:val="15"/>
              </w:rPr>
              <w:t>Test report</w:t>
            </w:r>
          </w:p>
        </w:tc>
        <w:tc>
          <w:tcPr>
            <w:tcW w:w="3120" w:type="dxa"/>
            <w:vAlign w:val="center"/>
          </w:tcPr>
          <w:p w14:paraId="3153C8D4" w14:textId="77777777" w:rsidR="00995499" w:rsidRDefault="00000000">
            <w:pPr>
              <w:spacing w:after="20"/>
            </w:pPr>
            <w:r>
              <w:rPr>
                <w:sz w:val="15"/>
              </w:rPr>
              <w:t xml:space="preserve">Record exact hardware/firmware, Cloudera/Kafka/Flink versions, partitions, replication, payload mix, parallelism and test </w:t>
            </w:r>
            <w:r>
              <w:rPr>
                <w:sz w:val="15"/>
              </w:rPr>
              <w:lastRenderedPageBreak/>
              <w:t>tools.</w:t>
            </w:r>
          </w:p>
        </w:tc>
        <w:tc>
          <w:tcPr>
            <w:tcW w:w="3120" w:type="dxa"/>
            <w:vAlign w:val="center"/>
          </w:tcPr>
          <w:p w14:paraId="764C2C2D" w14:textId="77777777" w:rsidR="00995499" w:rsidRDefault="00000000">
            <w:pPr>
              <w:spacing w:after="20"/>
            </w:pPr>
            <w:r>
              <w:rPr>
                <w:sz w:val="15"/>
              </w:rPr>
              <w:lastRenderedPageBreak/>
              <w:t>Attach test scripts, raw logs, Prometheus/Grafana exports, p50/p95/p99 tables, bottlenecks and remediation actions.</w:t>
            </w:r>
          </w:p>
        </w:tc>
      </w:tr>
    </w:tbl>
    <w:p w14:paraId="52819CE5" w14:textId="1258AFCC" w:rsidR="00995499" w:rsidRDefault="00995499"/>
    <w:sectPr w:rsidR="009954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225"/>
    <w:multiLevelType w:val="hybridMultilevel"/>
    <w:tmpl w:val="EF58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87832"/>
    <w:multiLevelType w:val="hybridMultilevel"/>
    <w:tmpl w:val="224E874E"/>
    <w:lvl w:ilvl="0" w:tplc="5E7AF4F6">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1C2EE7"/>
    <w:multiLevelType w:val="hybridMultilevel"/>
    <w:tmpl w:val="237818FC"/>
    <w:lvl w:ilvl="0" w:tplc="5E7AF4F6">
      <w:start w:val="5"/>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367C64"/>
    <w:multiLevelType w:val="hybridMultilevel"/>
    <w:tmpl w:val="A3C8C194"/>
    <w:lvl w:ilvl="0" w:tplc="06DC8082">
      <w:start w:val="1"/>
      <w:numFmt w:val="decimal"/>
      <w:lvlText w:val="%1."/>
      <w:lvlJc w:val="left"/>
      <w:pPr>
        <w:ind w:left="720" w:hanging="360"/>
      </w:pPr>
    </w:lvl>
    <w:lvl w:ilvl="1" w:tplc="9A88DDBE">
      <w:start w:val="1"/>
      <w:numFmt w:val="lowerLetter"/>
      <w:lvlText w:val="%2."/>
      <w:lvlJc w:val="left"/>
      <w:pPr>
        <w:ind w:left="1440" w:hanging="360"/>
      </w:pPr>
    </w:lvl>
    <w:lvl w:ilvl="2" w:tplc="5EECE94E">
      <w:start w:val="1"/>
      <w:numFmt w:val="lowerRoman"/>
      <w:lvlText w:val="%3."/>
      <w:lvlJc w:val="left"/>
      <w:pPr>
        <w:ind w:left="2160" w:hanging="360"/>
      </w:pPr>
    </w:lvl>
    <w:lvl w:ilvl="3" w:tplc="005E65F0">
      <w:start w:val="1"/>
      <w:numFmt w:val="decimal"/>
      <w:lvlText w:val="%4."/>
      <w:lvlJc w:val="left"/>
      <w:pPr>
        <w:ind w:left="2880" w:hanging="360"/>
      </w:pPr>
    </w:lvl>
    <w:lvl w:ilvl="4" w:tplc="397A58EE">
      <w:start w:val="1"/>
      <w:numFmt w:val="lowerLetter"/>
      <w:lvlText w:val="%5."/>
      <w:lvlJc w:val="left"/>
      <w:pPr>
        <w:ind w:left="3600" w:hanging="360"/>
      </w:pPr>
    </w:lvl>
    <w:lvl w:ilvl="5" w:tplc="091E34D8">
      <w:start w:val="1"/>
      <w:numFmt w:val="lowerRoman"/>
      <w:lvlText w:val="%6."/>
      <w:lvlJc w:val="left"/>
      <w:pPr>
        <w:ind w:left="4320" w:hanging="360"/>
      </w:pPr>
    </w:lvl>
    <w:lvl w:ilvl="6" w:tplc="A6D825B6">
      <w:start w:val="1"/>
      <w:numFmt w:val="decimal"/>
      <w:lvlText w:val="%7."/>
      <w:lvlJc w:val="left"/>
      <w:pPr>
        <w:ind w:left="5040" w:hanging="360"/>
      </w:pPr>
    </w:lvl>
    <w:lvl w:ilvl="7" w:tplc="F9469300">
      <w:start w:val="1"/>
      <w:numFmt w:val="lowerLetter"/>
      <w:lvlText w:val="%8."/>
      <w:lvlJc w:val="left"/>
      <w:pPr>
        <w:ind w:left="5760" w:hanging="360"/>
      </w:pPr>
    </w:lvl>
    <w:lvl w:ilvl="8" w:tplc="E0C206B4">
      <w:start w:val="1"/>
      <w:numFmt w:val="lowerRoman"/>
      <w:lvlText w:val="%9."/>
      <w:lvlJc w:val="left"/>
      <w:pPr>
        <w:ind w:left="6480" w:hanging="360"/>
      </w:pPr>
    </w:lvl>
  </w:abstractNum>
  <w:abstractNum w:abstractNumId="4" w15:restartNumberingAfterBreak="0">
    <w:nsid w:val="582E1AEE"/>
    <w:multiLevelType w:val="hybridMultilevel"/>
    <w:tmpl w:val="892027C2"/>
    <w:lvl w:ilvl="0" w:tplc="90B4DD24">
      <w:start w:val="1"/>
      <w:numFmt w:val="bullet"/>
      <w:lvlText w:val="•"/>
      <w:lvlJc w:val="left"/>
      <w:pPr>
        <w:ind w:left="720" w:hanging="360"/>
      </w:pPr>
    </w:lvl>
    <w:lvl w:ilvl="1" w:tplc="43BCF940">
      <w:start w:val="1"/>
      <w:numFmt w:val="bullet"/>
      <w:lvlText w:val="o"/>
      <w:lvlJc w:val="left"/>
      <w:pPr>
        <w:ind w:left="1440" w:hanging="360"/>
      </w:pPr>
    </w:lvl>
    <w:lvl w:ilvl="2" w:tplc="B792D86C">
      <w:start w:val="1"/>
      <w:numFmt w:val="bullet"/>
      <w:lvlText w:val="▪"/>
      <w:lvlJc w:val="left"/>
      <w:pPr>
        <w:ind w:left="2160" w:hanging="360"/>
      </w:pPr>
    </w:lvl>
    <w:lvl w:ilvl="3" w:tplc="42E22346">
      <w:start w:val="1"/>
      <w:numFmt w:val="bullet"/>
      <w:lvlText w:val="•"/>
      <w:lvlJc w:val="left"/>
      <w:pPr>
        <w:ind w:left="2880" w:hanging="360"/>
      </w:pPr>
    </w:lvl>
    <w:lvl w:ilvl="4" w:tplc="7FCE67E0">
      <w:start w:val="1"/>
      <w:numFmt w:val="bullet"/>
      <w:lvlText w:val="o"/>
      <w:lvlJc w:val="left"/>
      <w:pPr>
        <w:ind w:left="3600" w:hanging="360"/>
      </w:pPr>
    </w:lvl>
    <w:lvl w:ilvl="5" w:tplc="6DDE529E">
      <w:start w:val="1"/>
      <w:numFmt w:val="bullet"/>
      <w:lvlText w:val="▪"/>
      <w:lvlJc w:val="left"/>
      <w:pPr>
        <w:ind w:left="4320" w:hanging="360"/>
      </w:pPr>
    </w:lvl>
    <w:lvl w:ilvl="6" w:tplc="FE98C60E">
      <w:start w:val="1"/>
      <w:numFmt w:val="bullet"/>
      <w:lvlText w:val="•"/>
      <w:lvlJc w:val="left"/>
      <w:pPr>
        <w:ind w:left="5040" w:hanging="360"/>
      </w:pPr>
    </w:lvl>
    <w:lvl w:ilvl="7" w:tplc="AD9CBEAC">
      <w:start w:val="1"/>
      <w:numFmt w:val="bullet"/>
      <w:lvlText w:val="o"/>
      <w:lvlJc w:val="left"/>
      <w:pPr>
        <w:ind w:left="5760" w:hanging="360"/>
      </w:pPr>
    </w:lvl>
    <w:lvl w:ilvl="8" w:tplc="507AD426">
      <w:start w:val="1"/>
      <w:numFmt w:val="bullet"/>
      <w:lvlText w:val="▪"/>
      <w:lvlJc w:val="left"/>
      <w:pPr>
        <w:ind w:left="6480" w:hanging="360"/>
      </w:pPr>
    </w:lvl>
  </w:abstractNum>
  <w:abstractNum w:abstractNumId="5" w15:restartNumberingAfterBreak="0">
    <w:nsid w:val="5D5B2384"/>
    <w:multiLevelType w:val="multilevel"/>
    <w:tmpl w:val="5B7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16AAB"/>
    <w:multiLevelType w:val="multilevel"/>
    <w:tmpl w:val="C24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85C5A"/>
    <w:multiLevelType w:val="hybridMultilevel"/>
    <w:tmpl w:val="65DC3E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016686212">
    <w:abstractNumId w:val="4"/>
  </w:num>
  <w:num w:numId="2" w16cid:durableId="29035393">
    <w:abstractNumId w:val="4"/>
  </w:num>
  <w:num w:numId="3" w16cid:durableId="214003392">
    <w:abstractNumId w:val="3"/>
    <w:lvlOverride w:ilvl="0">
      <w:startOverride w:val="1"/>
    </w:lvlOverride>
  </w:num>
  <w:num w:numId="4" w16cid:durableId="549925189">
    <w:abstractNumId w:val="4"/>
  </w:num>
  <w:num w:numId="5" w16cid:durableId="1554080565">
    <w:abstractNumId w:val="4"/>
  </w:num>
  <w:num w:numId="6" w16cid:durableId="1463574619">
    <w:abstractNumId w:val="6"/>
  </w:num>
  <w:num w:numId="7" w16cid:durableId="1252156061">
    <w:abstractNumId w:val="5"/>
  </w:num>
  <w:num w:numId="8" w16cid:durableId="2134666263">
    <w:abstractNumId w:val="0"/>
  </w:num>
  <w:num w:numId="9" w16cid:durableId="1177771018">
    <w:abstractNumId w:val="1"/>
  </w:num>
  <w:num w:numId="10" w16cid:durableId="631518305">
    <w:abstractNumId w:val="2"/>
  </w:num>
  <w:num w:numId="11" w16cid:durableId="611211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81A49"/>
    <w:rsid w:val="00131B25"/>
    <w:rsid w:val="001A0682"/>
    <w:rsid w:val="001A662E"/>
    <w:rsid w:val="001F3E37"/>
    <w:rsid w:val="002334DC"/>
    <w:rsid w:val="002C01F4"/>
    <w:rsid w:val="002F17D6"/>
    <w:rsid w:val="003245F5"/>
    <w:rsid w:val="003955AE"/>
    <w:rsid w:val="00435B3D"/>
    <w:rsid w:val="00476CE5"/>
    <w:rsid w:val="00627303"/>
    <w:rsid w:val="00673C4B"/>
    <w:rsid w:val="00681A49"/>
    <w:rsid w:val="006A410A"/>
    <w:rsid w:val="006A795E"/>
    <w:rsid w:val="00756D9E"/>
    <w:rsid w:val="007C3728"/>
    <w:rsid w:val="008033D2"/>
    <w:rsid w:val="00815D1E"/>
    <w:rsid w:val="0087603A"/>
    <w:rsid w:val="008931E6"/>
    <w:rsid w:val="0091748B"/>
    <w:rsid w:val="00977CA3"/>
    <w:rsid w:val="00982EE2"/>
    <w:rsid w:val="00995499"/>
    <w:rsid w:val="00A076BB"/>
    <w:rsid w:val="00A1792E"/>
    <w:rsid w:val="00A27B70"/>
    <w:rsid w:val="00A32BEB"/>
    <w:rsid w:val="00A5703F"/>
    <w:rsid w:val="00A75832"/>
    <w:rsid w:val="00AF4CE8"/>
    <w:rsid w:val="00B75E8B"/>
    <w:rsid w:val="00BF6904"/>
    <w:rsid w:val="00C028AC"/>
    <w:rsid w:val="00C304DC"/>
    <w:rsid w:val="00D33282"/>
    <w:rsid w:val="00E3590A"/>
    <w:rsid w:val="00E456ED"/>
    <w:rsid w:val="00E541E7"/>
    <w:rsid w:val="00EB29A9"/>
    <w:rsid w:val="00F93C8A"/>
    <w:rsid w:val="00FB4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2383"/>
  <w15:docId w15:val="{BCE91C18-D7DB-4A41-AB16-B6E346073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F3E37"/>
    <w:rPr>
      <w:color w:val="605E5C"/>
      <w:shd w:val="clear" w:color="auto" w:fill="E1DFDD"/>
    </w:rPr>
  </w:style>
  <w:style w:type="character" w:styleId="FollowedHyperlink">
    <w:name w:val="FollowedHyperlink"/>
    <w:basedOn w:val="DefaultParagraphFont"/>
    <w:uiPriority w:val="99"/>
    <w:semiHidden/>
    <w:unhideWhenUsed/>
    <w:rsid w:val="00D332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dis.io/customers/deutsche-borse/" TargetMode="External"/><Relationship Id="rId13" Type="http://schemas.openxmlformats.org/officeDocument/2006/relationships/hyperlink" Target="https://www.cloudera.com/products/stream-processing.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loudera.com/customers/mbank.html" TargetMode="External"/><Relationship Id="rId12" Type="http://schemas.openxmlformats.org/officeDocument/2006/relationships/hyperlink" Target="https://docs.cloudera.com/cdp-private-cloud-base/latest/kafka-performance-tuning/kafka-performance-tuning.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loudera.com/customers/global-information-technology-company.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github.com/apache/flink-benchmarks" TargetMode="External"/><Relationship Id="rId10" Type="http://schemas.openxmlformats.org/officeDocument/2006/relationships/hyperlink" Target="https://www.confluent.io/customers/rbc" TargetMode="External"/><Relationship Id="rId4" Type="http://schemas.openxmlformats.org/officeDocument/2006/relationships/webSettings" Target="webSettings.xml"/><Relationship Id="rId9" Type="http://schemas.openxmlformats.org/officeDocument/2006/relationships/hyperlink" Target="https://www.oracle.com/customers/bsi" TargetMode="External"/><Relationship Id="rId14" Type="http://schemas.openxmlformats.org/officeDocument/2006/relationships/hyperlink" Target="https://flink.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13</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Section 7 Real-Time  Streaming Architecture</vt:lpstr>
    </vt:vector>
  </TitlesOfParts>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FBR Central Data Hub – Real-Time Streaming Compute Layer</dc:title>
  <dc:subject>Updated node architecture, sizing, workload isolation and benchmark validation</dc:subject>
  <dc:description>Claude Docs node/6c6ac18b-739a@1 docx-w7</dc:description>
  <cp:lastModifiedBy>Mahmood Ezad Butt</cp:lastModifiedBy>
  <cp:revision>28</cp:revision>
  <dcterms:created xsi:type="dcterms:W3CDTF">2026-10-21T06:04:00Z</dcterms:created>
  <dcterms:modified xsi:type="dcterms:W3CDTF">2026-10-21T23:25:00Z</dcterms:modified>
</cp:coreProperties>
</file>