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29.png" ContentType="image/png"/>
  <Override PartName="/word/media/rId137.png" ContentType="image/png"/>
  <Override PartName="/word/media/rId141.png" ContentType="image/png"/>
  <Override PartName="/word/media/rId145.png" ContentType="image/png"/>
  <Override PartName="/word/media/rId150.png" ContentType="image/png"/>
  <Override PartName="/word/media/rId154.png" ContentType="image/png"/>
  <Override PartName="/word/media/rId158.png" ContentType="image/png"/>
  <Override PartName="/word/media/rId162.png" ContentType="image/png"/>
  <Override PartName="/word/media/rId166.png" ContentType="image/png"/>
  <Override PartName="/word/media/rId170.png" ContentType="image/png"/>
  <Override PartName="/word/media/rId174.png" ContentType="image/png"/>
  <Override PartName="/word/media/rId33.png" ContentType="image/png"/>
  <Override PartName="/word/media/rId178.png" ContentType="image/png"/>
  <Override PartName="/word/media/rId182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1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создаем каталог</w:t>
      </w:r>
      <w:r>
        <w:t xml:space="preserve"> </w:t>
      </w:r>
      <w:r>
        <w:t xml:space="preserve">‘</w:t>
      </w:r>
      <w:r>
        <w:t xml:space="preserve">lab10</w:t>
      </w:r>
      <w:r>
        <w:t xml:space="preserve">’</w:t>
      </w:r>
      <w:r>
        <w:t xml:space="preserve"> </w:t>
      </w:r>
      <w:r>
        <w:t xml:space="preserve">с помощью команды mkdir, переходим в него с помощью команды cd и создаем в нем файл</w:t>
      </w:r>
      <w:r>
        <w:t xml:space="preserve"> </w:t>
      </w:r>
      <w:r>
        <w:t xml:space="preserve">‘</w:t>
      </w:r>
      <w:r>
        <w:t xml:space="preserve">lab10-1.asm</w:t>
      </w:r>
      <w:r>
        <w:t xml:space="preserve">’</w:t>
      </w:r>
      <w:r>
        <w:t xml:space="preserve"> </w:t>
      </w:r>
      <w:r>
        <w:t xml:space="preserve">с помощью команды touch (рис. 1).</w:t>
      </w:r>
    </w:p>
    <w:p>
      <w:pPr>
        <w:pStyle w:val="CaptionedFigure"/>
      </w:pPr>
      <w:bookmarkStart w:id="24" w:name="fig:001"/>
      <w:r>
        <w:drawing>
          <wp:inline>
            <wp:extent cx="5334000" cy="732117"/>
            <wp:effectExtent b="0" l="0" r="0" t="0"/>
            <wp:docPr descr="Рис. 1: Создание необходимых для работы каталогов и файлов" title="" id="22" name="Picture"/>
            <a:graphic>
              <a:graphicData uri="http://schemas.openxmlformats.org/drawingml/2006/picture">
                <pic:pic>
                  <pic:nvPicPr>
                    <pic:cNvPr descr="image/рисуно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необходимых для работы каталогов и файлов</w:t>
      </w:r>
    </w:p>
    <w:p>
      <w:pPr>
        <w:pStyle w:val="BodyText"/>
      </w:pPr>
      <w:r>
        <w:t xml:space="preserve">Открываем файл</w:t>
      </w:r>
      <w:r>
        <w:t xml:space="preserve"> </w:t>
      </w:r>
      <w:r>
        <w:t xml:space="preserve">‘</w:t>
      </w:r>
      <w:r>
        <w:t xml:space="preserve">lab10-1.asm</w:t>
      </w:r>
      <w:r>
        <w:t xml:space="preserve">’</w:t>
      </w:r>
      <w:r>
        <w:t xml:space="preserve"> </w:t>
      </w:r>
      <w:r>
        <w:t xml:space="preserve">и вводим листинг 10.1 из лабораторной работы (рис. 2).</w:t>
      </w:r>
    </w:p>
    <w:p>
      <w:pPr>
        <w:pStyle w:val="CaptionedFigure"/>
      </w:pPr>
      <w:bookmarkStart w:id="28" w:name="fig:002"/>
      <w:r>
        <w:drawing>
          <wp:inline>
            <wp:extent cx="5334000" cy="5005237"/>
            <wp:effectExtent b="0" l="0" r="0" t="0"/>
            <wp:docPr descr="Рис. 2: Ввод листинга 10.1" title="" id="26" name="Picture"/>
            <a:graphic>
              <a:graphicData uri="http://schemas.openxmlformats.org/drawingml/2006/picture">
                <pic:pic>
                  <pic:nvPicPr>
                    <pic:cNvPr descr="image/рисунок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5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листинга 10.1</w:t>
      </w:r>
    </w:p>
    <w:p>
      <w:pPr>
        <w:pStyle w:val="BodyText"/>
      </w:pPr>
      <w:r>
        <w:t xml:space="preserve">Создаем исполняемый файл и запускаем его (рис. 3). Программа выводит правильный результат, значит, она написана корректно.</w:t>
      </w:r>
    </w:p>
    <w:p>
      <w:pPr>
        <w:pStyle w:val="CaptionedFigure"/>
      </w:pPr>
      <w:bookmarkStart w:id="32" w:name="fig:003"/>
      <w:r>
        <w:drawing>
          <wp:inline>
            <wp:extent cx="5334000" cy="993588"/>
            <wp:effectExtent b="0" l="0" r="0" t="0"/>
            <wp:docPr descr="Рис. 3: Запуск программы из файла ‘lab10-1.asm’" title="" id="30" name="Picture"/>
            <a:graphic>
              <a:graphicData uri="http://schemas.openxmlformats.org/drawingml/2006/picture">
                <pic:pic>
                  <pic:nvPicPr>
                    <pic:cNvPr descr="image/рисунок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из файла</w:t>
      </w:r>
      <w:r>
        <w:t xml:space="preserve"> </w:t>
      </w:r>
      <w:r>
        <w:t xml:space="preserve">‘</w:t>
      </w:r>
      <w:r>
        <w:t xml:space="preserve">lab10-1.asm</w:t>
      </w:r>
      <w:r>
        <w:t xml:space="preserve">’</w:t>
      </w:r>
    </w:p>
    <w:p>
      <w:pPr>
        <w:pStyle w:val="BodyText"/>
      </w:pPr>
      <w:r>
        <w:t xml:space="preserve">Далее вновь открываем файл</w:t>
      </w:r>
      <w:r>
        <w:t xml:space="preserve"> </w:t>
      </w:r>
      <w:r>
        <w:t xml:space="preserve">‘</w:t>
      </w:r>
      <w:r>
        <w:t xml:space="preserve">lab10-1.asm</w:t>
      </w:r>
      <w:r>
        <w:t xml:space="preserve">’</w:t>
      </w:r>
      <w:r>
        <w:t xml:space="preserve"> </w:t>
      </w:r>
      <w:r>
        <w:t xml:space="preserve">и редактируем его, добавляя еще одну подпрограмму (для вычисления сложной функции). (рис. 4).</w:t>
      </w:r>
    </w:p>
    <w:p>
      <w:pPr>
        <w:pStyle w:val="CaptionedFigure"/>
      </w:pPr>
      <w:bookmarkStart w:id="36" w:name="fig:004"/>
      <w:r>
        <w:drawing>
          <wp:inline>
            <wp:extent cx="5334000" cy="3064014"/>
            <wp:effectExtent b="0" l="0" r="0" t="0"/>
            <wp:docPr descr="Рис. 4: Добавление еще одной подпрограммы" title="" id="34" name="Picture"/>
            <a:graphic>
              <a:graphicData uri="http://schemas.openxmlformats.org/drawingml/2006/picture">
                <pic:pic>
                  <pic:nvPicPr>
                    <pic:cNvPr descr="image/рисунок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Добавление еще одной подпрограммы</w:t>
      </w:r>
    </w:p>
    <w:p>
      <w:pPr>
        <w:pStyle w:val="BodyText"/>
      </w:pPr>
      <w:r>
        <w:t xml:space="preserve">Создаем исполняемый файл и запускаем его (рис. 5). Программа выводит правильный результат, значит, она написана корректно.</w:t>
      </w:r>
    </w:p>
    <w:p>
      <w:pPr>
        <w:pStyle w:val="CaptionedFigure"/>
      </w:pPr>
      <w:bookmarkStart w:id="40" w:name="fig:005"/>
      <w:r>
        <w:drawing>
          <wp:inline>
            <wp:extent cx="5334000" cy="980965"/>
            <wp:effectExtent b="0" l="0" r="0" t="0"/>
            <wp:docPr descr="Рис. 5: Запуск измененной программы из файла ‘lab10-1.asm’" title="" id="38" name="Picture"/>
            <a:graphic>
              <a:graphicData uri="http://schemas.openxmlformats.org/drawingml/2006/picture">
                <pic:pic>
                  <pic:nvPicPr>
                    <pic:cNvPr descr="image/рисунок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измененной программы из файла</w:t>
      </w:r>
      <w:r>
        <w:t xml:space="preserve"> </w:t>
      </w:r>
      <w:r>
        <w:t xml:space="preserve">‘</w:t>
      </w:r>
      <w:r>
        <w:t xml:space="preserve">lab10-1.asm</w:t>
      </w:r>
      <w:r>
        <w:t xml:space="preserve">’</w:t>
      </w:r>
    </w:p>
    <w:p>
      <w:pPr>
        <w:pStyle w:val="BodyText"/>
      </w:pPr>
      <w:r>
        <w:t xml:space="preserve">Для дальнейшей работы создаем файл</w:t>
      </w:r>
      <w:r>
        <w:t xml:space="preserve"> </w:t>
      </w:r>
      <w:r>
        <w:t xml:space="preserve">‘</w:t>
      </w:r>
      <w:r>
        <w:t xml:space="preserve">lab10-2.asm</w:t>
      </w:r>
      <w:r>
        <w:t xml:space="preserve">’</w:t>
      </w:r>
      <w:r>
        <w:t xml:space="preserve"> </w:t>
      </w:r>
      <w:r>
        <w:t xml:space="preserve">(рис. 6).</w:t>
      </w:r>
    </w:p>
    <w:p>
      <w:pPr>
        <w:pStyle w:val="CaptionedFigure"/>
      </w:pPr>
      <w:bookmarkStart w:id="44" w:name="fig:006"/>
      <w:r>
        <w:drawing>
          <wp:inline>
            <wp:extent cx="5067300" cy="330200"/>
            <wp:effectExtent b="0" l="0" r="0" t="0"/>
            <wp:docPr descr="Рис. 6: Создание файла ‘lab10-2.asm’" title="" id="42" name="Picture"/>
            <a:graphic>
              <a:graphicData uri="http://schemas.openxmlformats.org/drawingml/2006/picture">
                <pic:pic>
                  <pic:nvPicPr>
                    <pic:cNvPr descr="image/рисунок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файла</w:t>
      </w:r>
      <w:r>
        <w:t xml:space="preserve"> </w:t>
      </w:r>
      <w:r>
        <w:t xml:space="preserve">‘</w:t>
      </w:r>
      <w:r>
        <w:t xml:space="preserve">lab10-2.asm</w:t>
      </w:r>
      <w:r>
        <w:t xml:space="preserve">’</w:t>
      </w:r>
    </w:p>
    <w:p>
      <w:pPr>
        <w:pStyle w:val="BodyText"/>
      </w:pPr>
      <w:r>
        <w:t xml:space="preserve">Открываем этот файл</w:t>
      </w:r>
      <w:r>
        <w:t xml:space="preserve"> </w:t>
      </w:r>
      <w:r>
        <w:t xml:space="preserve">‘</w:t>
      </w:r>
      <w:r>
        <w:t xml:space="preserve">lab10-2.asm</w:t>
      </w:r>
      <w:r>
        <w:t xml:space="preserve">’</w:t>
      </w:r>
      <w:r>
        <w:t xml:space="preserve"> </w:t>
      </w:r>
      <w:r>
        <w:t xml:space="preserve">и вводим листинг 10.2 из лабораторной работы (рис. 7).</w:t>
      </w:r>
    </w:p>
    <w:p>
      <w:pPr>
        <w:pStyle w:val="CaptionedFigure"/>
      </w:pPr>
      <w:bookmarkStart w:id="48" w:name="fig:007"/>
      <w:r>
        <w:drawing>
          <wp:inline>
            <wp:extent cx="3962400" cy="5969000"/>
            <wp:effectExtent b="0" l="0" r="0" t="0"/>
            <wp:docPr descr="Рис. 7: Ввод листинга 10.2" title="" id="46" name="Picture"/>
            <a:graphic>
              <a:graphicData uri="http://schemas.openxmlformats.org/drawingml/2006/picture">
                <pic:pic>
                  <pic:nvPicPr>
                    <pic:cNvPr descr="image/рисунок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Ввод листинга 10.2</w:t>
      </w:r>
    </w:p>
    <w:p>
      <w:pPr>
        <w:pStyle w:val="BodyText"/>
      </w:pPr>
      <w:r>
        <w:t xml:space="preserve">Создаем исполняемый файл, причем трансляцию выполняем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, чтобы мы могли с этим файлом работать в отладчике (рис. 8).</w:t>
      </w:r>
    </w:p>
    <w:p>
      <w:pPr>
        <w:pStyle w:val="CaptionedFigure"/>
      </w:pPr>
      <w:bookmarkStart w:id="52" w:name="fig:008"/>
      <w:r>
        <w:drawing>
          <wp:inline>
            <wp:extent cx="5334000" cy="396509"/>
            <wp:effectExtent b="0" l="0" r="0" t="0"/>
            <wp:docPr descr="Рис. 8: Создание исполняемого файла 10-2" title="" id="50" name="Picture"/>
            <a:graphic>
              <a:graphicData uri="http://schemas.openxmlformats.org/drawingml/2006/picture">
                <pic:pic>
                  <pic:nvPicPr>
                    <pic:cNvPr descr="image/рисунок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исполняемого файла 10-2</w:t>
      </w:r>
    </w:p>
    <w:p>
      <w:pPr>
        <w:pStyle w:val="BodyText"/>
      </w:pPr>
      <w:r>
        <w:t xml:space="preserve">Загружаем файл в отладчик gdb (рис. 9).</w:t>
      </w:r>
    </w:p>
    <w:p>
      <w:pPr>
        <w:pStyle w:val="CaptionedFigure"/>
      </w:pPr>
      <w:bookmarkStart w:id="56" w:name="fig:009"/>
      <w:r>
        <w:drawing>
          <wp:inline>
            <wp:extent cx="5334000" cy="2768278"/>
            <wp:effectExtent b="0" l="0" r="0" t="0"/>
            <wp:docPr descr="Рис. 9: Загрузка файла 10-2 в отладчик" title="" id="54" name="Picture"/>
            <a:graphic>
              <a:graphicData uri="http://schemas.openxmlformats.org/drawingml/2006/picture">
                <pic:pic>
                  <pic:nvPicPr>
                    <pic:cNvPr descr="image/рисунок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Загрузка файла 10-2 в отладчик</w:t>
      </w:r>
    </w:p>
    <w:p>
      <w:pPr>
        <w:pStyle w:val="BodyText"/>
      </w:pPr>
      <w:r>
        <w:t xml:space="preserve">Для проверки работы программы запускаем ее командой</w:t>
      </w:r>
      <w:r>
        <w:t xml:space="preserve"> </w:t>
      </w:r>
      <w:r>
        <w:t xml:space="preserve">‘</w:t>
      </w:r>
      <w:r>
        <w:t xml:space="preserve">run</w:t>
      </w:r>
      <w:r>
        <w:t xml:space="preserve">’</w:t>
      </w:r>
      <w:r>
        <w:t xml:space="preserve"> </w:t>
      </w:r>
      <w:r>
        <w:t xml:space="preserve">(рис. 10). Видим, что программа работает корректно.</w:t>
      </w:r>
    </w:p>
    <w:p>
      <w:pPr>
        <w:pStyle w:val="CaptionedFigure"/>
      </w:pPr>
      <w:bookmarkStart w:id="60" w:name="fig:0010"/>
      <w:r>
        <w:drawing>
          <wp:inline>
            <wp:extent cx="5334000" cy="1546446"/>
            <wp:effectExtent b="0" l="0" r="0" t="0"/>
            <wp:docPr descr="Рис. 10: Запуск программы 10-2 в отладчике" title="" id="58" name="Picture"/>
            <a:graphic>
              <a:graphicData uri="http://schemas.openxmlformats.org/drawingml/2006/picture">
                <pic:pic>
                  <pic:nvPicPr>
                    <pic:cNvPr descr="image/рисунок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10-2 в отладчике</w:t>
      </w:r>
    </w:p>
    <w:p>
      <w:pPr>
        <w:pStyle w:val="BodyText"/>
      </w:pPr>
      <w:r>
        <w:t xml:space="preserve">Далее устанавливаем брейкпоинт на метку старт и снова запускаем программу (рис. 11).</w:t>
      </w:r>
    </w:p>
    <w:p>
      <w:pPr>
        <w:pStyle w:val="CaptionedFigure"/>
      </w:pPr>
      <w:bookmarkStart w:id="64" w:name="fig:0011"/>
      <w:r>
        <w:drawing>
          <wp:inline>
            <wp:extent cx="5334000" cy="1251185"/>
            <wp:effectExtent b="0" l="0" r="0" t="0"/>
            <wp:docPr descr="Рис. 11: Установка первого брейкпоинта" title="" id="62" name="Picture"/>
            <a:graphic>
              <a:graphicData uri="http://schemas.openxmlformats.org/drawingml/2006/picture">
                <pic:pic>
                  <pic:nvPicPr>
                    <pic:cNvPr descr="image/рисунок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Установка первого брейкпоинта</w:t>
      </w:r>
    </w:p>
    <w:p>
      <w:pPr>
        <w:pStyle w:val="BodyText"/>
      </w:pPr>
      <w:r>
        <w:t xml:space="preserve">После этого вводим команду ’disassemble _start’, чтобы посмотреть дисассимилированный код (рис. 12).</w:t>
      </w:r>
    </w:p>
    <w:p>
      <w:pPr>
        <w:pStyle w:val="CaptionedFigure"/>
      </w:pPr>
      <w:bookmarkStart w:id="68" w:name="fig:0012"/>
      <w:r>
        <w:drawing>
          <wp:inline>
            <wp:extent cx="5334000" cy="2756686"/>
            <wp:effectExtent b="0" l="0" r="0" t="0"/>
            <wp:docPr descr="Рис. 12: Просмотр дисассимилированного кода" title="" id="66" name="Picture"/>
            <a:graphic>
              <a:graphicData uri="http://schemas.openxmlformats.org/drawingml/2006/picture">
                <pic:pic>
                  <pic:nvPicPr>
                    <pic:cNvPr descr="image/рисунок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Просмотр дисассимилированного кода</w:t>
      </w:r>
    </w:p>
    <w:p>
      <w:pPr>
        <w:pStyle w:val="BodyText"/>
      </w:pPr>
      <w:r>
        <w:t xml:space="preserve">Далее мы переключаемся на отображение команд с intel’овским синтаксисом (команда</w:t>
      </w:r>
      <w:r>
        <w:t xml:space="preserve"> </w:t>
      </w:r>
      <w:r>
        <w:t xml:space="preserve">‘</w:t>
      </w:r>
      <w:r>
        <w:t xml:space="preserve">set disassembly-flavor intel</w:t>
      </w:r>
      <w:r>
        <w:t xml:space="preserve">’</w:t>
      </w:r>
      <w:r>
        <w:t xml:space="preserve">) и вновь просматриваем дисассимилированный код (рис. 13).</w:t>
      </w:r>
    </w:p>
    <w:p>
      <w:pPr>
        <w:pStyle w:val="CaptionedFigure"/>
      </w:pPr>
      <w:bookmarkStart w:id="72" w:name="fig:0013"/>
      <w:r>
        <w:drawing>
          <wp:inline>
            <wp:extent cx="5334000" cy="2940296"/>
            <wp:effectExtent b="0" l="0" r="0" t="0"/>
            <wp:docPr descr="Рис. 13: Просмотр intel’овского отображения" title="" id="70" name="Picture"/>
            <a:graphic>
              <a:graphicData uri="http://schemas.openxmlformats.org/drawingml/2006/picture">
                <pic:pic>
                  <pic:nvPicPr>
                    <pic:cNvPr descr="image/рисунок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Просмотр intel’овского отображения</w:t>
      </w:r>
    </w:p>
    <w:p>
      <w:pPr>
        <w:pStyle w:val="BodyText"/>
      </w:pPr>
      <w:r>
        <w:t xml:space="preserve">Разница между отображениями заключается в удобстве просмотра - в intel’овском синтаксисе отсутствуют знаки</w:t>
      </w:r>
      <w:r>
        <w:t xml:space="preserve"> </w:t>
      </w:r>
      <w:r>
        <w:t xml:space="preserve">‘</w:t>
      </w:r>
      <w:r>
        <w:t xml:space="preserve">$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%</w:t>
      </w:r>
      <w:r>
        <w:t xml:space="preserve">’</w:t>
      </w:r>
      <w:r>
        <w:t xml:space="preserve">, а также идет сначала регистр, а потом его значение. Это делает отображение более наглядным.</w:t>
      </w:r>
    </w:p>
    <w:p>
      <w:pPr>
        <w:pStyle w:val="BodyText"/>
      </w:pPr>
      <w:r>
        <w:t xml:space="preserve">После этого вводим команды</w:t>
      </w:r>
      <w:r>
        <w:t xml:space="preserve"> </w:t>
      </w:r>
      <w:r>
        <w:t xml:space="preserve">‘</w:t>
      </w:r>
      <w:r>
        <w:t xml:space="preserve">layout asm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layout regs</w:t>
      </w:r>
      <w:r>
        <w:t xml:space="preserve">’</w:t>
      </w:r>
      <w:r>
        <w:t xml:space="preserve">. Данные команды включают режим псевдографики, что делает анализ программы удобнее (рис. 14).</w:t>
      </w:r>
    </w:p>
    <w:p>
      <w:pPr>
        <w:pStyle w:val="CaptionedFigure"/>
      </w:pPr>
      <w:bookmarkStart w:id="76" w:name="fig:0014"/>
      <w:r>
        <w:drawing>
          <wp:inline>
            <wp:extent cx="5334000" cy="4015567"/>
            <wp:effectExtent b="0" l="0" r="0" t="0"/>
            <wp:docPr descr="Рис. 14: Режим псевдографики" title="" id="74" name="Picture"/>
            <a:graphic>
              <a:graphicData uri="http://schemas.openxmlformats.org/drawingml/2006/picture">
                <pic:pic>
                  <pic:nvPicPr>
                    <pic:cNvPr descr="image/рисунок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Режим псевдографики</w:t>
      </w:r>
    </w:p>
    <w:p>
      <w:pPr>
        <w:pStyle w:val="BodyText"/>
      </w:pPr>
      <w:r>
        <w:t xml:space="preserve">Вводим команду</w:t>
      </w:r>
      <w:r>
        <w:t xml:space="preserve"> </w:t>
      </w:r>
      <w:r>
        <w:t xml:space="preserve">‘</w:t>
      </w:r>
      <w:r>
        <w:t xml:space="preserve">info breakpoints</w:t>
      </w:r>
      <w:r>
        <w:t xml:space="preserve">’</w:t>
      </w:r>
      <w:r>
        <w:t xml:space="preserve"> </w:t>
      </w:r>
      <w:r>
        <w:t xml:space="preserve">для просмотра установленных нами точек останова. Видим одну точку останова, которую мы поставили выше (рис. 15).</w:t>
      </w:r>
    </w:p>
    <w:p>
      <w:pPr>
        <w:pStyle w:val="CaptionedFigure"/>
      </w:pPr>
      <w:bookmarkStart w:id="80" w:name="fig:0015"/>
      <w:r>
        <w:drawing>
          <wp:inline>
            <wp:extent cx="5334000" cy="931333"/>
            <wp:effectExtent b="0" l="0" r="0" t="0"/>
            <wp:docPr descr="Рис. 15: Просмотр брейкпоинтов" title="" id="78" name="Picture"/>
            <a:graphic>
              <a:graphicData uri="http://schemas.openxmlformats.org/drawingml/2006/picture">
                <pic:pic>
                  <pic:nvPicPr>
                    <pic:cNvPr descr="image/рисунок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Просмотр брейкпоинтов</w:t>
      </w:r>
    </w:p>
    <w:p>
      <w:pPr>
        <w:pStyle w:val="BodyText"/>
      </w:pPr>
      <w:r>
        <w:t xml:space="preserve">После этого нам нужно установить точку останова на предпоследнюю инструкцию. В окне, расположенном посередине, определяем адрес этой инструкции и устанавливаем брейкпоинт по этому адресу. После этого проверяем командой</w:t>
      </w:r>
      <w:r>
        <w:t xml:space="preserve"> </w:t>
      </w:r>
      <w:r>
        <w:t xml:space="preserve">‘</w:t>
      </w:r>
      <w:r>
        <w:t xml:space="preserve">info breakpoints</w:t>
      </w:r>
      <w:r>
        <w:t xml:space="preserve">’</w:t>
      </w:r>
      <w:r>
        <w:t xml:space="preserve"> </w:t>
      </w:r>
      <w:r>
        <w:t xml:space="preserve">наличие двух точек останова (рис. 16).</w:t>
      </w:r>
    </w:p>
    <w:p>
      <w:pPr>
        <w:pStyle w:val="CaptionedFigure"/>
      </w:pPr>
      <w:bookmarkStart w:id="84" w:name="fig:0016"/>
      <w:r>
        <w:drawing>
          <wp:inline>
            <wp:extent cx="5334000" cy="1434987"/>
            <wp:effectExtent b="0" l="0" r="0" t="0"/>
            <wp:docPr descr="Рис. 16: Установка второго брейкпоинта" title="" id="82" name="Picture"/>
            <a:graphic>
              <a:graphicData uri="http://schemas.openxmlformats.org/drawingml/2006/picture">
                <pic:pic>
                  <pic:nvPicPr>
                    <pic:cNvPr descr="image/рисунок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Установка второго брейкпоинта</w:t>
      </w:r>
    </w:p>
    <w:p>
      <w:pPr>
        <w:pStyle w:val="BodyText"/>
      </w:pPr>
      <w:r>
        <w:t xml:space="preserve">На этом моменте у нас данные значения регистров (рис. 17).</w:t>
      </w:r>
    </w:p>
    <w:p>
      <w:pPr>
        <w:pStyle w:val="CaptionedFigure"/>
      </w:pPr>
      <w:bookmarkStart w:id="88" w:name="fig:0017"/>
      <w:r>
        <w:drawing>
          <wp:inline>
            <wp:extent cx="5334000" cy="3626323"/>
            <wp:effectExtent b="0" l="0" r="0" t="0"/>
            <wp:docPr descr="Рис. 17: Значения регистров" title="" id="86" name="Picture"/>
            <a:graphic>
              <a:graphicData uri="http://schemas.openxmlformats.org/drawingml/2006/picture">
                <pic:pic>
                  <pic:nvPicPr>
                    <pic:cNvPr descr="image/рисунок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Значения регистров</w:t>
      </w:r>
    </w:p>
    <w:p>
      <w:pPr>
        <w:pStyle w:val="BodyText"/>
      </w:pPr>
      <w:r>
        <w:t xml:space="preserve">Далее вводим команду</w:t>
      </w:r>
      <w:r>
        <w:t xml:space="preserve"> </w:t>
      </w:r>
      <w:r>
        <w:t xml:space="preserve">‘</w:t>
      </w:r>
      <w:r>
        <w:t xml:space="preserve">si 5</w:t>
      </w:r>
      <w:r>
        <w:t xml:space="preserve">’</w:t>
      </w:r>
      <w:r>
        <w:t xml:space="preserve"> </w:t>
      </w:r>
      <w:r>
        <w:t xml:space="preserve">и видим, что значения регистров eax, edx и eip меняются (рис. 18).</w:t>
      </w:r>
    </w:p>
    <w:p>
      <w:pPr>
        <w:pStyle w:val="CaptionedFigure"/>
      </w:pPr>
      <w:bookmarkStart w:id="92" w:name="fig:0018"/>
      <w:r>
        <w:drawing>
          <wp:inline>
            <wp:extent cx="5334000" cy="3626323"/>
            <wp:effectExtent b="0" l="0" r="0" t="0"/>
            <wp:docPr descr="Рис. 18: Изменение значений регистров" title="" id="90" name="Picture"/>
            <a:graphic>
              <a:graphicData uri="http://schemas.openxmlformats.org/drawingml/2006/picture">
                <pic:pic>
                  <pic:nvPicPr>
                    <pic:cNvPr descr="image/рисунок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Изменение значений регистров</w:t>
      </w:r>
    </w:p>
    <w:p>
      <w:pPr>
        <w:pStyle w:val="BodyText"/>
      </w:pPr>
      <w:r>
        <w:t xml:space="preserve">Просматриваем значения регистров с помощью команды</w:t>
      </w:r>
      <w:r>
        <w:t xml:space="preserve"> </w:t>
      </w:r>
      <w:r>
        <w:t xml:space="preserve">‘</w:t>
      </w:r>
      <w:r>
        <w:t xml:space="preserve">info registers</w:t>
      </w:r>
      <w:r>
        <w:t xml:space="preserve">’</w:t>
      </w:r>
      <w:r>
        <w:t xml:space="preserve"> </w:t>
      </w:r>
      <w:r>
        <w:t xml:space="preserve">(рис. 19).</w:t>
      </w:r>
    </w:p>
    <w:p>
      <w:pPr>
        <w:pStyle w:val="CaptionedFigure"/>
      </w:pPr>
      <w:bookmarkStart w:id="96" w:name="fig:0019"/>
      <w:r>
        <w:drawing>
          <wp:inline>
            <wp:extent cx="5334000" cy="2720829"/>
            <wp:effectExtent b="0" l="0" r="0" t="0"/>
            <wp:docPr descr="Рис. 19: Просмотр значений регистров" title="" id="94" name="Picture"/>
            <a:graphic>
              <a:graphicData uri="http://schemas.openxmlformats.org/drawingml/2006/picture">
                <pic:pic>
                  <pic:nvPicPr>
                    <pic:cNvPr descr="image/рисунок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Просмотр значений регистров</w:t>
      </w:r>
    </w:p>
    <w:p>
      <w:pPr>
        <w:pStyle w:val="BodyText"/>
      </w:pPr>
      <w:r>
        <w:t xml:space="preserve">Далее мы смотрим содержимое переменной</w:t>
      </w:r>
      <w:r>
        <w:t xml:space="preserve"> </w:t>
      </w:r>
      <w:r>
        <w:t xml:space="preserve">‘</w:t>
      </w:r>
      <w:r>
        <w:t xml:space="preserve">msg1</w:t>
      </w:r>
      <w:r>
        <w:t xml:space="preserve">’</w:t>
      </w:r>
      <w:r>
        <w:t xml:space="preserve"> </w:t>
      </w:r>
      <w:r>
        <w:t xml:space="preserve">(по имени) (рис. 20).</w:t>
      </w:r>
    </w:p>
    <w:p>
      <w:pPr>
        <w:pStyle w:val="CaptionedFigure"/>
      </w:pPr>
      <w:bookmarkStart w:id="100" w:name="fig:0020"/>
      <w:r>
        <w:drawing>
          <wp:inline>
            <wp:extent cx="5334000" cy="562980"/>
            <wp:effectExtent b="0" l="0" r="0" t="0"/>
            <wp:docPr descr="Рис. 20: Содержимое переменной msg1" title="" id="98" name="Picture"/>
            <a:graphic>
              <a:graphicData uri="http://schemas.openxmlformats.org/drawingml/2006/picture">
                <pic:pic>
                  <pic:nvPicPr>
                    <pic:cNvPr descr="image/рисунок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Содержимое переменной msg1</w:t>
      </w:r>
    </w:p>
    <w:p>
      <w:pPr>
        <w:pStyle w:val="BodyText"/>
      </w:pPr>
      <w:r>
        <w:t xml:space="preserve">После этого с помощью окна посередине определяем адрес переменной</w:t>
      </w:r>
      <w:r>
        <w:t xml:space="preserve"> </w:t>
      </w:r>
      <w:r>
        <w:t xml:space="preserve">‘</w:t>
      </w:r>
      <w:r>
        <w:t xml:space="preserve">msg2</w:t>
      </w:r>
      <w:r>
        <w:t xml:space="preserve">’</w:t>
      </w:r>
      <w:r>
        <w:t xml:space="preserve"> </w:t>
      </w:r>
      <w:r>
        <w:t xml:space="preserve">и смотрим ее содержимое по адресу (рис. 21).</w:t>
      </w:r>
    </w:p>
    <w:p>
      <w:pPr>
        <w:pStyle w:val="CaptionedFigure"/>
      </w:pPr>
      <w:bookmarkStart w:id="104" w:name="fig:0021"/>
      <w:r>
        <w:drawing>
          <wp:inline>
            <wp:extent cx="5334000" cy="562980"/>
            <wp:effectExtent b="0" l="0" r="0" t="0"/>
            <wp:docPr descr="Рис. 21: Содержимое переменной msg2" title="" id="102" name="Picture"/>
            <a:graphic>
              <a:graphicData uri="http://schemas.openxmlformats.org/drawingml/2006/picture">
                <pic:pic>
                  <pic:nvPicPr>
                    <pic:cNvPr descr="image/рисунок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Содержимое переменной msg2</w:t>
      </w:r>
    </w:p>
    <w:p>
      <w:pPr>
        <w:pStyle w:val="BodyText"/>
      </w:pPr>
      <w:r>
        <w:t xml:space="preserve">Далее исследуем команду изменения содержимого регистров. Вводим</w:t>
      </w:r>
      <w:r>
        <w:t xml:space="preserve"> </w:t>
      </w:r>
      <w:r>
        <w:t xml:space="preserve">“</w:t>
      </w:r>
      <w:r>
        <w:t xml:space="preserve">set {char}&amp;msg1=</w:t>
      </w:r>
      <w:r>
        <w:t xml:space="preserve">‘</w:t>
      </w:r>
      <w:r>
        <w:t xml:space="preserve">h</w:t>
      </w:r>
      <w:r>
        <w:t xml:space="preserve">’</w:t>
      </w:r>
      <w:r>
        <w:t xml:space="preserve">”</w:t>
      </w:r>
      <w:r>
        <w:t xml:space="preserve">. Эта команда заменит нам в регистре msg1 первой символ на h. Проверяем этого, просматривая содержимое регистра (рис. 22).</w:t>
      </w:r>
    </w:p>
    <w:p>
      <w:pPr>
        <w:pStyle w:val="CaptionedFigure"/>
      </w:pPr>
      <w:bookmarkStart w:id="108" w:name="fig:0022"/>
      <w:r>
        <w:drawing>
          <wp:inline>
            <wp:extent cx="5334000" cy="562980"/>
            <wp:effectExtent b="0" l="0" r="0" t="0"/>
            <wp:docPr descr="Рис. 22: Новое содержимое переменной msg1" title="" id="106" name="Picture"/>
            <a:graphic>
              <a:graphicData uri="http://schemas.openxmlformats.org/drawingml/2006/picture">
                <pic:pic>
                  <pic:nvPicPr>
                    <pic:cNvPr descr="image/рисунок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Новое содержимое переменной msg1</w:t>
      </w:r>
    </w:p>
    <w:p>
      <w:pPr>
        <w:pStyle w:val="BodyText"/>
      </w:pPr>
      <w:r>
        <w:t xml:space="preserve">Аналогично заменяем первый символ в регистре msg2 на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(команда</w:t>
      </w:r>
      <w:r>
        <w:t xml:space="preserve"> </w:t>
      </w:r>
      <w:r>
        <w:t xml:space="preserve">“</w:t>
      </w:r>
      <w:r>
        <w:t xml:space="preserve">set {char}&amp;msg2=</w:t>
      </w:r>
      <w:r>
        <w:t xml:space="preserve">‘</w:t>
      </w:r>
      <w:r>
        <w:t xml:space="preserve">L</w:t>
      </w:r>
      <w:r>
        <w:t xml:space="preserve">’</w:t>
      </w:r>
      <w:r>
        <w:t xml:space="preserve">”</w:t>
      </w:r>
      <w:r>
        <w:t xml:space="preserve">) и проверяем это (рис. 23).</w:t>
      </w:r>
    </w:p>
    <w:p>
      <w:pPr>
        <w:pStyle w:val="CaptionedFigure"/>
      </w:pPr>
      <w:bookmarkStart w:id="112" w:name="fig:0023"/>
      <w:r>
        <w:drawing>
          <wp:inline>
            <wp:extent cx="5334000" cy="562980"/>
            <wp:effectExtent b="0" l="0" r="0" t="0"/>
            <wp:docPr descr="Рис. 23: Новое содержимое переменной msg2" title="" id="110" name="Picture"/>
            <a:graphic>
              <a:graphicData uri="http://schemas.openxmlformats.org/drawingml/2006/picture">
                <pic:pic>
                  <pic:nvPicPr>
                    <pic:cNvPr descr="image/рисунок2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23: Новое содержимое переменной msg2</w:t>
      </w:r>
    </w:p>
    <w:p>
      <w:pPr>
        <w:pStyle w:val="BodyText"/>
      </w:pPr>
      <w:r>
        <w:t xml:space="preserve">Далее мы рассматриваем команду вывода значения регистров. Выводим в трех различных форматах значение регистра edx (рис. 24).</w:t>
      </w:r>
    </w:p>
    <w:p>
      <w:pPr>
        <w:pStyle w:val="CaptionedFigure"/>
      </w:pPr>
      <w:bookmarkStart w:id="116" w:name="fig:0024"/>
      <w:r>
        <w:drawing>
          <wp:inline>
            <wp:extent cx="5334000" cy="1178560"/>
            <wp:effectExtent b="0" l="0" r="0" t="0"/>
            <wp:docPr descr="Рис. 24: Значение регистра edx" title="" id="114" name="Picture"/>
            <a:graphic>
              <a:graphicData uri="http://schemas.openxmlformats.org/drawingml/2006/picture">
                <pic:pic>
                  <pic:nvPicPr>
                    <pic:cNvPr descr="image/рисунок24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24: Значение регистра edx</w:t>
      </w:r>
    </w:p>
    <w:p>
      <w:pPr>
        <w:pStyle w:val="BodyText"/>
      </w:pPr>
      <w:r>
        <w:t xml:space="preserve">После этого мы изменяем значение регистра ebx с помощью команды</w:t>
      </w:r>
      <w:r>
        <w:t xml:space="preserve"> </w:t>
      </w:r>
      <w:r>
        <w:t xml:space="preserve">‘</w:t>
      </w:r>
      <w:r>
        <w:t xml:space="preserve">set</w:t>
      </w:r>
      <w:r>
        <w:t xml:space="preserve">’</w:t>
      </w:r>
      <w:r>
        <w:t xml:space="preserve"> </w:t>
      </w:r>
      <w:r>
        <w:t xml:space="preserve">(рис. 25). Мы получаем разные значения, так как во втором случае мы приравниваем регистр к двойке, а в первом вносим значение 2 в регистра.</w:t>
      </w:r>
    </w:p>
    <w:p>
      <w:pPr>
        <w:pStyle w:val="CaptionedFigure"/>
      </w:pPr>
      <w:bookmarkStart w:id="120" w:name="fig:0025"/>
      <w:r>
        <w:drawing>
          <wp:inline>
            <wp:extent cx="5334000" cy="1168400"/>
            <wp:effectExtent b="0" l="0" r="0" t="0"/>
            <wp:docPr descr="Рис. 25: Изменение значения регистра ebx" title="" id="118" name="Picture"/>
            <a:graphic>
              <a:graphicData uri="http://schemas.openxmlformats.org/drawingml/2006/picture">
                <pic:pic>
                  <pic:nvPicPr>
                    <pic:cNvPr descr="image/рисунок2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Рис. 25: Изменение значения регистра ebx</w:t>
      </w:r>
    </w:p>
    <w:p>
      <w:pPr>
        <w:pStyle w:val="BodyText"/>
      </w:pPr>
      <w:r>
        <w:t xml:space="preserve">Далее мы завершаем работу в отладчике и выходим из него (команда</w:t>
      </w:r>
      <w:r>
        <w:t xml:space="preserve"> </w:t>
      </w:r>
      <w:r>
        <w:t xml:space="preserve">‘</w:t>
      </w:r>
      <w:r>
        <w:t xml:space="preserve">quit</w:t>
      </w:r>
      <w:r>
        <w:t xml:space="preserve">’</w:t>
      </w:r>
      <w:r>
        <w:t xml:space="preserve">) (рис. 26).</w:t>
      </w:r>
    </w:p>
    <w:p>
      <w:pPr>
        <w:pStyle w:val="CaptionedFigure"/>
      </w:pPr>
      <w:bookmarkStart w:id="124" w:name="fig:0026"/>
      <w:r>
        <w:drawing>
          <wp:inline>
            <wp:extent cx="5334000" cy="407175"/>
            <wp:effectExtent b="0" l="0" r="0" t="0"/>
            <wp:docPr descr="Рис. 26: Завершение работы в отладчике" title="" id="122" name="Picture"/>
            <a:graphic>
              <a:graphicData uri="http://schemas.openxmlformats.org/drawingml/2006/picture">
                <pic:pic>
                  <pic:nvPicPr>
                    <pic:cNvPr descr="image/рисунок26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Рис. 26: Завершение работы в отладчике</w:t>
      </w:r>
    </w:p>
    <w:p>
      <w:pPr>
        <w:pStyle w:val="BodyText"/>
      </w:pPr>
      <w:r>
        <w:t xml:space="preserve">Для дальнейшей работы копируем файл</w:t>
      </w:r>
      <w:r>
        <w:t xml:space="preserve"> </w:t>
      </w:r>
      <w:r>
        <w:t xml:space="preserve">‘</w:t>
      </w:r>
      <w:r>
        <w:t xml:space="preserve">lab9-2.asm</w:t>
      </w:r>
      <w:r>
        <w:t xml:space="preserve">’</w:t>
      </w:r>
      <w:r>
        <w:t xml:space="preserve"> </w:t>
      </w:r>
      <w:r>
        <w:t xml:space="preserve">из девятой лабораторной работы в каталог</w:t>
      </w:r>
      <w:r>
        <w:t xml:space="preserve"> </w:t>
      </w:r>
      <w:r>
        <w:t xml:space="preserve">‘</w:t>
      </w:r>
      <w:r>
        <w:t xml:space="preserve">lab10</w:t>
      </w:r>
      <w:r>
        <w:t xml:space="preserve">’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‘</w:t>
      </w:r>
      <w:r>
        <w:t xml:space="preserve">lab10-3.asm</w:t>
      </w:r>
      <w:r>
        <w:t xml:space="preserve">’</w:t>
      </w:r>
      <w:r>
        <w:t xml:space="preserve"> </w:t>
      </w:r>
      <w:r>
        <w:t xml:space="preserve">(рис. 27).</w:t>
      </w:r>
    </w:p>
    <w:p>
      <w:pPr>
        <w:pStyle w:val="CaptionedFigure"/>
      </w:pPr>
      <w:bookmarkStart w:id="128" w:name="fig:0027"/>
      <w:r>
        <w:drawing>
          <wp:inline>
            <wp:extent cx="5334000" cy="280367"/>
            <wp:effectExtent b="0" l="0" r="0" t="0"/>
            <wp:docPr descr="Рис. 27: Копирование файла" title="" id="126" name="Picture"/>
            <a:graphic>
              <a:graphicData uri="http://schemas.openxmlformats.org/drawingml/2006/picture">
                <pic:pic>
                  <pic:nvPicPr>
                    <pic:cNvPr descr="image/рисунок27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Рис. 27: Копирование файла</w:t>
      </w:r>
    </w:p>
    <w:p>
      <w:pPr>
        <w:pStyle w:val="BodyText"/>
      </w:pPr>
      <w:r>
        <w:t xml:space="preserve">Создаем исполняемый файл (трансляцию выполняем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 </w:t>
      </w:r>
      <w:r>
        <w:t xml:space="preserve">(рис. 28).</w:t>
      </w:r>
    </w:p>
    <w:p>
      <w:pPr>
        <w:pStyle w:val="CaptionedFigure"/>
      </w:pPr>
      <w:bookmarkStart w:id="132" w:name="fig:0028"/>
      <w:r>
        <w:drawing>
          <wp:inline>
            <wp:extent cx="5334000" cy="510208"/>
            <wp:effectExtent b="0" l="0" r="0" t="0"/>
            <wp:docPr descr="Рис. 28: Создание исполняемого файла 10-3" title="" id="130" name="Picture"/>
            <a:graphic>
              <a:graphicData uri="http://schemas.openxmlformats.org/drawingml/2006/picture">
                <pic:pic>
                  <pic:nvPicPr>
                    <pic:cNvPr descr="image/рисунок28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Рис. 28: Создание исполняемого файла 10-3</w:t>
      </w:r>
    </w:p>
    <w:p>
      <w:pPr>
        <w:pStyle w:val="BodyText"/>
      </w:pPr>
      <w:r>
        <w:t xml:space="preserve">После этого запускаем файл в отладчике с указанием аргументов (рис. 29).</w:t>
      </w:r>
    </w:p>
    <w:p>
      <w:pPr>
        <w:pStyle w:val="CaptionedFigure"/>
      </w:pPr>
      <w:bookmarkStart w:id="136" w:name="fig:0029"/>
      <w:r>
        <w:drawing>
          <wp:inline>
            <wp:extent cx="5334000" cy="2667000"/>
            <wp:effectExtent b="0" l="0" r="0" t="0"/>
            <wp:docPr descr="Рис. 29: Запуск файла 10-3 в отладчике" title="" id="134" name="Picture"/>
            <a:graphic>
              <a:graphicData uri="http://schemas.openxmlformats.org/drawingml/2006/picture">
                <pic:pic>
                  <pic:nvPicPr>
                    <pic:cNvPr descr="image/рисунок29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Рис. 29: Запуск файла 10-3 в отладчике</w:t>
      </w:r>
    </w:p>
    <w:p>
      <w:pPr>
        <w:pStyle w:val="BodyText"/>
      </w:pPr>
      <w:r>
        <w:t xml:space="preserve">Далее устанавливаем брейкпоинт на метку старт и запускаем программу (рис. 30).</w:t>
      </w:r>
    </w:p>
    <w:p>
      <w:pPr>
        <w:pStyle w:val="CaptionedFigure"/>
      </w:pPr>
      <w:bookmarkStart w:id="140" w:name="fig:0030"/>
      <w:r>
        <w:drawing>
          <wp:inline>
            <wp:extent cx="5334000" cy="2035230"/>
            <wp:effectExtent b="0" l="0" r="0" t="0"/>
            <wp:docPr descr="Рис. 30: Установка брейкпоинта и запуск" title="" id="138" name="Picture"/>
            <a:graphic>
              <a:graphicData uri="http://schemas.openxmlformats.org/drawingml/2006/picture">
                <pic:pic>
                  <pic:nvPicPr>
                    <pic:cNvPr descr="image/рисунок30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5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Рис. 30: Установка брейкпоинта и запуск</w:t>
      </w:r>
    </w:p>
    <w:p>
      <w:pPr>
        <w:pStyle w:val="BodyText"/>
      </w:pPr>
      <w:r>
        <w:t xml:space="preserve">Проверяем адрес вершины стека и наличия там 5 позиций (рис. 31).</w:t>
      </w:r>
    </w:p>
    <w:p>
      <w:pPr>
        <w:pStyle w:val="CaptionedFigure"/>
      </w:pPr>
      <w:bookmarkStart w:id="144" w:name="fig:0031"/>
      <w:r>
        <w:drawing>
          <wp:inline>
            <wp:extent cx="5334000" cy="359019"/>
            <wp:effectExtent b="0" l="0" r="0" t="0"/>
            <wp:docPr descr="Рис. 31: Адрес вершины стека" title="" id="142" name="Picture"/>
            <a:graphic>
              <a:graphicData uri="http://schemas.openxmlformats.org/drawingml/2006/picture">
                <pic:pic>
                  <pic:nvPicPr>
                    <pic:cNvPr descr="image/рисунок3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Рис. 31: Адрес вершины стека</w:t>
      </w:r>
    </w:p>
    <w:p>
      <w:pPr>
        <w:pStyle w:val="BodyText"/>
      </w:pPr>
      <w:r>
        <w:t xml:space="preserve">После этого просматриваем остальные позиции стека (рис. 32). Как мы видим, шаг изменения равен четырем. Так происходит потому, что один стек может хранить до четырех байт, и для каждой позиции используется свой стек.</w:t>
      </w:r>
    </w:p>
    <w:p>
      <w:pPr>
        <w:pStyle w:val="CaptionedFigure"/>
      </w:pPr>
      <w:bookmarkStart w:id="148" w:name="fig:0032"/>
      <w:r>
        <w:drawing>
          <wp:inline>
            <wp:extent cx="5334000" cy="2215399"/>
            <wp:effectExtent b="0" l="0" r="0" t="0"/>
            <wp:docPr descr="Рис. 32: Остальные позиции стека" title="" id="146" name="Picture"/>
            <a:graphic>
              <a:graphicData uri="http://schemas.openxmlformats.org/drawingml/2006/picture">
                <pic:pic>
                  <pic:nvPicPr>
                    <pic:cNvPr descr="image/рисунок32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8"/>
    </w:p>
    <w:p>
      <w:pPr>
        <w:pStyle w:val="ImageCaption"/>
      </w:pPr>
      <w:r>
        <w:t xml:space="preserve">Рис. 32: Остальные позиции стека</w:t>
      </w:r>
    </w:p>
    <w:bookmarkEnd w:id="149"/>
    <w:bookmarkStart w:id="18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выполнения первого задания копируем файл из заданий для самостоятельной работы из лабораторной работы №9 (я копировала с именем</w:t>
      </w:r>
      <w:r>
        <w:t xml:space="preserve"> </w:t>
      </w:r>
      <w:r>
        <w:t xml:space="preserve">‘</w:t>
      </w:r>
      <w:r>
        <w:t xml:space="preserve">lab10-4.asm</w:t>
      </w:r>
      <w:r>
        <w:t xml:space="preserve">’</w:t>
      </w:r>
      <w:r>
        <w:t xml:space="preserve">). Открываем файл и редактируем его так, чтобы вычисление значений у нас было реализовано как подпрограмма (рис. 33).</w:t>
      </w:r>
    </w:p>
    <w:p>
      <w:pPr>
        <w:pStyle w:val="CaptionedFigure"/>
      </w:pPr>
      <w:bookmarkStart w:id="153" w:name="fig:0033"/>
      <w:r>
        <w:drawing>
          <wp:inline>
            <wp:extent cx="5334000" cy="4862560"/>
            <wp:effectExtent b="0" l="0" r="0" t="0"/>
            <wp:docPr descr="Рис. 33: Редактирование программы" title="" id="151" name="Picture"/>
            <a:graphic>
              <a:graphicData uri="http://schemas.openxmlformats.org/drawingml/2006/picture">
                <pic:pic>
                  <pic:nvPicPr>
                    <pic:cNvPr descr="image/рисунок33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Рис. 33: Редактирование программы</w:t>
      </w:r>
    </w:p>
    <w:p>
      <w:pPr>
        <w:pStyle w:val="BodyText"/>
      </w:pPr>
      <w:r>
        <w:t xml:space="preserve">Сохраняем изменения, создаем исполняемый файл и запускаем его (рис. 34). Если посчитать аналитически, получается такой же ответ, поэтому программа работает корректно.</w:t>
      </w:r>
    </w:p>
    <w:p>
      <w:pPr>
        <w:pStyle w:val="CaptionedFigure"/>
      </w:pPr>
      <w:bookmarkStart w:id="157" w:name="fig:0034"/>
      <w:r>
        <w:drawing>
          <wp:inline>
            <wp:extent cx="5334000" cy="866205"/>
            <wp:effectExtent b="0" l="0" r="0" t="0"/>
            <wp:docPr descr="Рис. 34: Запуск программы из файла ‘lab10-4.asm’" title="" id="155" name="Picture"/>
            <a:graphic>
              <a:graphicData uri="http://schemas.openxmlformats.org/drawingml/2006/picture">
                <pic:pic>
                  <pic:nvPicPr>
                    <pic:cNvPr descr="image/рисунок34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7"/>
    </w:p>
    <w:p>
      <w:pPr>
        <w:pStyle w:val="ImageCaption"/>
      </w:pPr>
      <w:r>
        <w:t xml:space="preserve">Рис. 34: Запуск программы из файла</w:t>
      </w:r>
      <w:r>
        <w:t xml:space="preserve"> </w:t>
      </w:r>
      <w:r>
        <w:t xml:space="preserve">‘</w:t>
      </w:r>
      <w:r>
        <w:t xml:space="preserve">lab10-4.asm</w:t>
      </w:r>
      <w:r>
        <w:t xml:space="preserve">’</w:t>
      </w:r>
    </w:p>
    <w:p>
      <w:pPr>
        <w:numPr>
          <w:ilvl w:val="0"/>
          <w:numId w:val="1002"/>
        </w:numPr>
        <w:pStyle w:val="Compact"/>
      </w:pPr>
      <w:r>
        <w:t xml:space="preserve">Для начала выполнения второго задания создаем файл</w:t>
      </w:r>
      <w:r>
        <w:t xml:space="preserve"> </w:t>
      </w:r>
      <w:r>
        <w:t xml:space="preserve">‘</w:t>
      </w:r>
      <w:r>
        <w:t xml:space="preserve">lab10-5.asm</w:t>
      </w:r>
      <w:r>
        <w:t xml:space="preserve">’</w:t>
      </w:r>
      <w:r>
        <w:t xml:space="preserve"> </w:t>
      </w:r>
      <w:r>
        <w:t xml:space="preserve">и вводим в него листинг 10.3 - вычисление выражения (3+2)*4+5 (рис. 35).</w:t>
      </w:r>
    </w:p>
    <w:p>
      <w:pPr>
        <w:pStyle w:val="CaptionedFigure"/>
      </w:pPr>
      <w:bookmarkStart w:id="161" w:name="fig:0035"/>
      <w:r>
        <w:drawing>
          <wp:inline>
            <wp:extent cx="5334000" cy="3231487"/>
            <wp:effectExtent b="0" l="0" r="0" t="0"/>
            <wp:docPr descr="Рис. 35: Ввод листинга 10.3" title="" id="159" name="Picture"/>
            <a:graphic>
              <a:graphicData uri="http://schemas.openxmlformats.org/drawingml/2006/picture">
                <pic:pic>
                  <pic:nvPicPr>
                    <pic:cNvPr descr="image/рисунок35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1"/>
    </w:p>
    <w:p>
      <w:pPr>
        <w:pStyle w:val="ImageCaption"/>
      </w:pPr>
      <w:r>
        <w:t xml:space="preserve">Рис. 35: Ввод листинга 10.3</w:t>
      </w:r>
    </w:p>
    <w:p>
      <w:pPr>
        <w:pStyle w:val="BodyText"/>
      </w:pPr>
      <w:r>
        <w:t xml:space="preserve">Cоздаем исполняемый файл и запускаем его (рис. 36). Если посчитать аналитически, ответ должен быть 25, а программа выдает 10.</w:t>
      </w:r>
    </w:p>
    <w:p>
      <w:pPr>
        <w:pStyle w:val="CaptionedFigure"/>
      </w:pPr>
      <w:bookmarkStart w:id="165" w:name="fig:0036"/>
      <w:r>
        <w:drawing>
          <wp:inline>
            <wp:extent cx="5334000" cy="778088"/>
            <wp:effectExtent b="0" l="0" r="0" t="0"/>
            <wp:docPr descr="Рис. 36: Запуск программы из файла ‘lab10-4.asm’" title="" id="163" name="Picture"/>
            <a:graphic>
              <a:graphicData uri="http://schemas.openxmlformats.org/drawingml/2006/picture">
                <pic:pic>
                  <pic:nvPicPr>
                    <pic:cNvPr descr="image/рисунок36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5"/>
    </w:p>
    <w:p>
      <w:pPr>
        <w:pStyle w:val="ImageCaption"/>
      </w:pPr>
      <w:r>
        <w:t xml:space="preserve">Рис. 36: Запуск программы из файла</w:t>
      </w:r>
      <w:r>
        <w:t xml:space="preserve"> </w:t>
      </w:r>
      <w:r>
        <w:t xml:space="preserve">‘</w:t>
      </w:r>
      <w:r>
        <w:t xml:space="preserve">lab10-4.asm</w:t>
      </w:r>
      <w:r>
        <w:t xml:space="preserve">’</w:t>
      </w:r>
    </w:p>
    <w:p>
      <w:pPr>
        <w:pStyle w:val="BodyText"/>
      </w:pPr>
      <w:r>
        <w:t xml:space="preserve">Для поиска ошибки создаем исполняемый файл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 </w:t>
      </w:r>
      <w:r>
        <w:t xml:space="preserve">и загружаем файл в отладчик (рис. 37).</w:t>
      </w:r>
    </w:p>
    <w:p>
      <w:pPr>
        <w:pStyle w:val="CaptionedFigure"/>
      </w:pPr>
      <w:bookmarkStart w:id="169" w:name="fig:0037"/>
      <w:r>
        <w:drawing>
          <wp:inline>
            <wp:extent cx="5334000" cy="3387557"/>
            <wp:effectExtent b="0" l="0" r="0" t="0"/>
            <wp:docPr descr="Рис. 37: Загрузка программы 10-5 в отладчик" title="" id="167" name="Picture"/>
            <a:graphic>
              <a:graphicData uri="http://schemas.openxmlformats.org/drawingml/2006/picture">
                <pic:pic>
                  <pic:nvPicPr>
                    <pic:cNvPr descr="image/рисунок37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9"/>
    </w:p>
    <w:p>
      <w:pPr>
        <w:pStyle w:val="ImageCaption"/>
      </w:pPr>
      <w:r>
        <w:t xml:space="preserve">Рис. 37: Загрузка программы 10-5 в отладчик</w:t>
      </w:r>
    </w:p>
    <w:p>
      <w:pPr>
        <w:pStyle w:val="BodyText"/>
      </w:pPr>
      <w:r>
        <w:t xml:space="preserve">Устанавливаем точку останова на метку start (рис. 38) и дисассемилируем код (с intel’овским изображением (рис. 39).</w:t>
      </w:r>
    </w:p>
    <w:p>
      <w:pPr>
        <w:pStyle w:val="CaptionedFigure"/>
      </w:pPr>
      <w:bookmarkStart w:id="173" w:name="fig:0038"/>
      <w:r>
        <w:drawing>
          <wp:inline>
            <wp:extent cx="5334000" cy="2164031"/>
            <wp:effectExtent b="0" l="0" r="0" t="0"/>
            <wp:docPr descr="Рис. 38: Установка точки останова на метку start" title="" id="171" name="Picture"/>
            <a:graphic>
              <a:graphicData uri="http://schemas.openxmlformats.org/drawingml/2006/picture">
                <pic:pic>
                  <pic:nvPicPr>
                    <pic:cNvPr descr="image/рисунок38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3"/>
    </w:p>
    <w:p>
      <w:pPr>
        <w:pStyle w:val="ImageCaption"/>
      </w:pPr>
      <w:r>
        <w:t xml:space="preserve">Рис. 38: Установка точки останова на метку start</w:t>
      </w:r>
    </w:p>
    <w:p>
      <w:pPr>
        <w:pStyle w:val="CaptionedFigure"/>
      </w:pPr>
      <w:bookmarkStart w:id="177" w:name="fig:0039"/>
      <w:r>
        <w:drawing>
          <wp:inline>
            <wp:extent cx="5334000" cy="2586694"/>
            <wp:effectExtent b="0" l="0" r="0" t="0"/>
            <wp:docPr descr="Рис. 39: Получение intel’овского отображения" title="" id="175" name="Picture"/>
            <a:graphic>
              <a:graphicData uri="http://schemas.openxmlformats.org/drawingml/2006/picture">
                <pic:pic>
                  <pic:nvPicPr>
                    <pic:cNvPr descr="image/рисунок39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7"/>
    </w:p>
    <w:p>
      <w:pPr>
        <w:pStyle w:val="ImageCaption"/>
      </w:pPr>
      <w:r>
        <w:t xml:space="preserve">Рис. 39: Получение intel’овского отображения</w:t>
      </w:r>
    </w:p>
    <w:p>
      <w:pPr>
        <w:pStyle w:val="BodyText"/>
      </w:pPr>
      <w:r>
        <w:t xml:space="preserve">Открываем режим псевдографики. Далее, с помощью команды</w:t>
      </w:r>
      <w:r>
        <w:t xml:space="preserve"> </w:t>
      </w:r>
      <w:r>
        <w:t xml:space="preserve">‘</w:t>
      </w:r>
      <w:r>
        <w:t xml:space="preserve">si</w:t>
      </w:r>
      <w:r>
        <w:t xml:space="preserve">’</w:t>
      </w:r>
      <w:r>
        <w:t xml:space="preserve">, выполняем программу по одному шагу и на каждом смотрим значения регистров eax и ebx. Путем анализа понимаем, что на 5 шаге у нас на регистр ecx (то есть на 4) умножается не ebx, а eax, поэтому программа и выводит неверный результат. Чтобы исправить это, мы после прибавления к регистру ebx регистра eax записываем получившееся значение в eax. Далее у нас eax умножается на 4, после чего мы обратно записываем значение регистра eax в регистр ebx (рис. 40).</w:t>
      </w:r>
    </w:p>
    <w:p>
      <w:pPr>
        <w:pStyle w:val="CaptionedFigure"/>
      </w:pPr>
      <w:bookmarkStart w:id="181" w:name="fig:0041"/>
      <w:r>
        <w:drawing>
          <wp:inline>
            <wp:extent cx="5334000" cy="1702161"/>
            <wp:effectExtent b="0" l="0" r="0" t="0"/>
            <wp:docPr descr="Рис. 40: Исправление ошибки" title="" id="179" name="Picture"/>
            <a:graphic>
              <a:graphicData uri="http://schemas.openxmlformats.org/drawingml/2006/picture">
                <pic:pic>
                  <pic:nvPicPr>
                    <pic:cNvPr descr="image/рисунок41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1"/>
    </w:p>
    <w:p>
      <w:pPr>
        <w:pStyle w:val="ImageCaption"/>
      </w:pPr>
      <w:r>
        <w:t xml:space="preserve">Рис. 40: Исправление ошибки</w:t>
      </w:r>
    </w:p>
    <w:p>
      <w:pPr>
        <w:pStyle w:val="BodyText"/>
      </w:pPr>
      <w:r>
        <w:t xml:space="preserve">Далее вводим команду</w:t>
      </w:r>
      <w:r>
        <w:t xml:space="preserve"> </w:t>
      </w:r>
      <w:r>
        <w:t xml:space="preserve">‘</w:t>
      </w:r>
      <w:r>
        <w:t xml:space="preserve">continue</w:t>
      </w:r>
      <w:r>
        <w:t xml:space="preserve">’</w:t>
      </w:r>
      <w:r>
        <w:t xml:space="preserve">, чтобы наша программа была выполнена до конца и получаем верный результат (рис. 41).</w:t>
      </w:r>
    </w:p>
    <w:p>
      <w:pPr>
        <w:pStyle w:val="CaptionedFigure"/>
      </w:pPr>
      <w:bookmarkStart w:id="185" w:name="fig:0042"/>
      <w:r>
        <w:drawing>
          <wp:inline>
            <wp:extent cx="5334000" cy="825800"/>
            <wp:effectExtent b="0" l="0" r="0" t="0"/>
            <wp:docPr descr="Рис. 41: Получение верного результата" title="" id="183" name="Picture"/>
            <a:graphic>
              <a:graphicData uri="http://schemas.openxmlformats.org/drawingml/2006/picture">
                <pic:pic>
                  <pic:nvPicPr>
                    <pic:cNvPr descr="image/рисунок42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5"/>
    </w:p>
    <w:p>
      <w:pPr>
        <w:pStyle w:val="ImageCaption"/>
      </w:pPr>
      <w:r>
        <w:t xml:space="preserve">Рис. 41: Получение верного результата</w:t>
      </w:r>
    </w:p>
    <w:bookmarkEnd w:id="186"/>
    <w:bookmarkStart w:id="1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мной были приобретены навыки написания программ с использованием подпрограмм, а также навыки работы с методами отладки при помощи GDB.</w:t>
      </w:r>
    </w:p>
    <w:bookmarkEnd w:id="1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29" Target="media/rId29.png" /><Relationship Type="http://schemas.openxmlformats.org/officeDocument/2006/relationships/image" Id="rId137" Target="media/rId137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50" Target="media/rId150.png" /><Relationship Type="http://schemas.openxmlformats.org/officeDocument/2006/relationships/image" Id="rId154" Target="media/rId154.png" /><Relationship Type="http://schemas.openxmlformats.org/officeDocument/2006/relationships/image" Id="rId158" Target="media/rId158.png" /><Relationship Type="http://schemas.openxmlformats.org/officeDocument/2006/relationships/image" Id="rId162" Target="media/rId162.png" /><Relationship Type="http://schemas.openxmlformats.org/officeDocument/2006/relationships/image" Id="rId166" Target="media/rId166.png" /><Relationship Type="http://schemas.openxmlformats.org/officeDocument/2006/relationships/image" Id="rId170" Target="media/rId170.png" /><Relationship Type="http://schemas.openxmlformats.org/officeDocument/2006/relationships/image" Id="rId174" Target="media/rId174.png" /><Relationship Type="http://schemas.openxmlformats.org/officeDocument/2006/relationships/image" Id="rId33" Target="media/rId33.png" /><Relationship Type="http://schemas.openxmlformats.org/officeDocument/2006/relationships/image" Id="rId178" Target="media/rId178.png" /><Relationship Type="http://schemas.openxmlformats.org/officeDocument/2006/relationships/image" Id="rId182" Target="media/rId18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Батова Ирина Сергеевна</dc:creator>
  <dc:language>ru-RU</dc:language>
  <cp:keywords/>
  <dcterms:created xsi:type="dcterms:W3CDTF">2022-12-15T11:35:10Z</dcterms:created>
  <dcterms:modified xsi:type="dcterms:W3CDTF">2022-12-15T11:35:10Z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