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FDCE9C" w14:textId="1857BDD6" w:rsidR="00AF5C7F" w:rsidRDefault="000B17FB" w:rsidP="00241011">
      <w:pPr>
        <w:spacing w:before="560" w:after="0" w:line="240" w:lineRule="auto"/>
      </w:pPr>
      <w:r>
        <w:pict w14:anchorId="01582B69">
          <v:rect id="CoverPanel" o:spid="_x0000_s2051" alt="" style="position:absolute;margin-left:0;margin-top:0;width:595.5pt;height:842.5pt;z-index:-251657216;mso-wrap-edited:f;mso-width-percent:0;mso-height-percent:0;mso-position-horizontal:left;mso-position-horizontal-relative:page;mso-position-vertical:top;mso-position-vertical-relative:page;mso-width-percent:0;mso-height-percent:0" fillcolor="#064229" stroked="f">
            <w10:wrap anchorx="page" anchory="page"/>
          </v:rect>
        </w:pict>
      </w:r>
      <w:r>
        <w:pict w14:anchorId="73DE3B27">
          <v:rect id="CoverNotice" o:spid="_x0000_s2050" alt="" style="position:absolute;margin-left:63.8pt;margin-top:735pt;width:467pt;height:50pt;z-index:251660288;mso-wrap-style:square;mso-wrap-edited:f;mso-width-percent:0;mso-height-percent:0;mso-position-horizontal-relative:page;mso-position-vertical-relative:page;mso-width-percent:0;mso-height-percent:0;v-text-anchor:top" filled="f" stroked="f">
            <v:textbox inset="0,0,0,0">
              <w:txbxContent>
                <w:p w14:paraId="3468C7B7" w14:textId="77777777" w:rsidR="00AF5C7F" w:rsidRDefault="00AF5C7F">
                  <w:pPr>
                    <w:pStyle w:val="ISCNotice"/>
                  </w:pPr>
                  <w:r>
                    <w:t>CONFIDENTIALITY NOTICE: the contents of this document are intended solely for use within the team and its members, may contain confidential or privileged information and may be legally protected from disclosure.</w:t>
                  </w:r>
                </w:p>
              </w:txbxContent>
            </v:textbox>
            <w10:wrap anchorx="page" anchory="page"/>
          </v:rect>
        </w:pict>
      </w:r>
    </w:p>
    <w:p w14:paraId="33B58B7B" w14:textId="68834D63" w:rsidR="00241011" w:rsidRDefault="00241011">
      <w:pPr>
        <w:pStyle w:val="ISCCoverSubtitle"/>
        <w:spacing w:before="2600" w:after="0"/>
      </w:pPr>
    </w:p>
    <w:p w14:paraId="1E8E93FC" w14:textId="77777777" w:rsidR="00241011" w:rsidRDefault="00241011">
      <w:pPr>
        <w:pStyle w:val="ISCCoverSubtitle"/>
        <w:spacing w:before="0" w:after="200"/>
      </w:pPr>
    </w:p>
    <w:p w14:paraId="1EFCD216" w14:textId="77777777" w:rsidR="00241011" w:rsidRDefault="00241011">
      <w:pPr>
        <w:pStyle w:val="ISCCoverSubtitle"/>
        <w:spacing w:before="0" w:after="200"/>
      </w:pPr>
    </w:p>
    <w:p w14:paraId="7B7579B1" w14:textId="45D203C2" w:rsidR="00241011" w:rsidRDefault="00241011">
      <w:pPr>
        <w:pStyle w:val="ISCCoverSubtitle"/>
        <w:spacing w:before="0" w:after="200"/>
      </w:pPr>
      <w:r w:rsidRPr="00241011">
        <w:rPr>
          <w:rFonts w:ascii="Aptos" w:hAnsi="Aptos" w:cs="Times New Roman"/>
          <w:noProof/>
          <w:color w:val="auto"/>
          <w:kern w:val="2"/>
          <w:sz w:val="24"/>
          <w:szCs w:val="24"/>
          <w14:ligatures w14:val="standardContextual"/>
        </w:rPr>
        <w:drawing>
          <wp:inline distT="0" distB="0" distL="0" distR="0" wp14:anchorId="24E7008C" wp14:editId="5FE893FC">
            <wp:extent cx="4829795" cy="1843315"/>
            <wp:effectExtent l="0" t="0" r="0" b="0"/>
            <wp:docPr id="345014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14670" name="Picture 3450146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65018" cy="1856758"/>
                    </a:xfrm>
                    <a:prstGeom prst="rect">
                      <a:avLst/>
                    </a:prstGeom>
                  </pic:spPr>
                </pic:pic>
              </a:graphicData>
            </a:graphic>
          </wp:inline>
        </w:drawing>
      </w:r>
    </w:p>
    <w:p w14:paraId="7DA1D1C3" w14:textId="77777777" w:rsidR="00241011" w:rsidRDefault="00241011">
      <w:pPr>
        <w:pStyle w:val="ISCCoverSubtitle"/>
        <w:spacing w:before="0" w:after="200"/>
      </w:pPr>
    </w:p>
    <w:p w14:paraId="2727B663" w14:textId="33E1EF30" w:rsidR="00AF5C7F" w:rsidRDefault="00AF5C7F">
      <w:pPr>
        <w:pStyle w:val="ISCCoverSubtitle"/>
        <w:spacing w:before="0" w:after="200"/>
      </w:pPr>
      <w:r>
        <w:t>Season 2025/2026</w:t>
      </w:r>
    </w:p>
    <w:p w14:paraId="398CC2CA" w14:textId="12DA9C83" w:rsidR="00AF5C7F" w:rsidRDefault="00241011">
      <w:pPr>
        <w:pStyle w:val="ISCCoverTitle"/>
        <w:spacing w:after="0"/>
      </w:pPr>
      <w:r>
        <w:t>Work Order: MainLite</w:t>
      </w:r>
    </w:p>
    <w:p w14:paraId="68199C84" w14:textId="404A1231" w:rsidR="00AF5C7F" w:rsidRDefault="00AF5C7F">
      <w:pPr>
        <w:pStyle w:val="ISCCoverMeta"/>
        <w:spacing w:before="700" w:after="80"/>
      </w:pPr>
      <w:r/>
      <w:r>
        <w:rPr>
          <w:rFonts w:ascii="Jost" w:hAnsi="Jost"/>
          <w:b/>
          <w:color w:val="FFB81D"/>
          <w:sz w:val="24"/>
        </w:rPr>
        <w:t xml:space="preserve">Department: </w:t>
      </w:r>
      <w:r>
        <w:rPr>
          <w:rFonts w:ascii="Jost" w:hAnsi="Jost"/>
          <w:color w:val="F2F0E9"/>
          <w:sz w:val="24"/>
        </w:rPr>
        <w:t>Low Voltage &amp; Electronics</w:t>
      </w:r>
    </w:p>
    <w:p w14:paraId="39966BB0" w14:textId="2399D18C" w:rsidR="00AF5C7F" w:rsidRDefault="00AF5C7F">
      <w:pPr>
        <w:pStyle w:val="ISCCoverMeta"/>
        <w:spacing w:after="80"/>
      </w:pPr>
      <w:r/>
      <w:r>
        <w:rPr>
          <w:rFonts w:ascii="Jost" w:hAnsi="Jost"/>
          <w:b/>
          <w:color w:val="FFB81D"/>
          <w:sz w:val="24"/>
        </w:rPr>
        <w:t xml:space="preserve">Author: </w:t>
      </w:r>
      <w:r>
        <w:rPr>
          <w:rFonts w:ascii="Jost" w:hAnsi="Jost"/>
          <w:color w:val="F2F0E9"/>
          <w:sz w:val="24"/>
        </w:rPr>
        <w:t>Raúl Morán</w:t>
      </w:r>
    </w:p>
    <w:p w14:paraId="5AAE22D1" w14:textId="05D1867D" w:rsidR="00AF5C7F" w:rsidRPr="00B14936" w:rsidRDefault="00AF5C7F">
      <w:pPr>
        <w:pStyle w:val="ISCCoverMeta"/>
        <w:spacing w:after="80"/>
        <w:rPr>
          <w:sz w:val="24"/>
        </w:rPr>
      </w:pPr>
      <w:r/>
      <w:r>
        <w:rPr>
          <w:rFonts w:ascii="Jost" w:hAnsi="Jost"/>
          <w:b/>
          <w:color w:val="FFB81D"/>
          <w:sz w:val="24"/>
        </w:rPr>
        <w:t xml:space="preserve">Date: </w:t>
      </w:r>
      <w:r>
        <w:rPr>
          <w:rFonts w:ascii="Jost" w:hAnsi="Jost"/>
          <w:color w:val="F2F0E9"/>
          <w:sz w:val="24"/>
        </w:rPr>
        <w:t>6 October 2026</w:t>
      </w:r>
    </w:p>
    <w:p w14:paraId="657A8AA2" w14:textId="656F97B1" w:rsidR="00AF5C7F" w:rsidRDefault="00AF5C7F">
      <w:pPr>
        <w:pStyle w:val="ISCCoverMeta"/>
        <w:spacing w:after="80"/>
      </w:pPr>
      <w:r/>
      <w:r>
        <w:rPr>
          <w:rFonts w:ascii="Jost" w:hAnsi="Jost"/>
          <w:b/>
          <w:color w:val="FFB81D"/>
          <w:sz w:val="24"/>
        </w:rPr>
        <w:t xml:space="preserve">Revision: </w:t>
      </w:r>
      <w:r>
        <w:rPr>
          <w:rFonts w:ascii="Jost" w:hAnsi="Jost"/>
          <w:color w:val="F2F0E9"/>
          <w:sz w:val="24"/>
        </w:rPr>
        <w:t>Rev 1.0 (WO-IFS08-MLITE-001)</w:t>
      </w:r>
    </w:p>
    <w:p w14:paraId="29255978" w14:textId="77777777" w:rsidR="00AF5C7F" w:rsidRDefault="00AF5C7F">
      <w:pPr>
        <w:sectPr w:rsidR="00AF5C7F" w:rsidSect="00AF5C7F">
          <w:headerReference w:type="even" r:id="rId7"/>
          <w:headerReference w:type="default" r:id="rId8"/>
          <w:footerReference w:type="even" r:id="rId9"/>
          <w:footerReference w:type="default" r:id="rId10"/>
          <w:headerReference w:type="first" r:id="rId11"/>
          <w:footerReference w:type="first" r:id="rId12"/>
          <w:pgSz w:w="11906" w:h="16838"/>
          <w:pgMar w:top="1418" w:right="1276" w:bottom="1418" w:left="1276" w:header="624" w:footer="624" w:gutter="0"/>
          <w:cols w:space="720"/>
        </w:sectPr>
      </w:pPr>
    </w:p>
    <w:p>
      <w:pPr>
        <w:pStyle w:val="Heading1"/>
        <w:keepNext/>
        <w:spacing w:before="320" w:after="80"/>
      </w:pPr>
      <w:r>
        <w:t>1. Executive Summary &amp; Functional Description</w:t>
      </w:r>
    </w:p>
    <w:p>
      <w:pPr>
        <w:pStyle w:val="Heading2"/>
        <w:keepNext/>
        <w:spacing w:before="200" w:after="60"/>
      </w:pPr>
      <w:r>
        <w:t>1.1 Purpose</w:t>
      </w:r>
    </w:p>
    <w:p>
      <w:pPr>
        <w:spacing w:before="0" w:after="80" w:line="276" w:lineRule="auto"/>
      </w:pPr>
      <w:r>
        <w:t>This Work Order defines the hardware engineering requirements, electrical specifications, component selections, module interfaces, and verification testing procedures for the IFS08 'MainLite' printed circuit board (PCB).</w:t>
      </w:r>
    </w:p>
    <w:p>
      <w:pPr>
        <w:spacing w:before="0" w:after="80" w:line="276" w:lineRule="auto"/>
      </w:pPr>
      <w:r>
        <w:t>The MainLite is the team's minimal STM32H733ZG control module. A single module design is shared by three vehicle subsystems: mounted on its backplane it becomes the Accumulator Management System (AMS), the Electronic Control Unit (ECU) or the driverless interface (uDV). Everything that differs between these roles lives on the backplane; the module itself carries only the microcontroller, its supply, the three CAN physical layers and the common peripherals.</w:t>
      </w:r>
    </w:p>
    <w:p>
      <w:pPr>
        <w:spacing w:before="0" w:after="80" w:line="276" w:lineRule="auto"/>
      </w:pPr>
      <w:r>
        <w:t>This revision documents the v1.1 design as fabricated and is the baseline against which future MainLite revisions and backplane designs are verified.</w:t>
      </w:r>
    </w:p>
    <w:p>
      <w:pPr>
        <w:pStyle w:val="Heading2"/>
        <w:keepNext/>
        <w:spacing w:before="200" w:after="60"/>
      </w:pPr>
      <w:r>
        <w:t>1.2 System Overview &amp; Module Integration</w:t>
      </w:r>
    </w:p>
    <w:p>
      <w:pPr>
        <w:pStyle w:val="ListParagraph"/>
        <w:spacing w:before="20" w:after="40" w:line="276" w:lineRule="auto"/>
        <w:ind w:left="360"/>
      </w:pPr>
      <w:r>
        <w:rPr>
          <w:b/>
          <w:color w:val="C88A00"/>
        </w:rPr>
        <w:t xml:space="preserve">▪  </w:t>
      </w:r>
      <w:r>
        <w:rPr>
          <w:b/>
          <w:color w:val="064229"/>
        </w:rPr>
        <w:t>One Module, Three Roles:</w:t>
      </w:r>
      <w:r>
        <w:t xml:space="preserve"> The same assembled MainLite plugs into the AMS, ECU or uDV backplane through two 1x18 2.54 mm headers (J3, J4). Spares are interchangeable between subsystems; the role is selected by the backplane and the firmware image.</w:t>
      </w:r>
    </w:p>
    <w:p>
      <w:pPr>
        <w:pStyle w:val="ListParagraph"/>
        <w:spacing w:before="20" w:after="40" w:line="276" w:lineRule="auto"/>
        <w:ind w:left="360"/>
      </w:pPr>
      <w:r>
        <w:rPr>
          <w:b/>
          <w:color w:val="C88A00"/>
        </w:rPr>
        <w:t xml:space="preserve">▪  </w:t>
      </w:r>
      <w:r>
        <w:rPr>
          <w:b/>
          <w:color w:val="064229"/>
        </w:rPr>
        <w:t>High-Performance Microcontroller:</w:t>
      </w:r>
      <w:r>
        <w:t xml:space="preserve"> STMicroelectronics STM32H733ZGTx (Arm Cortex-M7 up to 550 MHz, 1 MB Flash, 564 KB RAM) in LQFP-144, clocked from a 24 MHz crystal.</w:t>
      </w:r>
    </w:p>
    <w:p>
      <w:pPr>
        <w:pStyle w:val="ListParagraph"/>
        <w:spacing w:before="20" w:after="40" w:line="276" w:lineRule="auto"/>
        <w:ind w:left="360"/>
      </w:pPr>
      <w:r>
        <w:rPr>
          <w:b/>
          <w:color w:val="C88A00"/>
        </w:rPr>
        <w:t xml:space="preserve">▪  </w:t>
      </w:r>
      <w:r>
        <w:rPr>
          <w:b/>
          <w:color w:val="064229"/>
        </w:rPr>
        <w:t>Triple CAN Physical Layer:</w:t>
      </w:r>
      <w:r>
        <w:t xml:space="preserve"> Three Texas Instruments TCAN330 transceivers on FDCAN1, FDCAN2 and FDCAN3, each with a fixed 120 Ω termination, routed to the backplane on J4.3–J4.8.</w:t>
      </w:r>
    </w:p>
    <w:p>
      <w:pPr>
        <w:pStyle w:val="ListParagraph"/>
        <w:spacing w:before="20" w:after="40" w:line="276" w:lineRule="auto"/>
        <w:ind w:left="360"/>
      </w:pPr>
      <w:r>
        <w:rPr>
          <w:b/>
          <w:color w:val="C88A00"/>
        </w:rPr>
        <w:t xml:space="preserve">▪  </w:t>
      </w:r>
      <w:r>
        <w:rPr>
          <w:b/>
          <w:color w:val="064229"/>
        </w:rPr>
        <w:t>On-Board Sensing &amp; Logging:</w:t>
      </w:r>
      <w:r>
        <w:t xml:space="preserve"> Bosch BMI088 6-axis IMU on I2C2 and a microSD socket on SDMMC1 (4-bit) for high-rate data logging.</w:t>
      </w:r>
    </w:p>
    <w:p>
      <w:pPr>
        <w:pStyle w:val="ListParagraph"/>
        <w:spacing w:before="20" w:after="40" w:line="276" w:lineRule="auto"/>
        <w:ind w:left="360"/>
      </w:pPr>
      <w:r>
        <w:rPr>
          <w:b/>
          <w:color w:val="C88A00"/>
        </w:rPr>
        <w:t xml:space="preserve">▪  </w:t>
      </w:r>
      <w:r>
        <w:rPr>
          <w:b/>
          <w:color w:val="064229"/>
        </w:rPr>
        <w:t>Service Interfaces:</w:t>
      </w:r>
      <w:r>
        <w:t xml:space="preserve"> USB-C (USB_OTG_HS, full-speed) for power and data, a 4-pin SWD header (J2), BOOT0 and reset push-buttons, and two status LEDs (OK / ERR).</w:t>
      </w:r>
    </w:p>
    <w:p>
      <w:pPr>
        <w:pStyle w:val="ListParagraph"/>
        <w:spacing w:before="20" w:after="40" w:line="276" w:lineRule="auto"/>
        <w:ind w:left="360"/>
      </w:pPr>
      <w:r>
        <w:rPr>
          <w:b/>
          <w:color w:val="C88A00"/>
        </w:rPr>
        <w:t xml:space="preserve">▪  </w:t>
      </w:r>
      <w:r>
        <w:rPr>
          <w:b/>
          <w:color w:val="064229"/>
        </w:rPr>
        <w:t>CAN Bootloader:</w:t>
      </w:r>
      <w:r>
        <w:t xml:space="preserve"> Every MainLite is provisioned with the ISC CAN bootloader in Flash sector 0, so application firmware is updated over the vehicle CAN bus without opening the car (node id 0x1 ECU, 0x2 AMS, 0x3 uDV).</w:t>
      </w:r>
    </w:p>
    <w:p>
      <w:pPr>
        <w:pStyle w:val="ListParagraph"/>
        <w:spacing w:before="20" w:after="40" w:line="276" w:lineRule="auto"/>
        <w:ind w:left="360"/>
      </w:pPr>
      <w:r>
        <w:rPr>
          <w:b/>
          <w:color w:val="C88A00"/>
        </w:rPr>
        <w:t xml:space="preserve">▪  </w:t>
      </w:r>
      <w:r>
        <w:rPr>
          <w:b/>
          <w:color w:val="064229"/>
        </w:rPr>
        <w:t>Machine-Readable Pin Model:</w:t>
      </w:r>
      <w:r>
        <w:t xml:space="preserve"> Every one of the 144 MCU pins, its net, alternate function and backplane routing is exported automatically from the schematic to model/mainlite.pins.yaml and kept in sync by CI, so firmware, backplane and HIL definitions can be checked against the hardware.</w:t>
      </w:r>
    </w:p>
    <w:p>
      <w:pPr>
        <w:pStyle w:val="ListParagraph"/>
        <w:spacing w:before="20" w:after="40" w:line="276" w:lineRule="auto"/>
        <w:ind w:left="360"/>
      </w:pPr>
      <w:r>
        <w:rPr>
          <w:b/>
          <w:color w:val="C88A00"/>
        </w:rPr>
        <w:t xml:space="preserve">▪  </w:t>
      </w:r>
      <w:r>
        <w:rPr>
          <w:b/>
          <w:color w:val="064229"/>
        </w:rPr>
        <w:t>Compact 2-Layer PCB:</w:t>
      </w:r>
      <w:r>
        <w:t xml:space="preserve"> 40 x 60 mm, 2-layer FR4, 1.2 mm thickness, 1 oz (35 µm) copper, four M3 mounting holes.</w:t>
      </w:r>
    </w:p>
    <w:p>
      <w:pPr>
        <w:pStyle w:val="Heading1"/>
        <w:keepNext/>
        <w:spacing w:before="320" w:after="80"/>
      </w:pPr>
      <w:r>
        <w:t>2. System Architecture Diagram</w:t>
      </w:r>
    </w:p>
    <w:p>
      <w:pPr>
        <w:keepNext/>
        <w:spacing w:before="120" w:after="80" w:line="276" w:lineRule="auto"/>
      </w:pPr>
      <w:r>
        <w:t>The block diagram below illustrates the power path, the microcontroller peripherals and their routing to the backplane connectors.</w:t>
      </w:r>
    </w:p>
    <w:tbl>
      <w:tblPr>
        <w:tblW w:type="auto" w:w="0"/>
        <w:jc w:val="center"/>
        <w:tblLook w:firstColumn="1" w:firstRow="1" w:lastColumn="0" w:lastRow="0" w:noHBand="0" w:noVBand="1" w:val="04A0"/>
        <w:tblBorders>
          <w:top w:val="single" w:sz="6" w:space="0" w:color="064229"/>
          <w:left w:val="single" w:sz="6" w:space="0" w:color="064229"/>
          <w:bottom w:val="single" w:sz="6" w:space="0" w:color="064229"/>
          <w:right w:val="single" w:sz="6" w:space="0" w:color="064229"/>
        </w:tblBorders>
      </w:tblPr>
      <w:tblGrid>
        <w:gridCol w:w="9354"/>
      </w:tblGrid>
      <w:tr>
        <w:trPr>
          <w:cantSplit/>
        </w:trPr>
        <w:tc>
          <w:tcPr>
            <w:tcW w:type="dxa" w:w="9354"/>
            <w:shd w:fill="F5F8F6"/>
          </w:tcPr>
          <w:p>
            <w:pPr>
              <w:spacing w:before="160" w:after="160"/>
              <w:jc w:val="left"/>
            </w:pPr>
            <w:r>
              <w:rPr>
                <w:rFonts w:ascii="IBM Plex Mono" w:hAnsi="IBM Plex Mono"/>
                <w:color w:val="064229"/>
                <w:sz w:val="15"/>
              </w:rPr>
              <w:t xml:space="preserve">+-------------------------------------------------------------------------------+</w:t>
              <w:br/>
              <w:t xml:space="preserve">|        BACKPLANE  (AMS / ECU / uDV)  -- mates with J3 + J4 (2x 1x18, 2.54 mm)   |</w:t>
              <w:br/>
              <w:t xml:space="preserve">|   J4.17/18 +5V   J4.15/16 VDD 3V3   J3.1/2 + J4.1/2 GND   J4.3-8 CAN1..3      |</w:t>
              <w:br/>
              <w:t xml:space="preserve">+---------------+-----------------------------+---------------------------------+</w:t>
              <w:br/>
              <w:t xml:space="preserve">                |  +5V                        |  22 MCU I/O (GPIO, USART10, SPI1, 1-Wire)</w:t>
              <w:br/>
              <w:t xml:space="preserve">                v                             |</w:t>
              <w:br/>
              <w:t xml:space="preserve">   USB-C (J5) --+--&gt; LSM115J (D11) --+        |</w:t>
              <w:br/>
              <w:t xml:space="preserve">   VBUS 5 V                          v        |</w:t>
              <w:br/>
              <w:t xml:space="preserve">                       +---------------------------+</w:t>
              <w:br/>
              <w:t xml:space="preserve">                       |  LD39200PU33R (U1) 3.3 V   |---&gt; VDD (MCU, IMU, microSD, J2, J4.15/16)</w:t>
              <w:br/>
              <w:t xml:space="preserve">                       +-------------+-------------+</w:t>
              <w:br/>
              <w:t xml:space="preserve">                                     |</w:t>
              <w:br/>
              <w:t xml:space="preserve">       +-----------------------------v------------------------------------+</w:t>
              <w:br/>
              <w:t xml:space="preserve">       |              STM32H733ZGTx  (U5, LQFP-144, Cortex-M7 550 MHz)    |</w:t>
              <w:br/>
              <w:t xml:space="preserve">       |   HSE 24 MHz (Y1)      SWD (J2)      BOOT0 (SW1)   NRST (SW2)    |</w:t>
              <w:br/>
              <w:t xml:space="preserve">       +----+-----------+-----------+-----------+-----------+--------+----+</w:t>
              <w:br/>
              <w:t xml:space="preserve">            | FDCAN1    | FDCAN2    | FDCAN3    | I2C2      | SDMMC1 | USB_OTG_HS</w:t>
              <w:br/>
              <w:t xml:space="preserve">            v           v           v           v           v        v</w:t>
              <w:br/>
              <w:t xml:space="preserve">        TCAN330     TCAN330     TCAN330      BMI088     microSD    USB-C (J5)</w:t>
              <w:br/>
              <w:t xml:space="preserve">         (U2)        (U3)        (U4)        (IC1)       (J1)      ESD D3/D4</w:t>
              <w:br/>
              <w:t xml:space="preserve">        120R R1     120R R5     120R R9   0x18 / 0x68  4-bit, CD   VBUS sense PA9</w:t>
              <w:br/>
              <w:t xml:space="preserve">            |           |           |</w:t>
              <w:br/>
              <w:t xml:space="preserve">        J4.3/4      J4.5/6      J4.7/8</w:t>
              <w:br/>
              <w:t xml:space="preserve">         CAN1        CAN2        CAN3</w:t>
            </w:r>
          </w:p>
        </w:tc>
      </w:tr>
    </w:tbl>
    <w:p>
      <w:pPr>
        <w:pStyle w:val="Heading1"/>
        <w:keepNext/>
        <w:spacing w:before="320" w:after="80"/>
      </w:pPr>
      <w:r>
        <w:t>3. Hardware &amp; Design Requirements</w:t>
      </w:r>
    </w:p>
    <w:p>
      <w:pPr>
        <w:pStyle w:val="Heading2"/>
        <w:keepNext/>
        <w:spacing w:before="200" w:after="60"/>
      </w:pPr>
      <w:r>
        <w:t>3.1 Core Component &amp; Electrical Requirements</w:t>
      </w:r>
    </w:p>
    <w:p>
      <w:pPr>
        <w:pStyle w:val="ListParagraph"/>
        <w:spacing w:before="20" w:after="40" w:line="276" w:lineRule="auto"/>
        <w:ind w:left="360"/>
      </w:pPr>
      <w:r>
        <w:rPr>
          <w:b/>
          <w:color w:val="C88A00"/>
        </w:rPr>
        <w:t xml:space="preserve">▪  </w:t>
      </w:r>
      <w:r>
        <w:rPr>
          <w:b/>
          <w:color w:val="064229"/>
        </w:rPr>
        <w:t>Power Input &amp; Regulation:</w:t>
      </w:r>
      <w:r>
        <w:t xml:space="preserve"> +5V supplied by the backplane on J4.17/J4.18, or from USB VBUS through a Microsemi LSM115J Schottky diode (D11) for bench work. An ST LD39200PU33R 2 A low-dropout regulator (U1) generates the 3.3 V VDD rail, which is also exported to the backplane on J4.15/J4.16.</w:t>
      </w:r>
    </w:p>
    <w:p>
      <w:pPr>
        <w:pStyle w:val="ListParagraph"/>
        <w:spacing w:before="20" w:after="40" w:line="276" w:lineRule="auto"/>
        <w:ind w:left="360"/>
      </w:pPr>
      <w:r>
        <w:rPr>
          <w:b/>
          <w:color w:val="C88A00"/>
        </w:rPr>
        <w:t xml:space="preserve">▪  </w:t>
      </w:r>
      <w:r>
        <w:rPr>
          <w:b/>
          <w:color w:val="064229"/>
        </w:rPr>
        <w:t>Microcontroller Supply Network:</w:t>
      </w:r>
      <w:r>
        <w:t xml:space="preserve"> 100 nF decoupling on every VDD pin, 2 x 2.2 µF on VCAP, VDDA tied to VDD, and VREF+ filtered from VDD through 47 Ω with 1 µF + 100 nF. VBAT and PDR_ON are left unconnected in v1.1 (see Section 3.3).</w:t>
      </w:r>
    </w:p>
    <w:p>
      <w:pPr>
        <w:pStyle w:val="ListParagraph"/>
        <w:spacing w:before="20" w:after="40" w:line="276" w:lineRule="auto"/>
        <w:ind w:left="360"/>
      </w:pPr>
      <w:r>
        <w:rPr>
          <w:b/>
          <w:color w:val="C88A00"/>
        </w:rPr>
        <w:t xml:space="preserve">▪  </w:t>
      </w:r>
      <w:r>
        <w:rPr>
          <w:b/>
          <w:color w:val="064229"/>
        </w:rPr>
        <w:t>Clock:</w:t>
      </w:r>
      <w:r>
        <w:t xml:space="preserve"> 24 MHz crystal (Y1, 2.5 x 2.0 mm) on PH0/PH1 with 10 pF load capacitors (C5, C6) as the HSE source.</w:t>
      </w:r>
    </w:p>
    <w:p>
      <w:pPr>
        <w:pStyle w:val="ListParagraph"/>
        <w:spacing w:before="20" w:after="40" w:line="276" w:lineRule="auto"/>
        <w:ind w:left="360"/>
      </w:pPr>
      <w:r>
        <w:rPr>
          <w:b/>
          <w:color w:val="C88A00"/>
        </w:rPr>
        <w:t xml:space="preserve">▪  </w:t>
      </w:r>
      <w:r>
        <w:rPr>
          <w:b/>
          <w:color w:val="064229"/>
        </w:rPr>
        <w:t>CAN Physical Layer:</w:t>
      </w:r>
      <w:r>
        <w:t xml:space="preserve"> Three TI TCAN330 3.3 V CAN transceivers (SOIC-8): FDCAN1 on PD0/PD1 (U2), FDCAN2 on PB12/PB13 (U3), FDCAN3 on PG10/PG9 (U4). Each bus has a fixed 120 Ω termination (R1, R5, R9) on the module. SHDN and S are left at their internal defaults (normal mode).</w:t>
      </w:r>
    </w:p>
    <w:p>
      <w:pPr>
        <w:pStyle w:val="ListParagraph"/>
        <w:spacing w:before="20" w:after="40" w:line="276" w:lineRule="auto"/>
        <w:ind w:left="360"/>
      </w:pPr>
      <w:r>
        <w:rPr>
          <w:b/>
          <w:color w:val="C88A00"/>
        </w:rPr>
        <w:t xml:space="preserve">▪  </w:t>
      </w:r>
      <w:r>
        <w:rPr>
          <w:b/>
          <w:color w:val="064229"/>
        </w:rPr>
        <w:t>Inertial Measurement Unit:</w:t>
      </w:r>
      <w:r>
        <w:t xml:space="preserve"> Bosch BMI088 (IC1) in I2C mode on I2C2 (PF0 SDA, PF1 SCL). Accelerometer at 0x18 and gyroscope at 0x68 (SDO1/SDO2 strapped to GND). No external pull-ups are fitted: firmware enables the MCU internal pull-ups and runs the bus at 100 kHz. Interrupt pins are not routed.</w:t>
      </w:r>
    </w:p>
    <w:p>
      <w:pPr>
        <w:pStyle w:val="ListParagraph"/>
        <w:spacing w:before="20" w:after="40" w:line="276" w:lineRule="auto"/>
        <w:ind w:left="360"/>
      </w:pPr>
      <w:r>
        <w:rPr>
          <w:b/>
          <w:color w:val="C88A00"/>
        </w:rPr>
        <w:t xml:space="preserve">▪  </w:t>
      </w:r>
      <w:r>
        <w:rPr>
          <w:b/>
          <w:color w:val="064229"/>
        </w:rPr>
        <w:t>microSD Storage:</w:t>
      </w:r>
      <w:r>
        <w:t xml:space="preserve"> Molex 104031-0811 socket (J1) on SDMMC1 4-bit (PC8–PC12, PD2) with 33 Ω series resistors, 47 kΩ pull-ups on CMD and DAT0–DAT3, card detect on PE3 with a 47 kΩ pull-up, supplied from the always-on 3.3 V rail.</w:t>
      </w:r>
    </w:p>
    <w:p>
      <w:pPr>
        <w:pStyle w:val="ListParagraph"/>
        <w:spacing w:before="20" w:after="40" w:line="276" w:lineRule="auto"/>
        <w:ind w:left="360"/>
      </w:pPr>
      <w:r>
        <w:rPr>
          <w:b/>
          <w:color w:val="C88A00"/>
        </w:rPr>
        <w:t xml:space="preserve">▪  </w:t>
      </w:r>
      <w:r>
        <w:rPr>
          <w:b/>
          <w:color w:val="064229"/>
        </w:rPr>
        <w:t>USB-C:</w:t>
      </w:r>
      <w:r>
        <w:t xml:space="preserve"> GCT USB4085 receptacle (J5) on USB_OTG_HS with the internal full-speed PHY (PA11/PA12), ESD9B5.0ST5G protection on D+/D-, 5.1 kΩ CC pull-downs (sink), and VBUS sensing on PA9 through a 100 kΩ / 47 kΩ divider.</w:t>
      </w:r>
    </w:p>
    <w:p>
      <w:pPr>
        <w:pStyle w:val="ListParagraph"/>
        <w:spacing w:before="20" w:after="40" w:line="276" w:lineRule="auto"/>
        <w:ind w:left="360"/>
      </w:pPr>
      <w:r>
        <w:rPr>
          <w:b/>
          <w:color w:val="C88A00"/>
        </w:rPr>
        <w:t xml:space="preserve">▪  </w:t>
      </w:r>
      <w:r>
        <w:rPr>
          <w:b/>
          <w:color w:val="064229"/>
        </w:rPr>
        <w:t>Debug, Boot &amp; Status:</w:t>
      </w:r>
      <w:r>
        <w:t xml:space="preserve"> 1x4 SWD header J2 (GND, SWCLK, SWDIO, VDD) with 33 Ω series resistors on PA14/PA13; BOOT0 push-button SW1 with 10 kΩ pull-down; reset push-button SW2 (pulls NRST low through 10 kΩ); OK_STATUS (PD14) and ERR_STATUS (PD15) LEDs and a green VDD power LED (LED1).</w:t>
      </w:r>
    </w:p>
    <w:p>
      <w:pPr>
        <w:pStyle w:val="Heading2"/>
        <w:keepNext/>
        <w:spacing w:before="200" w:after="60"/>
      </w:pPr>
      <w:r>
        <w:t>3.2 Pin Mapping &amp; Interface Specification</w:t>
      </w:r>
    </w:p>
    <w:p>
      <w:pPr>
        <w:keepNext/>
        <w:spacing w:before="120" w:after="80" w:line="276" w:lineRule="auto"/>
      </w:pPr>
      <w:r>
        <w:t>Table 3.2.1: Backplane Connector Pinout (J3 / J4, 1x18, 2.54 mm)</w:t>
      </w:r>
    </w:p>
    <w:tbl>
      <w:tblPr>
        <w:tblStyle w:val="ISCRacingTable"/>
        <w:tblW w:type="auto" w:w="0"/>
        <w:jc w:val="center"/>
        <w:tblLook w:firstColumn="1" w:firstRow="1" w:lastColumn="0" w:lastRow="0" w:noHBand="0" w:noVBand="1" w:val="04A0"/>
      </w:tblPr>
      <w:tblGrid>
        <w:gridCol w:w="650"/>
        <w:gridCol w:w="2250"/>
        <w:gridCol w:w="2350"/>
        <w:gridCol w:w="1700"/>
        <w:gridCol w:w="2404"/>
      </w:tblGrid>
      <w:tr>
        <w:trPr>
          <w:cantSplit/>
          <w:tblHeader/>
        </w:trPr>
        <w:tc>
          <w:tcPr>
            <w:tcW w:type="dxa" w:w="650"/>
            <w:vAlign w:val="center"/>
          </w:tcPr>
          <w:p>
            <w:pPr>
              <w:spacing w:before="40" w:after="40" w:line="252" w:lineRule="auto"/>
            </w:pPr>
            <w:r>
              <w:rPr>
                <w:rFonts w:ascii="Jost" w:hAnsi="Jost"/>
                <w:b/>
                <w:color w:val="FFFFFF"/>
              </w:rPr>
              <w:t>Pin</w:t>
            </w:r>
          </w:p>
        </w:tc>
        <w:tc>
          <w:tcPr>
            <w:tcW w:type="dxa" w:w="2250"/>
            <w:vAlign w:val="center"/>
          </w:tcPr>
          <w:p>
            <w:pPr>
              <w:spacing w:before="40" w:after="40" w:line="252" w:lineRule="auto"/>
            </w:pPr>
            <w:r>
              <w:rPr>
                <w:rFonts w:ascii="Jost" w:hAnsi="Jost"/>
                <w:b/>
                <w:color w:val="FFFFFF"/>
              </w:rPr>
              <w:t>J3 Net</w:t>
            </w:r>
          </w:p>
        </w:tc>
        <w:tc>
          <w:tcPr>
            <w:tcW w:type="dxa" w:w="2350"/>
            <w:vAlign w:val="center"/>
          </w:tcPr>
          <w:p>
            <w:pPr>
              <w:spacing w:before="40" w:after="40" w:line="252" w:lineRule="auto"/>
            </w:pPr>
            <w:r>
              <w:rPr>
                <w:rFonts w:ascii="Jost" w:hAnsi="Jost"/>
                <w:b/>
                <w:color w:val="FFFFFF"/>
              </w:rPr>
              <w:t>J3 MCU Pin</w:t>
            </w:r>
          </w:p>
        </w:tc>
        <w:tc>
          <w:tcPr>
            <w:tcW w:type="dxa" w:w="1700"/>
            <w:vAlign w:val="center"/>
          </w:tcPr>
          <w:p>
            <w:pPr>
              <w:spacing w:before="40" w:after="40" w:line="252" w:lineRule="auto"/>
            </w:pPr>
            <w:r>
              <w:rPr>
                <w:rFonts w:ascii="Jost" w:hAnsi="Jost"/>
                <w:b/>
                <w:color w:val="FFFFFF"/>
              </w:rPr>
              <w:t>J4 Net</w:t>
            </w:r>
          </w:p>
        </w:tc>
        <w:tc>
          <w:tcPr>
            <w:tcW w:type="dxa" w:w="2404"/>
            <w:vAlign w:val="center"/>
          </w:tcPr>
          <w:p>
            <w:pPr>
              <w:spacing w:before="40" w:after="40" w:line="252" w:lineRule="auto"/>
            </w:pPr>
            <w:r>
              <w:rPr>
                <w:rFonts w:ascii="Jost" w:hAnsi="Jost"/>
                <w:b/>
                <w:color w:val="FFFFFF"/>
              </w:rPr>
              <w:t>J4 MCU Pin / Part</w:t>
            </w:r>
          </w:p>
        </w:tc>
      </w:tr>
      <w:tr>
        <w:trPr>
          <w:cantSplit/>
        </w:trPr>
        <w:tc>
          <w:tcPr>
            <w:tcW w:type="dxa" w:w="650"/>
            <w:vAlign w:val="center"/>
          </w:tcPr>
          <w:p>
            <w:pPr>
              <w:spacing w:before="40" w:after="40" w:line="252" w:lineRule="auto"/>
            </w:pPr>
            <w:r>
              <w:rPr>
                <w:rFonts w:ascii="IBM Plex Sans" w:hAnsi="IBM Plex Sans"/>
              </w:rPr>
              <w:t>1</w:t>
            </w:r>
          </w:p>
        </w:tc>
        <w:tc>
          <w:tcPr>
            <w:tcW w:type="dxa" w:w="2250"/>
            <w:vAlign w:val="center"/>
          </w:tcPr>
          <w:p>
            <w:pPr>
              <w:spacing w:before="40" w:after="40" w:line="252" w:lineRule="auto"/>
            </w:pPr>
            <w:r>
              <w:rPr>
                <w:rFonts w:ascii="IBM Plex Sans" w:hAnsi="IBM Plex Sans"/>
              </w:rPr>
              <w:t>GND</w:t>
            </w:r>
          </w:p>
        </w:tc>
        <w:tc>
          <w:tcPr>
            <w:tcW w:type="dxa" w:w="2350"/>
            <w:vAlign w:val="center"/>
          </w:tcPr>
          <w:p>
            <w:pPr>
              <w:spacing w:before="40" w:after="40" w:line="252" w:lineRule="auto"/>
            </w:pPr>
            <w:r>
              <w:rPr>
                <w:rFonts w:ascii="IBM Plex Sans" w:hAnsi="IBM Plex Sans"/>
              </w:rPr>
              <w:t>—</w:t>
            </w:r>
          </w:p>
        </w:tc>
        <w:tc>
          <w:tcPr>
            <w:tcW w:type="dxa" w:w="1700"/>
            <w:vAlign w:val="center"/>
          </w:tcPr>
          <w:p>
            <w:pPr>
              <w:spacing w:before="40" w:after="40" w:line="252" w:lineRule="auto"/>
            </w:pPr>
            <w:r>
              <w:rPr>
                <w:rFonts w:ascii="IBM Plex Sans" w:hAnsi="IBM Plex Sans"/>
              </w:rPr>
              <w:t>GND</w:t>
            </w:r>
          </w:p>
        </w:tc>
        <w:tc>
          <w:tcPr>
            <w:tcW w:type="dxa" w:w="2404"/>
            <w:vAlign w:val="center"/>
          </w:tcPr>
          <w:p>
            <w:pPr>
              <w:spacing w:before="40" w:after="40" w:line="252" w:lineRule="auto"/>
            </w:pPr>
            <w:r>
              <w:rPr>
                <w:rFonts w:ascii="IBM Plex Sans" w:hAnsi="IBM Plex Sans"/>
              </w:rPr>
              <w:t>—</w:t>
            </w:r>
          </w:p>
        </w:tc>
      </w:tr>
      <w:tr>
        <w:trPr>
          <w:cantSplit/>
        </w:trPr>
        <w:tc>
          <w:tcPr>
            <w:tcW w:type="dxa" w:w="650"/>
            <w:vAlign w:val="center"/>
          </w:tcPr>
          <w:p>
            <w:pPr>
              <w:spacing w:before="40" w:after="40" w:line="252" w:lineRule="auto"/>
            </w:pPr>
            <w:r>
              <w:rPr>
                <w:rFonts w:ascii="IBM Plex Sans" w:hAnsi="IBM Plex Sans"/>
              </w:rPr>
              <w:t>2</w:t>
            </w:r>
          </w:p>
        </w:tc>
        <w:tc>
          <w:tcPr>
            <w:tcW w:type="dxa" w:w="2250"/>
            <w:vAlign w:val="center"/>
          </w:tcPr>
          <w:p>
            <w:pPr>
              <w:spacing w:before="40" w:after="40" w:line="252" w:lineRule="auto"/>
            </w:pPr>
            <w:r>
              <w:rPr>
                <w:rFonts w:ascii="IBM Plex Sans" w:hAnsi="IBM Plex Sans"/>
              </w:rPr>
              <w:t>GND</w:t>
            </w:r>
          </w:p>
        </w:tc>
        <w:tc>
          <w:tcPr>
            <w:tcW w:type="dxa" w:w="2350"/>
            <w:vAlign w:val="center"/>
          </w:tcPr>
          <w:p>
            <w:pPr>
              <w:spacing w:before="40" w:after="40" w:line="252" w:lineRule="auto"/>
            </w:pPr>
            <w:r>
              <w:rPr>
                <w:rFonts w:ascii="IBM Plex Sans" w:hAnsi="IBM Plex Sans"/>
              </w:rPr>
              <w:t>—</w:t>
            </w:r>
          </w:p>
        </w:tc>
        <w:tc>
          <w:tcPr>
            <w:tcW w:type="dxa" w:w="1700"/>
            <w:vAlign w:val="center"/>
          </w:tcPr>
          <w:p>
            <w:pPr>
              <w:spacing w:before="40" w:after="40" w:line="252" w:lineRule="auto"/>
            </w:pPr>
            <w:r>
              <w:rPr>
                <w:rFonts w:ascii="IBM Plex Sans" w:hAnsi="IBM Plex Sans"/>
              </w:rPr>
              <w:t>GND</w:t>
            </w:r>
          </w:p>
        </w:tc>
        <w:tc>
          <w:tcPr>
            <w:tcW w:type="dxa" w:w="2404"/>
            <w:vAlign w:val="center"/>
          </w:tcPr>
          <w:p>
            <w:pPr>
              <w:spacing w:before="40" w:after="40" w:line="252" w:lineRule="auto"/>
            </w:pPr>
            <w:r>
              <w:rPr>
                <w:rFonts w:ascii="IBM Plex Sans" w:hAnsi="IBM Plex Sans"/>
              </w:rPr>
              <w:t>—</w:t>
            </w:r>
          </w:p>
        </w:tc>
      </w:tr>
      <w:tr>
        <w:trPr>
          <w:cantSplit/>
        </w:trPr>
        <w:tc>
          <w:tcPr>
            <w:tcW w:type="dxa" w:w="650"/>
            <w:vAlign w:val="center"/>
          </w:tcPr>
          <w:p>
            <w:pPr>
              <w:spacing w:before="40" w:after="40" w:line="252" w:lineRule="auto"/>
            </w:pPr>
            <w:r>
              <w:rPr>
                <w:rFonts w:ascii="IBM Plex Sans" w:hAnsi="IBM Plex Sans"/>
              </w:rPr>
              <w:t>3</w:t>
            </w:r>
          </w:p>
        </w:tc>
        <w:tc>
          <w:tcPr>
            <w:tcW w:type="dxa" w:w="2250"/>
            <w:vAlign w:val="center"/>
          </w:tcPr>
          <w:p>
            <w:pPr>
              <w:spacing w:before="40" w:after="40" w:line="252" w:lineRule="auto"/>
            </w:pPr>
            <w:r>
              <w:rPr>
                <w:rFonts w:ascii="IBM Plex Sans" w:hAnsi="IBM Plex Sans"/>
              </w:rPr>
              <w:t>DS18B20_REFRI</w:t>
            </w:r>
          </w:p>
        </w:tc>
        <w:tc>
          <w:tcPr>
            <w:tcW w:type="dxa" w:w="2350"/>
            <w:vAlign w:val="center"/>
          </w:tcPr>
          <w:p>
            <w:pPr>
              <w:spacing w:before="40" w:after="40" w:line="252" w:lineRule="auto"/>
            </w:pPr>
            <w:r>
              <w:rPr>
                <w:rFonts w:ascii="IBM Plex Sans" w:hAnsi="IBM Plex Sans"/>
              </w:rPr>
              <w:t>PD5 (119), 4.7 kΩ pull-up</w:t>
            </w:r>
          </w:p>
        </w:tc>
        <w:tc>
          <w:tcPr>
            <w:tcW w:type="dxa" w:w="1700"/>
            <w:vAlign w:val="center"/>
          </w:tcPr>
          <w:p>
            <w:pPr>
              <w:spacing w:before="40" w:after="40" w:line="252" w:lineRule="auto"/>
            </w:pPr>
            <w:r>
              <w:rPr>
                <w:rFonts w:ascii="IBM Plex Sans" w:hAnsi="IBM Plex Sans"/>
              </w:rPr>
              <w:t>CANL1</w:t>
            </w:r>
          </w:p>
        </w:tc>
        <w:tc>
          <w:tcPr>
            <w:tcW w:type="dxa" w:w="2404"/>
            <w:vAlign w:val="center"/>
          </w:tcPr>
          <w:p>
            <w:pPr>
              <w:spacing w:before="40" w:after="40" w:line="252" w:lineRule="auto"/>
            </w:pPr>
            <w:r>
              <w:rPr>
                <w:rFonts w:ascii="IBM Plex Sans" w:hAnsi="IBM Plex Sans"/>
              </w:rPr>
              <w:t>U2 CANL, R1</w:t>
            </w:r>
          </w:p>
        </w:tc>
      </w:tr>
      <w:tr>
        <w:trPr>
          <w:cantSplit/>
        </w:trPr>
        <w:tc>
          <w:tcPr>
            <w:tcW w:type="dxa" w:w="650"/>
            <w:vAlign w:val="center"/>
          </w:tcPr>
          <w:p>
            <w:pPr>
              <w:spacing w:before="40" w:after="40" w:line="252" w:lineRule="auto"/>
            </w:pPr>
            <w:r>
              <w:rPr>
                <w:rFonts w:ascii="IBM Plex Sans" w:hAnsi="IBM Plex Sans"/>
              </w:rPr>
              <w:t>4</w:t>
            </w:r>
          </w:p>
        </w:tc>
        <w:tc>
          <w:tcPr>
            <w:tcW w:type="dxa" w:w="2250"/>
            <w:vAlign w:val="center"/>
          </w:tcPr>
          <w:p>
            <w:pPr>
              <w:spacing w:before="40" w:after="40" w:line="252" w:lineRule="auto"/>
            </w:pPr>
            <w:r>
              <w:rPr>
                <w:rFonts w:ascii="IBM Plex Sans" w:hAnsi="IBM Plex Sans"/>
              </w:rPr>
              <w:t>USART10_RX</w:t>
            </w:r>
          </w:p>
        </w:tc>
        <w:tc>
          <w:tcPr>
            <w:tcW w:type="dxa" w:w="2350"/>
            <w:vAlign w:val="center"/>
          </w:tcPr>
          <w:p>
            <w:pPr>
              <w:spacing w:before="40" w:after="40" w:line="252" w:lineRule="auto"/>
            </w:pPr>
            <w:r>
              <w:rPr>
                <w:rFonts w:ascii="IBM Plex Sans" w:hAnsi="IBM Plex Sans"/>
              </w:rPr>
              <w:t>PG11 (126)</w:t>
            </w:r>
          </w:p>
        </w:tc>
        <w:tc>
          <w:tcPr>
            <w:tcW w:type="dxa" w:w="1700"/>
            <w:vAlign w:val="center"/>
          </w:tcPr>
          <w:p>
            <w:pPr>
              <w:spacing w:before="40" w:after="40" w:line="252" w:lineRule="auto"/>
            </w:pPr>
            <w:r>
              <w:rPr>
                <w:rFonts w:ascii="IBM Plex Sans" w:hAnsi="IBM Plex Sans"/>
              </w:rPr>
              <w:t>CANH1</w:t>
            </w:r>
          </w:p>
        </w:tc>
        <w:tc>
          <w:tcPr>
            <w:tcW w:type="dxa" w:w="2404"/>
            <w:vAlign w:val="center"/>
          </w:tcPr>
          <w:p>
            <w:pPr>
              <w:spacing w:before="40" w:after="40" w:line="252" w:lineRule="auto"/>
            </w:pPr>
            <w:r>
              <w:rPr>
                <w:rFonts w:ascii="IBM Plex Sans" w:hAnsi="IBM Plex Sans"/>
              </w:rPr>
              <w:t>U2 CANH, R1</w:t>
            </w:r>
          </w:p>
        </w:tc>
      </w:tr>
      <w:tr>
        <w:trPr>
          <w:cantSplit/>
        </w:trPr>
        <w:tc>
          <w:tcPr>
            <w:tcW w:type="dxa" w:w="650"/>
            <w:vAlign w:val="center"/>
          </w:tcPr>
          <w:p>
            <w:pPr>
              <w:spacing w:before="40" w:after="40" w:line="252" w:lineRule="auto"/>
            </w:pPr>
            <w:r>
              <w:rPr>
                <w:rFonts w:ascii="IBM Plex Sans" w:hAnsi="IBM Plex Sans"/>
              </w:rPr>
              <w:t>5</w:t>
            </w:r>
          </w:p>
        </w:tc>
        <w:tc>
          <w:tcPr>
            <w:tcW w:type="dxa" w:w="2250"/>
            <w:vAlign w:val="center"/>
          </w:tcPr>
          <w:p>
            <w:pPr>
              <w:spacing w:before="40" w:after="40" w:line="252" w:lineRule="auto"/>
            </w:pPr>
            <w:r>
              <w:rPr>
                <w:rFonts w:ascii="IBM Plex Sans" w:hAnsi="IBM Plex Sans"/>
              </w:rPr>
              <w:t>USART10_TX</w:t>
            </w:r>
          </w:p>
        </w:tc>
        <w:tc>
          <w:tcPr>
            <w:tcW w:type="dxa" w:w="2350"/>
            <w:vAlign w:val="center"/>
          </w:tcPr>
          <w:p>
            <w:pPr>
              <w:spacing w:before="40" w:after="40" w:line="252" w:lineRule="auto"/>
            </w:pPr>
            <w:r>
              <w:rPr>
                <w:rFonts w:ascii="IBM Plex Sans" w:hAnsi="IBM Plex Sans"/>
              </w:rPr>
              <w:t>PG12 (127)</w:t>
            </w:r>
          </w:p>
        </w:tc>
        <w:tc>
          <w:tcPr>
            <w:tcW w:type="dxa" w:w="1700"/>
            <w:vAlign w:val="center"/>
          </w:tcPr>
          <w:p>
            <w:pPr>
              <w:spacing w:before="40" w:after="40" w:line="252" w:lineRule="auto"/>
            </w:pPr>
            <w:r>
              <w:rPr>
                <w:rFonts w:ascii="IBM Plex Sans" w:hAnsi="IBM Plex Sans"/>
              </w:rPr>
              <w:t>CANH2</w:t>
            </w:r>
          </w:p>
        </w:tc>
        <w:tc>
          <w:tcPr>
            <w:tcW w:type="dxa" w:w="2404"/>
            <w:vAlign w:val="center"/>
          </w:tcPr>
          <w:p>
            <w:pPr>
              <w:spacing w:before="40" w:after="40" w:line="252" w:lineRule="auto"/>
            </w:pPr>
            <w:r>
              <w:rPr>
                <w:rFonts w:ascii="IBM Plex Sans" w:hAnsi="IBM Plex Sans"/>
              </w:rPr>
              <w:t>U3 CANH, R5</w:t>
            </w:r>
          </w:p>
        </w:tc>
      </w:tr>
      <w:tr>
        <w:trPr>
          <w:cantSplit/>
        </w:trPr>
        <w:tc>
          <w:tcPr>
            <w:tcW w:type="dxa" w:w="650"/>
            <w:vAlign w:val="center"/>
          </w:tcPr>
          <w:p>
            <w:pPr>
              <w:spacing w:before="40" w:after="40" w:line="252" w:lineRule="auto"/>
            </w:pPr>
            <w:r>
              <w:rPr>
                <w:rFonts w:ascii="IBM Plex Sans" w:hAnsi="IBM Plex Sans"/>
              </w:rPr>
              <w:t>6</w:t>
            </w:r>
          </w:p>
        </w:tc>
        <w:tc>
          <w:tcPr>
            <w:tcW w:type="dxa" w:w="2250"/>
            <w:vAlign w:val="center"/>
          </w:tcPr>
          <w:p>
            <w:pPr>
              <w:spacing w:before="40" w:after="40" w:line="252" w:lineRule="auto"/>
            </w:pPr>
            <w:r>
              <w:rPr>
                <w:rFonts w:ascii="IBM Plex Sans" w:hAnsi="IBM Plex Sans"/>
              </w:rPr>
              <w:t>GPIO1</w:t>
            </w:r>
          </w:p>
        </w:tc>
        <w:tc>
          <w:tcPr>
            <w:tcW w:type="dxa" w:w="2350"/>
            <w:vAlign w:val="center"/>
          </w:tcPr>
          <w:p>
            <w:pPr>
              <w:spacing w:before="40" w:after="40" w:line="252" w:lineRule="auto"/>
            </w:pPr>
            <w:r>
              <w:rPr>
                <w:rFonts w:ascii="IBM Plex Sans" w:hAnsi="IBM Plex Sans"/>
              </w:rPr>
              <w:t>PB4 (134)</w:t>
            </w:r>
          </w:p>
        </w:tc>
        <w:tc>
          <w:tcPr>
            <w:tcW w:type="dxa" w:w="1700"/>
            <w:vAlign w:val="center"/>
          </w:tcPr>
          <w:p>
            <w:pPr>
              <w:spacing w:before="40" w:after="40" w:line="252" w:lineRule="auto"/>
            </w:pPr>
            <w:r>
              <w:rPr>
                <w:rFonts w:ascii="IBM Plex Sans" w:hAnsi="IBM Plex Sans"/>
              </w:rPr>
              <w:t>CANL2</w:t>
            </w:r>
          </w:p>
        </w:tc>
        <w:tc>
          <w:tcPr>
            <w:tcW w:type="dxa" w:w="2404"/>
            <w:vAlign w:val="center"/>
          </w:tcPr>
          <w:p>
            <w:pPr>
              <w:spacing w:before="40" w:after="40" w:line="252" w:lineRule="auto"/>
            </w:pPr>
            <w:r>
              <w:rPr>
                <w:rFonts w:ascii="IBM Plex Sans" w:hAnsi="IBM Plex Sans"/>
              </w:rPr>
              <w:t>U3 CANL, R5</w:t>
            </w:r>
          </w:p>
        </w:tc>
      </w:tr>
      <w:tr>
        <w:trPr>
          <w:cantSplit/>
        </w:trPr>
        <w:tc>
          <w:tcPr>
            <w:tcW w:type="dxa" w:w="650"/>
            <w:vAlign w:val="center"/>
          </w:tcPr>
          <w:p>
            <w:pPr>
              <w:spacing w:before="40" w:after="40" w:line="252" w:lineRule="auto"/>
            </w:pPr>
            <w:r>
              <w:rPr>
                <w:rFonts w:ascii="IBM Plex Sans" w:hAnsi="IBM Plex Sans"/>
              </w:rPr>
              <w:t>7</w:t>
            </w:r>
          </w:p>
        </w:tc>
        <w:tc>
          <w:tcPr>
            <w:tcW w:type="dxa" w:w="2250"/>
            <w:vAlign w:val="center"/>
          </w:tcPr>
          <w:p>
            <w:pPr>
              <w:spacing w:before="40" w:after="40" w:line="252" w:lineRule="auto"/>
            </w:pPr>
            <w:r>
              <w:rPr>
                <w:rFonts w:ascii="IBM Plex Sans" w:hAnsi="IBM Plex Sans"/>
              </w:rPr>
              <w:t>GPIO2</w:t>
            </w:r>
          </w:p>
        </w:tc>
        <w:tc>
          <w:tcPr>
            <w:tcW w:type="dxa" w:w="2350"/>
            <w:vAlign w:val="center"/>
          </w:tcPr>
          <w:p>
            <w:pPr>
              <w:spacing w:before="40" w:after="40" w:line="252" w:lineRule="auto"/>
            </w:pPr>
            <w:r>
              <w:rPr>
                <w:rFonts w:ascii="IBM Plex Sans" w:hAnsi="IBM Plex Sans"/>
              </w:rPr>
              <w:t>PB5 (135)</w:t>
            </w:r>
          </w:p>
        </w:tc>
        <w:tc>
          <w:tcPr>
            <w:tcW w:type="dxa" w:w="1700"/>
            <w:vAlign w:val="center"/>
          </w:tcPr>
          <w:p>
            <w:pPr>
              <w:spacing w:before="40" w:after="40" w:line="252" w:lineRule="auto"/>
            </w:pPr>
            <w:r>
              <w:rPr>
                <w:rFonts w:ascii="IBM Plex Sans" w:hAnsi="IBM Plex Sans"/>
              </w:rPr>
              <w:t>CANH3</w:t>
            </w:r>
          </w:p>
        </w:tc>
        <w:tc>
          <w:tcPr>
            <w:tcW w:type="dxa" w:w="2404"/>
            <w:vAlign w:val="center"/>
          </w:tcPr>
          <w:p>
            <w:pPr>
              <w:spacing w:before="40" w:after="40" w:line="252" w:lineRule="auto"/>
            </w:pPr>
            <w:r>
              <w:rPr>
                <w:rFonts w:ascii="IBM Plex Sans" w:hAnsi="IBM Plex Sans"/>
              </w:rPr>
              <w:t>U4 CANH, R9</w:t>
            </w:r>
          </w:p>
        </w:tc>
      </w:tr>
      <w:tr>
        <w:trPr>
          <w:cantSplit/>
        </w:trPr>
        <w:tc>
          <w:tcPr>
            <w:tcW w:type="dxa" w:w="650"/>
            <w:vAlign w:val="center"/>
          </w:tcPr>
          <w:p>
            <w:pPr>
              <w:spacing w:before="40" w:after="40" w:line="252" w:lineRule="auto"/>
            </w:pPr>
            <w:r>
              <w:rPr>
                <w:rFonts w:ascii="IBM Plex Sans" w:hAnsi="IBM Plex Sans"/>
              </w:rPr>
              <w:t>8</w:t>
            </w:r>
          </w:p>
        </w:tc>
        <w:tc>
          <w:tcPr>
            <w:tcW w:type="dxa" w:w="2250"/>
            <w:vAlign w:val="center"/>
          </w:tcPr>
          <w:p>
            <w:pPr>
              <w:spacing w:before="40" w:after="40" w:line="252" w:lineRule="auto"/>
            </w:pPr>
            <w:r>
              <w:rPr>
                <w:rFonts w:ascii="IBM Plex Sans" w:hAnsi="IBM Plex Sans"/>
              </w:rPr>
              <w:t>GPIO3</w:t>
            </w:r>
          </w:p>
        </w:tc>
        <w:tc>
          <w:tcPr>
            <w:tcW w:type="dxa" w:w="2350"/>
            <w:vAlign w:val="center"/>
          </w:tcPr>
          <w:p>
            <w:pPr>
              <w:spacing w:before="40" w:after="40" w:line="252" w:lineRule="auto"/>
            </w:pPr>
            <w:r>
              <w:rPr>
                <w:rFonts w:ascii="IBM Plex Sans" w:hAnsi="IBM Plex Sans"/>
              </w:rPr>
              <w:t>PB6 (136)</w:t>
            </w:r>
          </w:p>
        </w:tc>
        <w:tc>
          <w:tcPr>
            <w:tcW w:type="dxa" w:w="1700"/>
            <w:vAlign w:val="center"/>
          </w:tcPr>
          <w:p>
            <w:pPr>
              <w:spacing w:before="40" w:after="40" w:line="252" w:lineRule="auto"/>
            </w:pPr>
            <w:r>
              <w:rPr>
                <w:rFonts w:ascii="IBM Plex Sans" w:hAnsi="IBM Plex Sans"/>
              </w:rPr>
              <w:t>CANL3</w:t>
            </w:r>
          </w:p>
        </w:tc>
        <w:tc>
          <w:tcPr>
            <w:tcW w:type="dxa" w:w="2404"/>
            <w:vAlign w:val="center"/>
          </w:tcPr>
          <w:p>
            <w:pPr>
              <w:spacing w:before="40" w:after="40" w:line="252" w:lineRule="auto"/>
            </w:pPr>
            <w:r>
              <w:rPr>
                <w:rFonts w:ascii="IBM Plex Sans" w:hAnsi="IBM Plex Sans"/>
              </w:rPr>
              <w:t>U4 CANL, R9</w:t>
            </w:r>
          </w:p>
        </w:tc>
      </w:tr>
      <w:tr>
        <w:trPr>
          <w:cantSplit/>
        </w:trPr>
        <w:tc>
          <w:tcPr>
            <w:tcW w:type="dxa" w:w="650"/>
            <w:vAlign w:val="center"/>
          </w:tcPr>
          <w:p>
            <w:pPr>
              <w:spacing w:before="40" w:after="40" w:line="252" w:lineRule="auto"/>
            </w:pPr>
            <w:r>
              <w:rPr>
                <w:rFonts w:ascii="IBM Plex Sans" w:hAnsi="IBM Plex Sans"/>
              </w:rPr>
              <w:t>9</w:t>
            </w:r>
          </w:p>
        </w:tc>
        <w:tc>
          <w:tcPr>
            <w:tcW w:type="dxa" w:w="2250"/>
            <w:vAlign w:val="center"/>
          </w:tcPr>
          <w:p>
            <w:pPr>
              <w:spacing w:before="40" w:after="40" w:line="252" w:lineRule="auto"/>
            </w:pPr>
            <w:r>
              <w:rPr>
                <w:rFonts w:ascii="IBM Plex Sans" w:hAnsi="IBM Plex Sans"/>
              </w:rPr>
              <w:t>GPIO4</w:t>
            </w:r>
          </w:p>
        </w:tc>
        <w:tc>
          <w:tcPr>
            <w:tcW w:type="dxa" w:w="2350"/>
            <w:vAlign w:val="center"/>
          </w:tcPr>
          <w:p>
            <w:pPr>
              <w:spacing w:before="40" w:after="40" w:line="252" w:lineRule="auto"/>
            </w:pPr>
            <w:r>
              <w:rPr>
                <w:rFonts w:ascii="IBM Plex Sans" w:hAnsi="IBM Plex Sans"/>
              </w:rPr>
              <w:t>PB7 (137)</w:t>
            </w:r>
          </w:p>
        </w:tc>
        <w:tc>
          <w:tcPr>
            <w:tcW w:type="dxa" w:w="1700"/>
            <w:vAlign w:val="center"/>
          </w:tcPr>
          <w:p>
            <w:pPr>
              <w:spacing w:before="40" w:after="40" w:line="252" w:lineRule="auto"/>
            </w:pPr>
            <w:r>
              <w:rPr>
                <w:rFonts w:ascii="IBM Plex Sans" w:hAnsi="IBM Plex Sans"/>
              </w:rPr>
              <w:t>NRF24_CS</w:t>
            </w:r>
          </w:p>
        </w:tc>
        <w:tc>
          <w:tcPr>
            <w:tcW w:type="dxa" w:w="2404"/>
            <w:vAlign w:val="center"/>
          </w:tcPr>
          <w:p>
            <w:pPr>
              <w:spacing w:before="40" w:after="40" w:line="252" w:lineRule="auto"/>
            </w:pPr>
            <w:r>
              <w:rPr>
                <w:rFonts w:ascii="IBM Plex Sans" w:hAnsi="IBM Plex Sans"/>
              </w:rPr>
              <w:t>PB0 (46)</w:t>
            </w:r>
          </w:p>
        </w:tc>
      </w:tr>
      <w:tr>
        <w:trPr>
          <w:cantSplit/>
        </w:trPr>
        <w:tc>
          <w:tcPr>
            <w:tcW w:type="dxa" w:w="650"/>
            <w:vAlign w:val="center"/>
          </w:tcPr>
          <w:p>
            <w:pPr>
              <w:spacing w:before="40" w:after="40" w:line="252" w:lineRule="auto"/>
            </w:pPr>
            <w:r>
              <w:rPr>
                <w:rFonts w:ascii="IBM Plex Sans" w:hAnsi="IBM Plex Sans"/>
              </w:rPr>
              <w:t>10</w:t>
            </w:r>
          </w:p>
        </w:tc>
        <w:tc>
          <w:tcPr>
            <w:tcW w:type="dxa" w:w="2250"/>
            <w:vAlign w:val="center"/>
          </w:tcPr>
          <w:p>
            <w:pPr>
              <w:spacing w:before="40" w:after="40" w:line="252" w:lineRule="auto"/>
            </w:pPr>
            <w:r>
              <w:rPr>
                <w:rFonts w:ascii="IBM Plex Sans" w:hAnsi="IBM Plex Sans"/>
              </w:rPr>
              <w:t>GPIO5</w:t>
            </w:r>
          </w:p>
        </w:tc>
        <w:tc>
          <w:tcPr>
            <w:tcW w:type="dxa" w:w="2350"/>
            <w:vAlign w:val="center"/>
          </w:tcPr>
          <w:p>
            <w:pPr>
              <w:spacing w:before="40" w:after="40" w:line="252" w:lineRule="auto"/>
            </w:pPr>
            <w:r>
              <w:rPr>
                <w:rFonts w:ascii="IBM Plex Sans" w:hAnsi="IBM Plex Sans"/>
              </w:rPr>
              <w:t>PB8 (139)</w:t>
            </w:r>
          </w:p>
        </w:tc>
        <w:tc>
          <w:tcPr>
            <w:tcW w:type="dxa" w:w="1700"/>
            <w:vAlign w:val="center"/>
          </w:tcPr>
          <w:p>
            <w:pPr>
              <w:spacing w:before="40" w:after="40" w:line="252" w:lineRule="auto"/>
            </w:pPr>
            <w:r>
              <w:rPr>
                <w:rFonts w:ascii="IBM Plex Sans" w:hAnsi="IBM Plex Sans"/>
              </w:rPr>
              <w:t>NRF24_CE</w:t>
            </w:r>
          </w:p>
        </w:tc>
        <w:tc>
          <w:tcPr>
            <w:tcW w:type="dxa" w:w="2404"/>
            <w:vAlign w:val="center"/>
          </w:tcPr>
          <w:p>
            <w:pPr>
              <w:spacing w:before="40" w:after="40" w:line="252" w:lineRule="auto"/>
            </w:pPr>
            <w:r>
              <w:rPr>
                <w:rFonts w:ascii="IBM Plex Sans" w:hAnsi="IBM Plex Sans"/>
              </w:rPr>
              <w:t>PC5 (45)</w:t>
            </w:r>
          </w:p>
        </w:tc>
      </w:tr>
      <w:tr>
        <w:trPr>
          <w:cantSplit/>
        </w:trPr>
        <w:tc>
          <w:tcPr>
            <w:tcW w:type="dxa" w:w="650"/>
            <w:vAlign w:val="center"/>
          </w:tcPr>
          <w:p>
            <w:pPr>
              <w:spacing w:before="40" w:after="40" w:line="252" w:lineRule="auto"/>
            </w:pPr>
            <w:r>
              <w:rPr>
                <w:rFonts w:ascii="IBM Plex Sans" w:hAnsi="IBM Plex Sans"/>
              </w:rPr>
              <w:t>11</w:t>
            </w:r>
          </w:p>
        </w:tc>
        <w:tc>
          <w:tcPr>
            <w:tcW w:type="dxa" w:w="2250"/>
            <w:vAlign w:val="center"/>
          </w:tcPr>
          <w:p>
            <w:pPr>
              <w:spacing w:before="40" w:after="40" w:line="252" w:lineRule="auto"/>
            </w:pPr>
            <w:r>
              <w:rPr>
                <w:rFonts w:ascii="IBM Plex Sans" w:hAnsi="IBM Plex Sans"/>
              </w:rPr>
              <w:t>GPIO6</w:t>
            </w:r>
          </w:p>
        </w:tc>
        <w:tc>
          <w:tcPr>
            <w:tcW w:type="dxa" w:w="2350"/>
            <w:vAlign w:val="center"/>
          </w:tcPr>
          <w:p>
            <w:pPr>
              <w:spacing w:before="40" w:after="40" w:line="252" w:lineRule="auto"/>
            </w:pPr>
            <w:r>
              <w:rPr>
                <w:rFonts w:ascii="IBM Plex Sans" w:hAnsi="IBM Plex Sans"/>
              </w:rPr>
              <w:t>PB9 (140)</w:t>
            </w:r>
          </w:p>
        </w:tc>
        <w:tc>
          <w:tcPr>
            <w:tcW w:type="dxa" w:w="1700"/>
            <w:vAlign w:val="center"/>
          </w:tcPr>
          <w:p>
            <w:pPr>
              <w:spacing w:before="40" w:after="40" w:line="252" w:lineRule="auto"/>
            </w:pPr>
            <w:r>
              <w:rPr>
                <w:rFonts w:ascii="IBM Plex Sans" w:hAnsi="IBM Plex Sans"/>
              </w:rPr>
              <w:t>NRF24_IRQ</w:t>
            </w:r>
          </w:p>
        </w:tc>
        <w:tc>
          <w:tcPr>
            <w:tcW w:type="dxa" w:w="2404"/>
            <w:vAlign w:val="center"/>
          </w:tcPr>
          <w:p>
            <w:pPr>
              <w:spacing w:before="40" w:after="40" w:line="252" w:lineRule="auto"/>
            </w:pPr>
            <w:r>
              <w:rPr>
                <w:rFonts w:ascii="IBM Plex Sans" w:hAnsi="IBM Plex Sans"/>
              </w:rPr>
              <w:t>PC4 (44)</w:t>
            </w:r>
          </w:p>
        </w:tc>
      </w:tr>
      <w:tr>
        <w:trPr>
          <w:cantSplit/>
        </w:trPr>
        <w:tc>
          <w:tcPr>
            <w:tcW w:type="dxa" w:w="650"/>
            <w:vAlign w:val="center"/>
          </w:tcPr>
          <w:p>
            <w:pPr>
              <w:spacing w:before="40" w:after="40" w:line="252" w:lineRule="auto"/>
            </w:pPr>
            <w:r>
              <w:rPr>
                <w:rFonts w:ascii="IBM Plex Sans" w:hAnsi="IBM Plex Sans"/>
              </w:rPr>
              <w:t>12</w:t>
            </w:r>
          </w:p>
        </w:tc>
        <w:tc>
          <w:tcPr>
            <w:tcW w:type="dxa" w:w="2250"/>
            <w:vAlign w:val="center"/>
          </w:tcPr>
          <w:p>
            <w:pPr>
              <w:spacing w:before="40" w:after="40" w:line="252" w:lineRule="auto"/>
            </w:pPr>
            <w:r>
              <w:rPr>
                <w:rFonts w:ascii="IBM Plex Sans" w:hAnsi="IBM Plex Sans"/>
              </w:rPr>
              <w:t>GPIO7</w:t>
            </w:r>
          </w:p>
        </w:tc>
        <w:tc>
          <w:tcPr>
            <w:tcW w:type="dxa" w:w="2350"/>
            <w:vAlign w:val="center"/>
          </w:tcPr>
          <w:p>
            <w:pPr>
              <w:spacing w:before="40" w:after="40" w:line="252" w:lineRule="auto"/>
            </w:pPr>
            <w:r>
              <w:rPr>
                <w:rFonts w:ascii="IBM Plex Sans" w:hAnsi="IBM Plex Sans"/>
              </w:rPr>
              <w:t>PF7 (19)</w:t>
            </w:r>
          </w:p>
        </w:tc>
        <w:tc>
          <w:tcPr>
            <w:tcW w:type="dxa" w:w="1700"/>
            <w:vAlign w:val="center"/>
          </w:tcPr>
          <w:p>
            <w:pPr>
              <w:spacing w:before="40" w:after="40" w:line="252" w:lineRule="auto"/>
            </w:pPr>
            <w:r>
              <w:rPr>
                <w:rFonts w:ascii="IBM Plex Sans" w:hAnsi="IBM Plex Sans"/>
              </w:rPr>
              <w:t>SPI1_MOSI</w:t>
            </w:r>
          </w:p>
        </w:tc>
        <w:tc>
          <w:tcPr>
            <w:tcW w:type="dxa" w:w="2404"/>
            <w:vAlign w:val="center"/>
          </w:tcPr>
          <w:p>
            <w:pPr>
              <w:spacing w:before="40" w:after="40" w:line="252" w:lineRule="auto"/>
            </w:pPr>
            <w:r>
              <w:rPr>
                <w:rFonts w:ascii="IBM Plex Sans" w:hAnsi="IBM Plex Sans"/>
              </w:rPr>
              <w:t>PA7 (43)</w:t>
            </w:r>
          </w:p>
        </w:tc>
      </w:tr>
      <w:tr>
        <w:trPr>
          <w:cantSplit/>
        </w:trPr>
        <w:tc>
          <w:tcPr>
            <w:tcW w:type="dxa" w:w="650"/>
            <w:vAlign w:val="center"/>
          </w:tcPr>
          <w:p>
            <w:pPr>
              <w:spacing w:before="40" w:after="40" w:line="252" w:lineRule="auto"/>
            </w:pPr>
            <w:r>
              <w:rPr>
                <w:rFonts w:ascii="IBM Plex Sans" w:hAnsi="IBM Plex Sans"/>
              </w:rPr>
              <w:t>13</w:t>
            </w:r>
          </w:p>
        </w:tc>
        <w:tc>
          <w:tcPr>
            <w:tcW w:type="dxa" w:w="2250"/>
            <w:vAlign w:val="center"/>
          </w:tcPr>
          <w:p>
            <w:pPr>
              <w:spacing w:before="40" w:after="40" w:line="252" w:lineRule="auto"/>
            </w:pPr>
            <w:r>
              <w:rPr>
                <w:rFonts w:ascii="IBM Plex Sans" w:hAnsi="IBM Plex Sans"/>
              </w:rPr>
              <w:t>GPIO8</w:t>
            </w:r>
          </w:p>
        </w:tc>
        <w:tc>
          <w:tcPr>
            <w:tcW w:type="dxa" w:w="2350"/>
            <w:vAlign w:val="center"/>
          </w:tcPr>
          <w:p>
            <w:pPr>
              <w:spacing w:before="40" w:after="40" w:line="252" w:lineRule="auto"/>
            </w:pPr>
            <w:r>
              <w:rPr>
                <w:rFonts w:ascii="IBM Plex Sans" w:hAnsi="IBM Plex Sans"/>
              </w:rPr>
              <w:t>PF8 (20)</w:t>
            </w:r>
          </w:p>
        </w:tc>
        <w:tc>
          <w:tcPr>
            <w:tcW w:type="dxa" w:w="1700"/>
            <w:vAlign w:val="center"/>
          </w:tcPr>
          <w:p>
            <w:pPr>
              <w:spacing w:before="40" w:after="40" w:line="252" w:lineRule="auto"/>
            </w:pPr>
            <w:r>
              <w:rPr>
                <w:rFonts w:ascii="IBM Plex Sans" w:hAnsi="IBM Plex Sans"/>
              </w:rPr>
              <w:t>SPI1_MISO</w:t>
            </w:r>
          </w:p>
        </w:tc>
        <w:tc>
          <w:tcPr>
            <w:tcW w:type="dxa" w:w="2404"/>
            <w:vAlign w:val="center"/>
          </w:tcPr>
          <w:p>
            <w:pPr>
              <w:spacing w:before="40" w:after="40" w:line="252" w:lineRule="auto"/>
            </w:pPr>
            <w:r>
              <w:rPr>
                <w:rFonts w:ascii="IBM Plex Sans" w:hAnsi="IBM Plex Sans"/>
              </w:rPr>
              <w:t>PA6 (42)</w:t>
            </w:r>
          </w:p>
        </w:tc>
      </w:tr>
      <w:tr>
        <w:trPr>
          <w:cantSplit/>
        </w:trPr>
        <w:tc>
          <w:tcPr>
            <w:tcW w:type="dxa" w:w="650"/>
            <w:vAlign w:val="center"/>
          </w:tcPr>
          <w:p>
            <w:pPr>
              <w:spacing w:before="40" w:after="40" w:line="252" w:lineRule="auto"/>
            </w:pPr>
            <w:r>
              <w:rPr>
                <w:rFonts w:ascii="IBM Plex Sans" w:hAnsi="IBM Plex Sans"/>
              </w:rPr>
              <w:t>14</w:t>
            </w:r>
          </w:p>
        </w:tc>
        <w:tc>
          <w:tcPr>
            <w:tcW w:type="dxa" w:w="2250"/>
            <w:vAlign w:val="center"/>
          </w:tcPr>
          <w:p>
            <w:pPr>
              <w:spacing w:before="40" w:after="40" w:line="252" w:lineRule="auto"/>
            </w:pPr>
            <w:r>
              <w:rPr>
                <w:rFonts w:ascii="IBM Plex Sans" w:hAnsi="IBM Plex Sans"/>
              </w:rPr>
              <w:t>GPIO9</w:t>
            </w:r>
          </w:p>
        </w:tc>
        <w:tc>
          <w:tcPr>
            <w:tcW w:type="dxa" w:w="2350"/>
            <w:vAlign w:val="center"/>
          </w:tcPr>
          <w:p>
            <w:pPr>
              <w:spacing w:before="40" w:after="40" w:line="252" w:lineRule="auto"/>
            </w:pPr>
            <w:r>
              <w:rPr>
                <w:rFonts w:ascii="IBM Plex Sans" w:hAnsi="IBM Plex Sans"/>
              </w:rPr>
              <w:t>PF9 (21)</w:t>
            </w:r>
          </w:p>
        </w:tc>
        <w:tc>
          <w:tcPr>
            <w:tcW w:type="dxa" w:w="1700"/>
            <w:vAlign w:val="center"/>
          </w:tcPr>
          <w:p>
            <w:pPr>
              <w:spacing w:before="40" w:after="40" w:line="252" w:lineRule="auto"/>
            </w:pPr>
            <w:r>
              <w:rPr>
                <w:rFonts w:ascii="IBM Plex Sans" w:hAnsi="IBM Plex Sans"/>
              </w:rPr>
              <w:t>SPI1_SCK</w:t>
            </w:r>
          </w:p>
        </w:tc>
        <w:tc>
          <w:tcPr>
            <w:tcW w:type="dxa" w:w="2404"/>
            <w:vAlign w:val="center"/>
          </w:tcPr>
          <w:p>
            <w:pPr>
              <w:spacing w:before="40" w:after="40" w:line="252" w:lineRule="auto"/>
            </w:pPr>
            <w:r>
              <w:rPr>
                <w:rFonts w:ascii="IBM Plex Sans" w:hAnsi="IBM Plex Sans"/>
              </w:rPr>
              <w:t>PA5 (41)</w:t>
            </w:r>
          </w:p>
        </w:tc>
      </w:tr>
      <w:tr>
        <w:trPr>
          <w:cantSplit/>
        </w:trPr>
        <w:tc>
          <w:tcPr>
            <w:tcW w:type="dxa" w:w="650"/>
            <w:vAlign w:val="center"/>
          </w:tcPr>
          <w:p>
            <w:pPr>
              <w:spacing w:before="40" w:after="40" w:line="252" w:lineRule="auto"/>
            </w:pPr>
            <w:r>
              <w:rPr>
                <w:rFonts w:ascii="IBM Plex Sans" w:hAnsi="IBM Plex Sans"/>
              </w:rPr>
              <w:t>15</w:t>
            </w:r>
          </w:p>
        </w:tc>
        <w:tc>
          <w:tcPr>
            <w:tcW w:type="dxa" w:w="2250"/>
            <w:vAlign w:val="center"/>
          </w:tcPr>
          <w:p>
            <w:pPr>
              <w:spacing w:before="40" w:after="40" w:line="252" w:lineRule="auto"/>
            </w:pPr>
            <w:r>
              <w:rPr>
                <w:rFonts w:ascii="IBM Plex Sans" w:hAnsi="IBM Plex Sans"/>
              </w:rPr>
              <w:t>GPIO10</w:t>
            </w:r>
          </w:p>
        </w:tc>
        <w:tc>
          <w:tcPr>
            <w:tcW w:type="dxa" w:w="2350"/>
            <w:vAlign w:val="center"/>
          </w:tcPr>
          <w:p>
            <w:pPr>
              <w:spacing w:before="40" w:after="40" w:line="252" w:lineRule="auto"/>
            </w:pPr>
            <w:r>
              <w:rPr>
                <w:rFonts w:ascii="IBM Plex Sans" w:hAnsi="IBM Plex Sans"/>
              </w:rPr>
              <w:t>PF10 (22)</w:t>
            </w:r>
          </w:p>
        </w:tc>
        <w:tc>
          <w:tcPr>
            <w:tcW w:type="dxa" w:w="1700"/>
            <w:vAlign w:val="center"/>
          </w:tcPr>
          <w:p>
            <w:pPr>
              <w:spacing w:before="40" w:after="40" w:line="252" w:lineRule="auto"/>
            </w:pPr>
            <w:r>
              <w:rPr>
                <w:rFonts w:ascii="IBM Plex Sans" w:hAnsi="IBM Plex Sans"/>
              </w:rPr>
              <w:t>VDD (3.3 V)</w:t>
            </w:r>
          </w:p>
        </w:tc>
        <w:tc>
          <w:tcPr>
            <w:tcW w:type="dxa" w:w="2404"/>
            <w:vAlign w:val="center"/>
          </w:tcPr>
          <w:p>
            <w:pPr>
              <w:spacing w:before="40" w:after="40" w:line="252" w:lineRule="auto"/>
            </w:pPr>
            <w:r>
              <w:rPr>
                <w:rFonts w:ascii="IBM Plex Sans" w:hAnsi="IBM Plex Sans"/>
              </w:rPr>
              <w:t>U1 output</w:t>
            </w:r>
          </w:p>
        </w:tc>
      </w:tr>
      <w:tr>
        <w:trPr>
          <w:cantSplit/>
        </w:trPr>
        <w:tc>
          <w:tcPr>
            <w:tcW w:type="dxa" w:w="650"/>
            <w:vAlign w:val="center"/>
          </w:tcPr>
          <w:p>
            <w:pPr>
              <w:spacing w:before="40" w:after="40" w:line="252" w:lineRule="auto"/>
            </w:pPr>
            <w:r>
              <w:rPr>
                <w:rFonts w:ascii="IBM Plex Sans" w:hAnsi="IBM Plex Sans"/>
              </w:rPr>
              <w:t>16</w:t>
            </w:r>
          </w:p>
        </w:tc>
        <w:tc>
          <w:tcPr>
            <w:tcW w:type="dxa" w:w="2250"/>
            <w:vAlign w:val="center"/>
          </w:tcPr>
          <w:p>
            <w:pPr>
              <w:spacing w:before="40" w:after="40" w:line="252" w:lineRule="auto"/>
            </w:pPr>
            <w:r>
              <w:rPr>
                <w:rFonts w:ascii="IBM Plex Sans" w:hAnsi="IBM Plex Sans"/>
              </w:rPr>
              <w:t>GPIO11</w:t>
            </w:r>
          </w:p>
        </w:tc>
        <w:tc>
          <w:tcPr>
            <w:tcW w:type="dxa" w:w="2350"/>
            <w:vAlign w:val="center"/>
          </w:tcPr>
          <w:p>
            <w:pPr>
              <w:spacing w:before="40" w:after="40" w:line="252" w:lineRule="auto"/>
            </w:pPr>
            <w:r>
              <w:rPr>
                <w:rFonts w:ascii="IBM Plex Sans" w:hAnsi="IBM Plex Sans"/>
              </w:rPr>
              <w:t>PC0 (26)</w:t>
            </w:r>
          </w:p>
        </w:tc>
        <w:tc>
          <w:tcPr>
            <w:tcW w:type="dxa" w:w="1700"/>
            <w:vAlign w:val="center"/>
          </w:tcPr>
          <w:p>
            <w:pPr>
              <w:spacing w:before="40" w:after="40" w:line="252" w:lineRule="auto"/>
            </w:pPr>
            <w:r>
              <w:rPr>
                <w:rFonts w:ascii="IBM Plex Sans" w:hAnsi="IBM Plex Sans"/>
              </w:rPr>
              <w:t>VDD (3.3 V)</w:t>
            </w:r>
          </w:p>
        </w:tc>
        <w:tc>
          <w:tcPr>
            <w:tcW w:type="dxa" w:w="2404"/>
            <w:vAlign w:val="center"/>
          </w:tcPr>
          <w:p>
            <w:pPr>
              <w:spacing w:before="40" w:after="40" w:line="252" w:lineRule="auto"/>
            </w:pPr>
            <w:r>
              <w:rPr>
                <w:rFonts w:ascii="IBM Plex Sans" w:hAnsi="IBM Plex Sans"/>
              </w:rPr>
              <w:t>U1 output</w:t>
            </w:r>
          </w:p>
        </w:tc>
      </w:tr>
      <w:tr>
        <w:trPr>
          <w:cantSplit/>
        </w:trPr>
        <w:tc>
          <w:tcPr>
            <w:tcW w:type="dxa" w:w="650"/>
            <w:vAlign w:val="center"/>
          </w:tcPr>
          <w:p>
            <w:pPr>
              <w:spacing w:before="40" w:after="40" w:line="252" w:lineRule="auto"/>
            </w:pPr>
            <w:r>
              <w:rPr>
                <w:rFonts w:ascii="IBM Plex Sans" w:hAnsi="IBM Plex Sans"/>
              </w:rPr>
              <w:t>17</w:t>
            </w:r>
          </w:p>
        </w:tc>
        <w:tc>
          <w:tcPr>
            <w:tcW w:type="dxa" w:w="2250"/>
            <w:vAlign w:val="center"/>
          </w:tcPr>
          <w:p>
            <w:pPr>
              <w:spacing w:before="40" w:after="40" w:line="252" w:lineRule="auto"/>
            </w:pPr>
            <w:r>
              <w:rPr>
                <w:rFonts w:ascii="IBM Plex Sans" w:hAnsi="IBM Plex Sans"/>
              </w:rPr>
              <w:t>GPIO12</w:t>
            </w:r>
          </w:p>
        </w:tc>
        <w:tc>
          <w:tcPr>
            <w:tcW w:type="dxa" w:w="2350"/>
            <w:vAlign w:val="center"/>
          </w:tcPr>
          <w:p>
            <w:pPr>
              <w:spacing w:before="40" w:after="40" w:line="252" w:lineRule="auto"/>
            </w:pPr>
            <w:r>
              <w:rPr>
                <w:rFonts w:ascii="IBM Plex Sans" w:hAnsi="IBM Plex Sans"/>
              </w:rPr>
              <w:t>PC1 (27)</w:t>
            </w:r>
          </w:p>
        </w:tc>
        <w:tc>
          <w:tcPr>
            <w:tcW w:type="dxa" w:w="1700"/>
            <w:vAlign w:val="center"/>
          </w:tcPr>
          <w:p>
            <w:pPr>
              <w:spacing w:before="40" w:after="40" w:line="252" w:lineRule="auto"/>
            </w:pPr>
            <w:r>
              <w:rPr>
                <w:rFonts w:ascii="IBM Plex Sans" w:hAnsi="IBM Plex Sans"/>
              </w:rPr>
              <w:t>+5V</w:t>
            </w:r>
          </w:p>
        </w:tc>
        <w:tc>
          <w:tcPr>
            <w:tcW w:type="dxa" w:w="2404"/>
            <w:vAlign w:val="center"/>
          </w:tcPr>
          <w:p>
            <w:pPr>
              <w:spacing w:before="40" w:after="40" w:line="252" w:lineRule="auto"/>
            </w:pPr>
            <w:r>
              <w:rPr>
                <w:rFonts w:ascii="IBM Plex Sans" w:hAnsi="IBM Plex Sans"/>
              </w:rPr>
              <w:t>U1 input</w:t>
            </w:r>
          </w:p>
        </w:tc>
      </w:tr>
      <w:tr>
        <w:trPr>
          <w:cantSplit/>
        </w:trPr>
        <w:tc>
          <w:tcPr>
            <w:tcW w:type="dxa" w:w="650"/>
            <w:vAlign w:val="center"/>
          </w:tcPr>
          <w:p>
            <w:pPr>
              <w:spacing w:before="40" w:after="40" w:line="252" w:lineRule="auto"/>
            </w:pPr>
            <w:r>
              <w:rPr>
                <w:rFonts w:ascii="IBM Plex Sans" w:hAnsi="IBM Plex Sans"/>
              </w:rPr>
              <w:t>18</w:t>
            </w:r>
          </w:p>
        </w:tc>
        <w:tc>
          <w:tcPr>
            <w:tcW w:type="dxa" w:w="2250"/>
            <w:vAlign w:val="center"/>
          </w:tcPr>
          <w:p>
            <w:pPr>
              <w:spacing w:before="40" w:after="40" w:line="252" w:lineRule="auto"/>
            </w:pPr>
            <w:r>
              <w:rPr>
                <w:rFonts w:ascii="IBM Plex Sans" w:hAnsi="IBM Plex Sans"/>
              </w:rPr>
              <w:t>GPIO13</w:t>
            </w:r>
          </w:p>
        </w:tc>
        <w:tc>
          <w:tcPr>
            <w:tcW w:type="dxa" w:w="2350"/>
            <w:vAlign w:val="center"/>
          </w:tcPr>
          <w:p>
            <w:pPr>
              <w:spacing w:before="40" w:after="40" w:line="252" w:lineRule="auto"/>
            </w:pPr>
            <w:r>
              <w:rPr>
                <w:rFonts w:ascii="IBM Plex Sans" w:hAnsi="IBM Plex Sans"/>
              </w:rPr>
              <w:t>PC2_C (28)</w:t>
            </w:r>
          </w:p>
        </w:tc>
        <w:tc>
          <w:tcPr>
            <w:tcW w:type="dxa" w:w="1700"/>
            <w:vAlign w:val="center"/>
          </w:tcPr>
          <w:p>
            <w:pPr>
              <w:spacing w:before="40" w:after="40" w:line="252" w:lineRule="auto"/>
            </w:pPr>
            <w:r>
              <w:rPr>
                <w:rFonts w:ascii="IBM Plex Sans" w:hAnsi="IBM Plex Sans"/>
              </w:rPr>
              <w:t>+5V</w:t>
            </w:r>
          </w:p>
        </w:tc>
        <w:tc>
          <w:tcPr>
            <w:tcW w:type="dxa" w:w="2404"/>
            <w:vAlign w:val="center"/>
          </w:tcPr>
          <w:p>
            <w:pPr>
              <w:spacing w:before="40" w:after="40" w:line="252" w:lineRule="auto"/>
            </w:pPr>
            <w:r>
              <w:rPr>
                <w:rFonts w:ascii="IBM Plex Sans" w:hAnsi="IBM Plex Sans"/>
              </w:rPr>
              <w:t>U1 input</w:t>
            </w:r>
          </w:p>
        </w:tc>
      </w:tr>
    </w:tbl>
    <w:p>
      <w:pPr>
        <w:keepNext/>
        <w:spacing w:before="120" w:after="80" w:line="276" w:lineRule="auto"/>
      </w:pPr>
      <w:r>
        <w:t>Table 3.2.2: CAN Channel Allocation</w:t>
      </w:r>
    </w:p>
    <w:tbl>
      <w:tblPr>
        <w:tblStyle w:val="ISCRacingTable"/>
        <w:tblW w:type="auto" w:w="0"/>
        <w:jc w:val="center"/>
        <w:tblLook w:firstColumn="1" w:firstRow="1" w:lastColumn="0" w:lastRow="0" w:noHBand="0" w:noVBand="1" w:val="04A0"/>
      </w:tblPr>
      <w:tblGrid>
        <w:gridCol w:w="1100"/>
        <w:gridCol w:w="1300"/>
        <w:gridCol w:w="1500"/>
        <w:gridCol w:w="1500"/>
        <w:gridCol w:w="2350"/>
        <w:gridCol w:w="1604"/>
      </w:tblGrid>
      <w:tr>
        <w:trPr>
          <w:cantSplit/>
          <w:tblHeader/>
        </w:trPr>
        <w:tc>
          <w:tcPr>
            <w:tcW w:type="dxa" w:w="1100"/>
            <w:vAlign w:val="center"/>
          </w:tcPr>
          <w:p>
            <w:pPr>
              <w:spacing w:before="40" w:after="40" w:line="252" w:lineRule="auto"/>
            </w:pPr>
            <w:r>
              <w:rPr>
                <w:rFonts w:ascii="Jost" w:hAnsi="Jost"/>
                <w:b/>
                <w:color w:val="FFFFFF"/>
              </w:rPr>
              <w:t>Channel</w:t>
            </w:r>
          </w:p>
        </w:tc>
        <w:tc>
          <w:tcPr>
            <w:tcW w:type="dxa" w:w="1300"/>
            <w:vAlign w:val="center"/>
          </w:tcPr>
          <w:p>
            <w:pPr>
              <w:spacing w:before="40" w:after="40" w:line="252" w:lineRule="auto"/>
            </w:pPr>
            <w:r>
              <w:rPr>
                <w:rFonts w:ascii="Jost" w:hAnsi="Jost"/>
                <w:b/>
                <w:color w:val="FFFFFF"/>
              </w:rPr>
              <w:t>Controller</w:t>
            </w:r>
          </w:p>
        </w:tc>
        <w:tc>
          <w:tcPr>
            <w:tcW w:type="dxa" w:w="1500"/>
            <w:vAlign w:val="center"/>
          </w:tcPr>
          <w:p>
            <w:pPr>
              <w:spacing w:before="40" w:after="40" w:line="252" w:lineRule="auto"/>
            </w:pPr>
            <w:r>
              <w:rPr>
                <w:rFonts w:ascii="Jost" w:hAnsi="Jost"/>
                <w:b/>
                <w:color w:val="FFFFFF"/>
              </w:rPr>
              <w:t>MCU TX / RX</w:t>
            </w:r>
          </w:p>
        </w:tc>
        <w:tc>
          <w:tcPr>
            <w:tcW w:type="dxa" w:w="1500"/>
            <w:vAlign w:val="center"/>
          </w:tcPr>
          <w:p>
            <w:pPr>
              <w:spacing w:before="40" w:after="40" w:line="252" w:lineRule="auto"/>
            </w:pPr>
            <w:r>
              <w:rPr>
                <w:rFonts w:ascii="Jost" w:hAnsi="Jost"/>
                <w:b/>
                <w:color w:val="FFFFFF"/>
              </w:rPr>
              <w:t>Transceiver</w:t>
            </w:r>
          </w:p>
        </w:tc>
        <w:tc>
          <w:tcPr>
            <w:tcW w:type="dxa" w:w="2350"/>
            <w:vAlign w:val="center"/>
          </w:tcPr>
          <w:p>
            <w:pPr>
              <w:spacing w:before="40" w:after="40" w:line="252" w:lineRule="auto"/>
            </w:pPr>
            <w:r>
              <w:rPr>
                <w:rFonts w:ascii="Jost" w:hAnsi="Jost"/>
                <w:b/>
                <w:color w:val="FFFFFF"/>
              </w:rPr>
              <w:t>Backplane Pins</w:t>
            </w:r>
          </w:p>
        </w:tc>
        <w:tc>
          <w:tcPr>
            <w:tcW w:type="dxa" w:w="1604"/>
            <w:vAlign w:val="center"/>
          </w:tcPr>
          <w:p>
            <w:pPr>
              <w:spacing w:before="40" w:after="40" w:line="252" w:lineRule="auto"/>
            </w:pPr>
            <w:r>
              <w:rPr>
                <w:rFonts w:ascii="Jost" w:hAnsi="Jost"/>
                <w:b/>
                <w:color w:val="FFFFFF"/>
              </w:rPr>
              <w:t>Termination</w:t>
            </w:r>
          </w:p>
        </w:tc>
      </w:tr>
      <w:tr>
        <w:trPr>
          <w:cantSplit/>
        </w:trPr>
        <w:tc>
          <w:tcPr>
            <w:tcW w:type="dxa" w:w="1100"/>
            <w:vAlign w:val="center"/>
          </w:tcPr>
          <w:p>
            <w:pPr>
              <w:spacing w:before="40" w:after="40" w:line="252" w:lineRule="auto"/>
            </w:pPr>
            <w:r>
              <w:rPr>
                <w:rFonts w:ascii="IBM Plex Sans" w:hAnsi="IBM Plex Sans"/>
              </w:rPr>
              <w:t>CAN1</w:t>
            </w:r>
          </w:p>
        </w:tc>
        <w:tc>
          <w:tcPr>
            <w:tcW w:type="dxa" w:w="1300"/>
            <w:vAlign w:val="center"/>
          </w:tcPr>
          <w:p>
            <w:pPr>
              <w:spacing w:before="40" w:after="40" w:line="252" w:lineRule="auto"/>
            </w:pPr>
            <w:r>
              <w:rPr>
                <w:rFonts w:ascii="IBM Plex Sans" w:hAnsi="IBM Plex Sans"/>
              </w:rPr>
              <w:t>FDCAN1</w:t>
            </w:r>
          </w:p>
        </w:tc>
        <w:tc>
          <w:tcPr>
            <w:tcW w:type="dxa" w:w="1500"/>
            <w:vAlign w:val="center"/>
          </w:tcPr>
          <w:p>
            <w:pPr>
              <w:spacing w:before="40" w:after="40" w:line="252" w:lineRule="auto"/>
            </w:pPr>
            <w:r>
              <w:rPr>
                <w:rFonts w:ascii="IBM Plex Sans" w:hAnsi="IBM Plex Sans"/>
              </w:rPr>
              <w:t>PD1 / PD0</w:t>
            </w:r>
          </w:p>
        </w:tc>
        <w:tc>
          <w:tcPr>
            <w:tcW w:type="dxa" w:w="1500"/>
            <w:vAlign w:val="center"/>
          </w:tcPr>
          <w:p>
            <w:pPr>
              <w:spacing w:before="40" w:after="40" w:line="252" w:lineRule="auto"/>
            </w:pPr>
            <w:r>
              <w:rPr>
                <w:rFonts w:ascii="IBM Plex Sans" w:hAnsi="IBM Plex Sans"/>
              </w:rPr>
              <w:t>U2 TCAN330</w:t>
            </w:r>
          </w:p>
        </w:tc>
        <w:tc>
          <w:tcPr>
            <w:tcW w:type="dxa" w:w="2350"/>
            <w:vAlign w:val="center"/>
          </w:tcPr>
          <w:p>
            <w:pPr>
              <w:spacing w:before="40" w:after="40" w:line="252" w:lineRule="auto"/>
            </w:pPr>
            <w:r>
              <w:rPr>
                <w:rFonts w:ascii="IBM Plex Sans" w:hAnsi="IBM Plex Sans"/>
              </w:rPr>
              <w:t>J4.4 CANH, J4.3 CANL</w:t>
            </w:r>
          </w:p>
        </w:tc>
        <w:tc>
          <w:tcPr>
            <w:tcW w:type="dxa" w:w="1604"/>
            <w:vAlign w:val="center"/>
          </w:tcPr>
          <w:p>
            <w:pPr>
              <w:spacing w:before="40" w:after="40" w:line="252" w:lineRule="auto"/>
            </w:pPr>
            <w:r>
              <w:rPr>
                <w:rFonts w:ascii="IBM Plex Sans" w:hAnsi="IBM Plex Sans"/>
              </w:rPr>
              <w:t>R1 120 Ω (fixed)</w:t>
            </w:r>
          </w:p>
        </w:tc>
      </w:tr>
      <w:tr>
        <w:trPr>
          <w:cantSplit/>
        </w:trPr>
        <w:tc>
          <w:tcPr>
            <w:tcW w:type="dxa" w:w="1100"/>
            <w:vAlign w:val="center"/>
          </w:tcPr>
          <w:p>
            <w:pPr>
              <w:spacing w:before="40" w:after="40" w:line="252" w:lineRule="auto"/>
            </w:pPr>
            <w:r>
              <w:rPr>
                <w:rFonts w:ascii="IBM Plex Sans" w:hAnsi="IBM Plex Sans"/>
              </w:rPr>
              <w:t>CAN2</w:t>
            </w:r>
          </w:p>
        </w:tc>
        <w:tc>
          <w:tcPr>
            <w:tcW w:type="dxa" w:w="1300"/>
            <w:vAlign w:val="center"/>
          </w:tcPr>
          <w:p>
            <w:pPr>
              <w:spacing w:before="40" w:after="40" w:line="252" w:lineRule="auto"/>
            </w:pPr>
            <w:r>
              <w:rPr>
                <w:rFonts w:ascii="IBM Plex Sans" w:hAnsi="IBM Plex Sans"/>
              </w:rPr>
              <w:t>FDCAN2</w:t>
            </w:r>
          </w:p>
        </w:tc>
        <w:tc>
          <w:tcPr>
            <w:tcW w:type="dxa" w:w="1500"/>
            <w:vAlign w:val="center"/>
          </w:tcPr>
          <w:p>
            <w:pPr>
              <w:spacing w:before="40" w:after="40" w:line="252" w:lineRule="auto"/>
            </w:pPr>
            <w:r>
              <w:rPr>
                <w:rFonts w:ascii="IBM Plex Sans" w:hAnsi="IBM Plex Sans"/>
              </w:rPr>
              <w:t>PB13 / PB12</w:t>
            </w:r>
          </w:p>
        </w:tc>
        <w:tc>
          <w:tcPr>
            <w:tcW w:type="dxa" w:w="1500"/>
            <w:vAlign w:val="center"/>
          </w:tcPr>
          <w:p>
            <w:pPr>
              <w:spacing w:before="40" w:after="40" w:line="252" w:lineRule="auto"/>
            </w:pPr>
            <w:r>
              <w:rPr>
                <w:rFonts w:ascii="IBM Plex Sans" w:hAnsi="IBM Plex Sans"/>
              </w:rPr>
              <w:t>U3 TCAN330</w:t>
            </w:r>
          </w:p>
        </w:tc>
        <w:tc>
          <w:tcPr>
            <w:tcW w:type="dxa" w:w="2350"/>
            <w:vAlign w:val="center"/>
          </w:tcPr>
          <w:p>
            <w:pPr>
              <w:spacing w:before="40" w:after="40" w:line="252" w:lineRule="auto"/>
            </w:pPr>
            <w:r>
              <w:rPr>
                <w:rFonts w:ascii="IBM Plex Sans" w:hAnsi="IBM Plex Sans"/>
              </w:rPr>
              <w:t>J4.5 CANH, J4.6 CANL</w:t>
            </w:r>
          </w:p>
        </w:tc>
        <w:tc>
          <w:tcPr>
            <w:tcW w:type="dxa" w:w="1604"/>
            <w:vAlign w:val="center"/>
          </w:tcPr>
          <w:p>
            <w:pPr>
              <w:spacing w:before="40" w:after="40" w:line="252" w:lineRule="auto"/>
            </w:pPr>
            <w:r>
              <w:rPr>
                <w:rFonts w:ascii="IBM Plex Sans" w:hAnsi="IBM Plex Sans"/>
              </w:rPr>
              <w:t>R5 120 Ω (fixed)</w:t>
            </w:r>
          </w:p>
        </w:tc>
      </w:tr>
      <w:tr>
        <w:trPr>
          <w:cantSplit/>
        </w:trPr>
        <w:tc>
          <w:tcPr>
            <w:tcW w:type="dxa" w:w="1100"/>
            <w:vAlign w:val="center"/>
          </w:tcPr>
          <w:p>
            <w:pPr>
              <w:spacing w:before="40" w:after="40" w:line="252" w:lineRule="auto"/>
            </w:pPr>
            <w:r>
              <w:rPr>
                <w:rFonts w:ascii="IBM Plex Sans" w:hAnsi="IBM Plex Sans"/>
              </w:rPr>
              <w:t>CAN3</w:t>
            </w:r>
          </w:p>
        </w:tc>
        <w:tc>
          <w:tcPr>
            <w:tcW w:type="dxa" w:w="1300"/>
            <w:vAlign w:val="center"/>
          </w:tcPr>
          <w:p>
            <w:pPr>
              <w:spacing w:before="40" w:after="40" w:line="252" w:lineRule="auto"/>
            </w:pPr>
            <w:r>
              <w:rPr>
                <w:rFonts w:ascii="IBM Plex Sans" w:hAnsi="IBM Plex Sans"/>
              </w:rPr>
              <w:t>FDCAN3</w:t>
            </w:r>
          </w:p>
        </w:tc>
        <w:tc>
          <w:tcPr>
            <w:tcW w:type="dxa" w:w="1500"/>
            <w:vAlign w:val="center"/>
          </w:tcPr>
          <w:p>
            <w:pPr>
              <w:spacing w:before="40" w:after="40" w:line="252" w:lineRule="auto"/>
            </w:pPr>
            <w:r>
              <w:rPr>
                <w:rFonts w:ascii="IBM Plex Sans" w:hAnsi="IBM Plex Sans"/>
              </w:rPr>
              <w:t>PG9 / PG10</w:t>
            </w:r>
          </w:p>
        </w:tc>
        <w:tc>
          <w:tcPr>
            <w:tcW w:type="dxa" w:w="1500"/>
            <w:vAlign w:val="center"/>
          </w:tcPr>
          <w:p>
            <w:pPr>
              <w:spacing w:before="40" w:after="40" w:line="252" w:lineRule="auto"/>
            </w:pPr>
            <w:r>
              <w:rPr>
                <w:rFonts w:ascii="IBM Plex Sans" w:hAnsi="IBM Plex Sans"/>
              </w:rPr>
              <w:t>U4 TCAN330</w:t>
            </w:r>
          </w:p>
        </w:tc>
        <w:tc>
          <w:tcPr>
            <w:tcW w:type="dxa" w:w="2350"/>
            <w:vAlign w:val="center"/>
          </w:tcPr>
          <w:p>
            <w:pPr>
              <w:spacing w:before="40" w:after="40" w:line="252" w:lineRule="auto"/>
            </w:pPr>
            <w:r>
              <w:rPr>
                <w:rFonts w:ascii="IBM Plex Sans" w:hAnsi="IBM Plex Sans"/>
              </w:rPr>
              <w:t>J4.7 CANH, J4.8 CANL</w:t>
            </w:r>
          </w:p>
        </w:tc>
        <w:tc>
          <w:tcPr>
            <w:tcW w:type="dxa" w:w="1604"/>
            <w:vAlign w:val="center"/>
          </w:tcPr>
          <w:p>
            <w:pPr>
              <w:spacing w:before="40" w:after="40" w:line="252" w:lineRule="auto"/>
            </w:pPr>
            <w:r>
              <w:rPr>
                <w:rFonts w:ascii="IBM Plex Sans" w:hAnsi="IBM Plex Sans"/>
              </w:rPr>
              <w:t>R9 120 Ω (fixed)</w:t>
            </w:r>
          </w:p>
        </w:tc>
      </w:tr>
    </w:tbl>
    <w:p>
      <w:pPr>
        <w:keepNext/>
        <w:spacing w:before="120" w:after="80" w:line="276" w:lineRule="auto"/>
      </w:pPr>
      <w:r>
        <w:t>Table 3.2.3: On-Board Peripheral Pin Allocation</w:t>
      </w:r>
    </w:p>
    <w:tbl>
      <w:tblPr>
        <w:tblStyle w:val="ISCRacingTable"/>
        <w:tblW w:type="auto" w:w="0"/>
        <w:jc w:val="center"/>
        <w:tblLook w:firstColumn="1" w:firstRow="1" w:lastColumn="0" w:lastRow="0" w:noHBand="0" w:noVBand="1" w:val="04A0"/>
      </w:tblPr>
      <w:tblGrid>
        <w:gridCol w:w="1500"/>
        <w:gridCol w:w="1800"/>
        <w:gridCol w:w="3054"/>
        <w:gridCol w:w="3000"/>
      </w:tblGrid>
      <w:tr>
        <w:trPr>
          <w:cantSplit/>
          <w:tblHeader/>
        </w:trPr>
        <w:tc>
          <w:tcPr>
            <w:tcW w:type="dxa" w:w="1500"/>
            <w:vAlign w:val="center"/>
          </w:tcPr>
          <w:p>
            <w:pPr>
              <w:spacing w:before="40" w:after="40" w:line="252" w:lineRule="auto"/>
            </w:pPr>
            <w:r>
              <w:rPr>
                <w:rFonts w:ascii="Jost" w:hAnsi="Jost"/>
                <w:b/>
                <w:color w:val="FFFFFF"/>
              </w:rPr>
              <w:t>Function</w:t>
            </w:r>
          </w:p>
        </w:tc>
        <w:tc>
          <w:tcPr>
            <w:tcW w:type="dxa" w:w="1800"/>
            <w:vAlign w:val="center"/>
          </w:tcPr>
          <w:p>
            <w:pPr>
              <w:spacing w:before="40" w:after="40" w:line="252" w:lineRule="auto"/>
            </w:pPr>
            <w:r>
              <w:rPr>
                <w:rFonts w:ascii="Jost" w:hAnsi="Jost"/>
                <w:b/>
                <w:color w:val="FFFFFF"/>
              </w:rPr>
              <w:t>Peripheral</w:t>
            </w:r>
          </w:p>
        </w:tc>
        <w:tc>
          <w:tcPr>
            <w:tcW w:type="dxa" w:w="3054"/>
            <w:vAlign w:val="center"/>
          </w:tcPr>
          <w:p>
            <w:pPr>
              <w:spacing w:before="40" w:after="40" w:line="252" w:lineRule="auto"/>
            </w:pPr>
            <w:r>
              <w:rPr>
                <w:rFonts w:ascii="Jost" w:hAnsi="Jost"/>
                <w:b/>
                <w:color w:val="FFFFFF"/>
              </w:rPr>
              <w:t>MCU Pins</w:t>
            </w:r>
          </w:p>
        </w:tc>
        <w:tc>
          <w:tcPr>
            <w:tcW w:type="dxa" w:w="3000"/>
            <w:vAlign w:val="center"/>
          </w:tcPr>
          <w:p>
            <w:pPr>
              <w:spacing w:before="40" w:after="40" w:line="252" w:lineRule="auto"/>
            </w:pPr>
            <w:r>
              <w:rPr>
                <w:rFonts w:ascii="Jost" w:hAnsi="Jost"/>
                <w:b/>
                <w:color w:val="FFFFFF"/>
              </w:rPr>
              <w:t>Connected Parts</w:t>
            </w:r>
          </w:p>
        </w:tc>
      </w:tr>
      <w:tr>
        <w:trPr>
          <w:cantSplit/>
        </w:trPr>
        <w:tc>
          <w:tcPr>
            <w:tcW w:type="dxa" w:w="1500"/>
            <w:vAlign w:val="center"/>
          </w:tcPr>
          <w:p>
            <w:pPr>
              <w:spacing w:before="40" w:after="40" w:line="252" w:lineRule="auto"/>
            </w:pPr>
            <w:r>
              <w:rPr>
                <w:rFonts w:ascii="IBM Plex Sans" w:hAnsi="IBM Plex Sans"/>
              </w:rPr>
              <w:t>IMU</w:t>
            </w:r>
          </w:p>
        </w:tc>
        <w:tc>
          <w:tcPr>
            <w:tcW w:type="dxa" w:w="1800"/>
            <w:vAlign w:val="center"/>
          </w:tcPr>
          <w:p>
            <w:pPr>
              <w:spacing w:before="40" w:after="40" w:line="252" w:lineRule="auto"/>
            </w:pPr>
            <w:r>
              <w:rPr>
                <w:rFonts w:ascii="IBM Plex Sans" w:hAnsi="IBM Plex Sans"/>
              </w:rPr>
              <w:t>I2C2</w:t>
            </w:r>
          </w:p>
        </w:tc>
        <w:tc>
          <w:tcPr>
            <w:tcW w:type="dxa" w:w="3054"/>
            <w:vAlign w:val="center"/>
          </w:tcPr>
          <w:p>
            <w:pPr>
              <w:spacing w:before="40" w:after="40" w:line="252" w:lineRule="auto"/>
            </w:pPr>
            <w:r>
              <w:rPr>
                <w:rFonts w:ascii="IBM Plex Sans" w:hAnsi="IBM Plex Sans"/>
              </w:rPr>
              <w:t>PF0 SDA, PF1 SCL</w:t>
            </w:r>
          </w:p>
        </w:tc>
        <w:tc>
          <w:tcPr>
            <w:tcW w:type="dxa" w:w="3000"/>
            <w:vAlign w:val="center"/>
          </w:tcPr>
          <w:p>
            <w:pPr>
              <w:spacing w:before="40" w:after="40" w:line="252" w:lineRule="auto"/>
            </w:pPr>
            <w:r>
              <w:rPr>
                <w:rFonts w:ascii="IBM Plex Sans" w:hAnsi="IBM Plex Sans"/>
              </w:rPr>
              <w:t>IC1 BMI088 (0x18 / 0x68), no external pull-ups</w:t>
            </w:r>
          </w:p>
        </w:tc>
      </w:tr>
      <w:tr>
        <w:trPr>
          <w:cantSplit/>
        </w:trPr>
        <w:tc>
          <w:tcPr>
            <w:tcW w:type="dxa" w:w="1500"/>
            <w:vAlign w:val="center"/>
          </w:tcPr>
          <w:p>
            <w:pPr>
              <w:spacing w:before="40" w:after="40" w:line="252" w:lineRule="auto"/>
            </w:pPr>
            <w:r>
              <w:rPr>
                <w:rFonts w:ascii="IBM Plex Sans" w:hAnsi="IBM Plex Sans"/>
              </w:rPr>
              <w:t>microSD</w:t>
            </w:r>
          </w:p>
        </w:tc>
        <w:tc>
          <w:tcPr>
            <w:tcW w:type="dxa" w:w="1800"/>
            <w:vAlign w:val="center"/>
          </w:tcPr>
          <w:p>
            <w:pPr>
              <w:spacing w:before="40" w:after="40" w:line="252" w:lineRule="auto"/>
            </w:pPr>
            <w:r>
              <w:rPr>
                <w:rFonts w:ascii="IBM Plex Sans" w:hAnsi="IBM Plex Sans"/>
              </w:rPr>
              <w:t>SDMMC1</w:t>
            </w:r>
          </w:p>
        </w:tc>
        <w:tc>
          <w:tcPr>
            <w:tcW w:type="dxa" w:w="3054"/>
            <w:vAlign w:val="center"/>
          </w:tcPr>
          <w:p>
            <w:pPr>
              <w:spacing w:before="40" w:after="40" w:line="252" w:lineRule="auto"/>
            </w:pPr>
            <w:r>
              <w:rPr>
                <w:rFonts w:ascii="IBM Plex Sans" w:hAnsi="IBM Plex Sans"/>
              </w:rPr>
              <w:t>PC8–PC11 D0–D3, PC12 CK, PD2 CMD</w:t>
            </w:r>
          </w:p>
        </w:tc>
        <w:tc>
          <w:tcPr>
            <w:tcW w:type="dxa" w:w="3000"/>
            <w:vAlign w:val="center"/>
          </w:tcPr>
          <w:p>
            <w:pPr>
              <w:spacing w:before="40" w:after="40" w:line="252" w:lineRule="auto"/>
            </w:pPr>
            <w:r>
              <w:rPr>
                <w:rFonts w:ascii="IBM Plex Sans" w:hAnsi="IBM Plex Sans"/>
              </w:rPr>
              <w:t>J1, R26/R29–R33 33 Ω, R16–R20 47 kΩ</w:t>
            </w:r>
          </w:p>
        </w:tc>
      </w:tr>
      <w:tr>
        <w:trPr>
          <w:cantSplit/>
        </w:trPr>
        <w:tc>
          <w:tcPr>
            <w:tcW w:type="dxa" w:w="1500"/>
            <w:vAlign w:val="center"/>
          </w:tcPr>
          <w:p>
            <w:pPr>
              <w:spacing w:before="40" w:after="40" w:line="252" w:lineRule="auto"/>
            </w:pPr>
            <w:r>
              <w:rPr>
                <w:rFonts w:ascii="IBM Plex Sans" w:hAnsi="IBM Plex Sans"/>
              </w:rPr>
              <w:t>Card detect</w:t>
            </w:r>
          </w:p>
        </w:tc>
        <w:tc>
          <w:tcPr>
            <w:tcW w:type="dxa" w:w="1800"/>
            <w:vAlign w:val="center"/>
          </w:tcPr>
          <w:p>
            <w:pPr>
              <w:spacing w:before="40" w:after="40" w:line="252" w:lineRule="auto"/>
            </w:pPr>
            <w:r>
              <w:rPr>
                <w:rFonts w:ascii="IBM Plex Sans" w:hAnsi="IBM Plex Sans"/>
              </w:rPr>
              <w:t>GPIO</w:t>
            </w:r>
          </w:p>
        </w:tc>
        <w:tc>
          <w:tcPr>
            <w:tcW w:type="dxa" w:w="3054"/>
            <w:vAlign w:val="center"/>
          </w:tcPr>
          <w:p>
            <w:pPr>
              <w:spacing w:before="40" w:after="40" w:line="252" w:lineRule="auto"/>
            </w:pPr>
            <w:r>
              <w:rPr>
                <w:rFonts w:ascii="IBM Plex Sans" w:hAnsi="IBM Plex Sans"/>
              </w:rPr>
              <w:t>PE3</w:t>
            </w:r>
          </w:p>
        </w:tc>
        <w:tc>
          <w:tcPr>
            <w:tcW w:type="dxa" w:w="3000"/>
            <w:vAlign w:val="center"/>
          </w:tcPr>
          <w:p>
            <w:pPr>
              <w:spacing w:before="40" w:after="40" w:line="252" w:lineRule="auto"/>
            </w:pPr>
            <w:r>
              <w:rPr>
                <w:rFonts w:ascii="IBM Plex Sans" w:hAnsi="IBM Plex Sans"/>
              </w:rPr>
              <w:t>J1 DET, R21 47 kΩ pull-up</w:t>
            </w:r>
          </w:p>
        </w:tc>
      </w:tr>
      <w:tr>
        <w:trPr>
          <w:cantSplit/>
        </w:trPr>
        <w:tc>
          <w:tcPr>
            <w:tcW w:type="dxa" w:w="1500"/>
            <w:vAlign w:val="center"/>
          </w:tcPr>
          <w:p>
            <w:pPr>
              <w:spacing w:before="40" w:after="40" w:line="252" w:lineRule="auto"/>
            </w:pPr>
            <w:r>
              <w:rPr>
                <w:rFonts w:ascii="IBM Plex Sans" w:hAnsi="IBM Plex Sans"/>
              </w:rPr>
              <w:t>USB</w:t>
            </w:r>
          </w:p>
        </w:tc>
        <w:tc>
          <w:tcPr>
            <w:tcW w:type="dxa" w:w="1800"/>
            <w:vAlign w:val="center"/>
          </w:tcPr>
          <w:p>
            <w:pPr>
              <w:spacing w:before="40" w:after="40" w:line="252" w:lineRule="auto"/>
            </w:pPr>
            <w:r>
              <w:rPr>
                <w:rFonts w:ascii="IBM Plex Sans" w:hAnsi="IBM Plex Sans"/>
              </w:rPr>
              <w:t>USB_OTG_HS (FS)</w:t>
            </w:r>
          </w:p>
        </w:tc>
        <w:tc>
          <w:tcPr>
            <w:tcW w:type="dxa" w:w="3054"/>
            <w:vAlign w:val="center"/>
          </w:tcPr>
          <w:p>
            <w:pPr>
              <w:spacing w:before="40" w:after="40" w:line="252" w:lineRule="auto"/>
            </w:pPr>
            <w:r>
              <w:rPr>
                <w:rFonts w:ascii="IBM Plex Sans" w:hAnsi="IBM Plex Sans"/>
              </w:rPr>
              <w:t>PA12 D+, PA11 D-, PA9 VBUS</w:t>
            </w:r>
          </w:p>
        </w:tc>
        <w:tc>
          <w:tcPr>
            <w:tcW w:type="dxa" w:w="3000"/>
            <w:vAlign w:val="center"/>
          </w:tcPr>
          <w:p>
            <w:pPr>
              <w:spacing w:before="40" w:after="40" w:line="252" w:lineRule="auto"/>
            </w:pPr>
            <w:r>
              <w:rPr>
                <w:rFonts w:ascii="IBM Plex Sans" w:hAnsi="IBM Plex Sans"/>
              </w:rPr>
              <w:t>J5, D3/D4 ESD, R13/R14 divider</w:t>
            </w:r>
          </w:p>
        </w:tc>
      </w:tr>
      <w:tr>
        <w:trPr>
          <w:cantSplit/>
        </w:trPr>
        <w:tc>
          <w:tcPr>
            <w:tcW w:type="dxa" w:w="1500"/>
            <w:vAlign w:val="center"/>
          </w:tcPr>
          <w:p>
            <w:pPr>
              <w:spacing w:before="40" w:after="40" w:line="252" w:lineRule="auto"/>
            </w:pPr>
            <w:r>
              <w:rPr>
                <w:rFonts w:ascii="IBM Plex Sans" w:hAnsi="IBM Plex Sans"/>
              </w:rPr>
              <w:t>Debug</w:t>
            </w:r>
          </w:p>
        </w:tc>
        <w:tc>
          <w:tcPr>
            <w:tcW w:type="dxa" w:w="1800"/>
            <w:vAlign w:val="center"/>
          </w:tcPr>
          <w:p>
            <w:pPr>
              <w:spacing w:before="40" w:after="40" w:line="252" w:lineRule="auto"/>
            </w:pPr>
            <w:r>
              <w:rPr>
                <w:rFonts w:ascii="IBM Plex Sans" w:hAnsi="IBM Plex Sans"/>
              </w:rPr>
              <w:t>SWD</w:t>
            </w:r>
          </w:p>
        </w:tc>
        <w:tc>
          <w:tcPr>
            <w:tcW w:type="dxa" w:w="3054"/>
            <w:vAlign w:val="center"/>
          </w:tcPr>
          <w:p>
            <w:pPr>
              <w:spacing w:before="40" w:after="40" w:line="252" w:lineRule="auto"/>
            </w:pPr>
            <w:r>
              <w:rPr>
                <w:rFonts w:ascii="IBM Plex Sans" w:hAnsi="IBM Plex Sans"/>
              </w:rPr>
              <w:t>PA13 SWDIO, PA14 SWCLK</w:t>
            </w:r>
          </w:p>
        </w:tc>
        <w:tc>
          <w:tcPr>
            <w:tcW w:type="dxa" w:w="3000"/>
            <w:vAlign w:val="center"/>
          </w:tcPr>
          <w:p>
            <w:pPr>
              <w:spacing w:before="40" w:after="40" w:line="252" w:lineRule="auto"/>
            </w:pPr>
            <w:r>
              <w:rPr>
                <w:rFonts w:ascii="IBM Plex Sans" w:hAnsi="IBM Plex Sans"/>
              </w:rPr>
              <w:t>J2, R6/R8 33 Ω</w:t>
            </w:r>
          </w:p>
        </w:tc>
      </w:tr>
      <w:tr>
        <w:trPr>
          <w:cantSplit/>
        </w:trPr>
        <w:tc>
          <w:tcPr>
            <w:tcW w:type="dxa" w:w="1500"/>
            <w:vAlign w:val="center"/>
          </w:tcPr>
          <w:p>
            <w:pPr>
              <w:spacing w:before="40" w:after="40" w:line="252" w:lineRule="auto"/>
            </w:pPr>
            <w:r>
              <w:rPr>
                <w:rFonts w:ascii="IBM Plex Sans" w:hAnsi="IBM Plex Sans"/>
              </w:rPr>
              <w:t>Clock</w:t>
            </w:r>
          </w:p>
        </w:tc>
        <w:tc>
          <w:tcPr>
            <w:tcW w:type="dxa" w:w="1800"/>
            <w:vAlign w:val="center"/>
          </w:tcPr>
          <w:p>
            <w:pPr>
              <w:spacing w:before="40" w:after="40" w:line="252" w:lineRule="auto"/>
            </w:pPr>
            <w:r>
              <w:rPr>
                <w:rFonts w:ascii="IBM Plex Sans" w:hAnsi="IBM Plex Sans"/>
              </w:rPr>
              <w:t>HSE</w:t>
            </w:r>
          </w:p>
        </w:tc>
        <w:tc>
          <w:tcPr>
            <w:tcW w:type="dxa" w:w="3054"/>
            <w:vAlign w:val="center"/>
          </w:tcPr>
          <w:p>
            <w:pPr>
              <w:spacing w:before="40" w:after="40" w:line="252" w:lineRule="auto"/>
            </w:pPr>
            <w:r>
              <w:rPr>
                <w:rFonts w:ascii="IBM Plex Sans" w:hAnsi="IBM Plex Sans"/>
              </w:rPr>
              <w:t>PH0 OSC_IN, PH1 OSC_OUT</w:t>
            </w:r>
          </w:p>
        </w:tc>
        <w:tc>
          <w:tcPr>
            <w:tcW w:type="dxa" w:w="3000"/>
            <w:vAlign w:val="center"/>
          </w:tcPr>
          <w:p>
            <w:pPr>
              <w:spacing w:before="40" w:after="40" w:line="252" w:lineRule="auto"/>
            </w:pPr>
            <w:r>
              <w:rPr>
                <w:rFonts w:ascii="IBM Plex Sans" w:hAnsi="IBM Plex Sans"/>
              </w:rPr>
              <w:t>Y1 24 MHz, C5/C6 10 pF</w:t>
            </w:r>
          </w:p>
        </w:tc>
      </w:tr>
      <w:tr>
        <w:trPr>
          <w:cantSplit/>
        </w:trPr>
        <w:tc>
          <w:tcPr>
            <w:tcW w:type="dxa" w:w="1500"/>
            <w:vAlign w:val="center"/>
          </w:tcPr>
          <w:p>
            <w:pPr>
              <w:spacing w:before="40" w:after="40" w:line="252" w:lineRule="auto"/>
            </w:pPr>
            <w:r>
              <w:rPr>
                <w:rFonts w:ascii="IBM Plex Sans" w:hAnsi="IBM Plex Sans"/>
              </w:rPr>
              <w:t>Status</w:t>
            </w:r>
          </w:p>
        </w:tc>
        <w:tc>
          <w:tcPr>
            <w:tcW w:type="dxa" w:w="1800"/>
            <w:vAlign w:val="center"/>
          </w:tcPr>
          <w:p>
            <w:pPr>
              <w:spacing w:before="40" w:after="40" w:line="252" w:lineRule="auto"/>
            </w:pPr>
            <w:r>
              <w:rPr>
                <w:rFonts w:ascii="IBM Plex Sans" w:hAnsi="IBM Plex Sans"/>
              </w:rPr>
              <w:t>GPIO</w:t>
            </w:r>
          </w:p>
        </w:tc>
        <w:tc>
          <w:tcPr>
            <w:tcW w:type="dxa" w:w="3054"/>
            <w:vAlign w:val="center"/>
          </w:tcPr>
          <w:p>
            <w:pPr>
              <w:spacing w:before="40" w:after="40" w:line="252" w:lineRule="auto"/>
            </w:pPr>
            <w:r>
              <w:rPr>
                <w:rFonts w:ascii="IBM Plex Sans" w:hAnsi="IBM Plex Sans"/>
              </w:rPr>
              <w:t>PD14 OK, PD15 ERR</w:t>
            </w:r>
          </w:p>
        </w:tc>
        <w:tc>
          <w:tcPr>
            <w:tcW w:type="dxa" w:w="3000"/>
            <w:vAlign w:val="center"/>
          </w:tcPr>
          <w:p>
            <w:pPr>
              <w:spacing w:before="40" w:after="40" w:line="252" w:lineRule="auto"/>
            </w:pPr>
            <w:r>
              <w:rPr>
                <w:rFonts w:ascii="IBM Plex Sans" w:hAnsi="IBM Plex Sans"/>
              </w:rPr>
              <w:t>D1/D2 LEDs, R11/R12 1 kΩ</w:t>
            </w:r>
          </w:p>
        </w:tc>
      </w:tr>
      <w:tr>
        <w:trPr>
          <w:cantSplit/>
        </w:trPr>
        <w:tc>
          <w:tcPr>
            <w:tcW w:type="dxa" w:w="1500"/>
            <w:vAlign w:val="center"/>
          </w:tcPr>
          <w:p>
            <w:pPr>
              <w:spacing w:before="40" w:after="40" w:line="252" w:lineRule="auto"/>
            </w:pPr>
            <w:r>
              <w:rPr>
                <w:rFonts w:ascii="IBM Plex Sans" w:hAnsi="IBM Plex Sans"/>
              </w:rPr>
              <w:t>Boot / reset</w:t>
            </w:r>
          </w:p>
        </w:tc>
        <w:tc>
          <w:tcPr>
            <w:tcW w:type="dxa" w:w="1800"/>
            <w:vAlign w:val="center"/>
          </w:tcPr>
          <w:p>
            <w:pPr>
              <w:spacing w:before="40" w:after="40" w:line="252" w:lineRule="auto"/>
            </w:pPr>
            <w:r>
              <w:rPr>
                <w:rFonts w:ascii="IBM Plex Sans" w:hAnsi="IBM Plex Sans"/>
              </w:rPr>
              <w:t>BOOT0, NRST</w:t>
            </w:r>
          </w:p>
        </w:tc>
        <w:tc>
          <w:tcPr>
            <w:tcW w:type="dxa" w:w="3054"/>
            <w:vAlign w:val="center"/>
          </w:tcPr>
          <w:p>
            <w:pPr>
              <w:spacing w:before="40" w:after="40" w:line="252" w:lineRule="auto"/>
            </w:pPr>
            <w:r>
              <w:rPr>
                <w:rFonts w:ascii="IBM Plex Sans" w:hAnsi="IBM Plex Sans"/>
              </w:rPr>
              <w:t>Pins 138, 25</w:t>
            </w:r>
          </w:p>
        </w:tc>
        <w:tc>
          <w:tcPr>
            <w:tcW w:type="dxa" w:w="3000"/>
            <w:vAlign w:val="center"/>
          </w:tcPr>
          <w:p>
            <w:pPr>
              <w:spacing w:before="40" w:after="40" w:line="252" w:lineRule="auto"/>
            </w:pPr>
            <w:r>
              <w:rPr>
                <w:rFonts w:ascii="IBM Plex Sans" w:hAnsi="IBM Plex Sans"/>
              </w:rPr>
              <w:t>SW1 + R4 10 kΩ, SW2</w:t>
            </w:r>
          </w:p>
        </w:tc>
      </w:tr>
    </w:tbl>
    <w:p>
      <w:pPr>
        <w:keepNext/>
        <w:spacing w:before="120" w:after="80" w:line="276" w:lineRule="auto"/>
      </w:pPr>
      <w:r>
        <w:t>Table 3.2.4: Module Roles</w:t>
      </w:r>
    </w:p>
    <w:tbl>
      <w:tblPr>
        <w:tblStyle w:val="ISCRacingTable"/>
        <w:tblW w:type="auto" w:w="0"/>
        <w:jc w:val="center"/>
        <w:tblLook w:firstColumn="1" w:firstRow="1" w:lastColumn="0" w:lastRow="0" w:noHBand="0" w:noVBand="1" w:val="04A0"/>
      </w:tblPr>
      <w:tblGrid>
        <w:gridCol w:w="1500"/>
        <w:gridCol w:w="3654"/>
        <w:gridCol w:w="2200"/>
        <w:gridCol w:w="2000"/>
      </w:tblGrid>
      <w:tr>
        <w:trPr>
          <w:cantSplit/>
          <w:tblHeader/>
        </w:trPr>
        <w:tc>
          <w:tcPr>
            <w:tcW w:type="dxa" w:w="1500"/>
            <w:vAlign w:val="center"/>
          </w:tcPr>
          <w:p>
            <w:pPr>
              <w:spacing w:before="40" w:after="40" w:line="252" w:lineRule="auto"/>
            </w:pPr>
            <w:r>
              <w:rPr>
                <w:rFonts w:ascii="Jost" w:hAnsi="Jost"/>
                <w:b/>
                <w:color w:val="FFFFFF"/>
              </w:rPr>
              <w:t>Role</w:t>
            </w:r>
          </w:p>
        </w:tc>
        <w:tc>
          <w:tcPr>
            <w:tcW w:type="dxa" w:w="3654"/>
            <w:vAlign w:val="center"/>
          </w:tcPr>
          <w:p>
            <w:pPr>
              <w:spacing w:before="40" w:after="40" w:line="252" w:lineRule="auto"/>
            </w:pPr>
            <w:r>
              <w:rPr>
                <w:rFonts w:ascii="Jost" w:hAnsi="Jost"/>
                <w:b/>
                <w:color w:val="FFFFFF"/>
              </w:rPr>
              <w:t>Subsystem</w:t>
            </w:r>
          </w:p>
        </w:tc>
        <w:tc>
          <w:tcPr>
            <w:tcW w:type="dxa" w:w="2200"/>
            <w:vAlign w:val="center"/>
          </w:tcPr>
          <w:p>
            <w:pPr>
              <w:spacing w:before="40" w:after="40" w:line="252" w:lineRule="auto"/>
            </w:pPr>
            <w:r>
              <w:rPr>
                <w:rFonts w:ascii="Jost" w:hAnsi="Jost"/>
                <w:b/>
                <w:color w:val="FFFFFF"/>
              </w:rPr>
              <w:t>CAN Bootloader Node Id</w:t>
            </w:r>
          </w:p>
        </w:tc>
        <w:tc>
          <w:tcPr>
            <w:tcW w:type="dxa" w:w="2000"/>
            <w:vAlign w:val="center"/>
          </w:tcPr>
          <w:p>
            <w:pPr>
              <w:spacing w:before="40" w:after="40" w:line="252" w:lineRule="auto"/>
            </w:pPr>
            <w:r>
              <w:rPr>
                <w:rFonts w:ascii="Jost" w:hAnsi="Jost"/>
                <w:b/>
                <w:color w:val="FFFFFF"/>
              </w:rPr>
              <w:t>Flash Bus</w:t>
            </w:r>
          </w:p>
        </w:tc>
      </w:tr>
      <w:tr>
        <w:trPr>
          <w:cantSplit/>
        </w:trPr>
        <w:tc>
          <w:tcPr>
            <w:tcW w:type="dxa" w:w="1500"/>
            <w:vAlign w:val="center"/>
          </w:tcPr>
          <w:p>
            <w:pPr>
              <w:spacing w:before="40" w:after="40" w:line="252" w:lineRule="auto"/>
            </w:pPr>
            <w:r>
              <w:rPr>
                <w:rFonts w:ascii="IBM Plex Sans" w:hAnsi="IBM Plex Sans"/>
              </w:rPr>
              <w:t>ECU</w:t>
            </w:r>
          </w:p>
        </w:tc>
        <w:tc>
          <w:tcPr>
            <w:tcW w:type="dxa" w:w="3654"/>
            <w:vAlign w:val="center"/>
          </w:tcPr>
          <w:p>
            <w:pPr>
              <w:spacing w:before="40" w:after="40" w:line="252" w:lineRule="auto"/>
            </w:pPr>
            <w:r>
              <w:rPr>
                <w:rFonts w:ascii="IBM Plex Sans" w:hAnsi="IBM Plex Sans"/>
              </w:rPr>
              <w:t>Vehicle control unit</w:t>
            </w:r>
          </w:p>
        </w:tc>
        <w:tc>
          <w:tcPr>
            <w:tcW w:type="dxa" w:w="2200"/>
            <w:vAlign w:val="center"/>
          </w:tcPr>
          <w:p>
            <w:pPr>
              <w:spacing w:before="40" w:after="40" w:line="252" w:lineRule="auto"/>
            </w:pPr>
            <w:r>
              <w:rPr>
                <w:rFonts w:ascii="IBM Plex Sans" w:hAnsi="IBM Plex Sans"/>
              </w:rPr>
              <w:t>0x1</w:t>
            </w:r>
          </w:p>
        </w:tc>
        <w:tc>
          <w:tcPr>
            <w:tcW w:type="dxa" w:w="2000"/>
            <w:vAlign w:val="center"/>
          </w:tcPr>
          <w:p>
            <w:pPr>
              <w:spacing w:before="40" w:after="40" w:line="252" w:lineRule="auto"/>
            </w:pPr>
            <w:r>
              <w:rPr>
                <w:rFonts w:ascii="IBM Plex Sans" w:hAnsi="IBM Plex Sans"/>
              </w:rPr>
              <w:t>FDCAN2</w:t>
            </w:r>
          </w:p>
        </w:tc>
      </w:tr>
      <w:tr>
        <w:trPr>
          <w:cantSplit/>
        </w:trPr>
        <w:tc>
          <w:tcPr>
            <w:tcW w:type="dxa" w:w="1500"/>
            <w:vAlign w:val="center"/>
          </w:tcPr>
          <w:p>
            <w:pPr>
              <w:spacing w:before="40" w:after="40" w:line="252" w:lineRule="auto"/>
            </w:pPr>
            <w:r>
              <w:rPr>
                <w:rFonts w:ascii="IBM Plex Sans" w:hAnsi="IBM Plex Sans"/>
              </w:rPr>
              <w:t>AMS</w:t>
            </w:r>
          </w:p>
        </w:tc>
        <w:tc>
          <w:tcPr>
            <w:tcW w:type="dxa" w:w="3654"/>
            <w:vAlign w:val="center"/>
          </w:tcPr>
          <w:p>
            <w:pPr>
              <w:spacing w:before="40" w:after="40" w:line="252" w:lineRule="auto"/>
            </w:pPr>
            <w:r>
              <w:rPr>
                <w:rFonts w:ascii="IBM Plex Sans" w:hAnsi="IBM Plex Sans"/>
              </w:rPr>
              <w:t>Accumulator management system</w:t>
            </w:r>
          </w:p>
        </w:tc>
        <w:tc>
          <w:tcPr>
            <w:tcW w:type="dxa" w:w="2200"/>
            <w:vAlign w:val="center"/>
          </w:tcPr>
          <w:p>
            <w:pPr>
              <w:spacing w:before="40" w:after="40" w:line="252" w:lineRule="auto"/>
            </w:pPr>
            <w:r>
              <w:rPr>
                <w:rFonts w:ascii="IBM Plex Sans" w:hAnsi="IBM Plex Sans"/>
              </w:rPr>
              <w:t>0x2</w:t>
            </w:r>
          </w:p>
        </w:tc>
        <w:tc>
          <w:tcPr>
            <w:tcW w:type="dxa" w:w="2000"/>
            <w:vAlign w:val="center"/>
          </w:tcPr>
          <w:p>
            <w:pPr>
              <w:spacing w:before="40" w:after="40" w:line="252" w:lineRule="auto"/>
            </w:pPr>
            <w:r>
              <w:rPr>
                <w:rFonts w:ascii="IBM Plex Sans" w:hAnsi="IBM Plex Sans"/>
              </w:rPr>
              <w:t>FDCAN1</w:t>
            </w:r>
          </w:p>
        </w:tc>
      </w:tr>
      <w:tr>
        <w:trPr>
          <w:cantSplit/>
        </w:trPr>
        <w:tc>
          <w:tcPr>
            <w:tcW w:type="dxa" w:w="1500"/>
            <w:vAlign w:val="center"/>
          </w:tcPr>
          <w:p>
            <w:pPr>
              <w:spacing w:before="40" w:after="40" w:line="252" w:lineRule="auto"/>
            </w:pPr>
            <w:r>
              <w:rPr>
                <w:rFonts w:ascii="IBM Plex Sans" w:hAnsi="IBM Plex Sans"/>
              </w:rPr>
              <w:t>uDV</w:t>
            </w:r>
          </w:p>
        </w:tc>
        <w:tc>
          <w:tcPr>
            <w:tcW w:type="dxa" w:w="3654"/>
            <w:vAlign w:val="center"/>
          </w:tcPr>
          <w:p>
            <w:pPr>
              <w:spacing w:before="40" w:after="40" w:line="252" w:lineRule="auto"/>
            </w:pPr>
            <w:r>
              <w:rPr>
                <w:rFonts w:ascii="IBM Plex Sans" w:hAnsi="IBM Plex Sans"/>
              </w:rPr>
              <w:t>Driverless interface</w:t>
            </w:r>
          </w:p>
        </w:tc>
        <w:tc>
          <w:tcPr>
            <w:tcW w:type="dxa" w:w="2200"/>
            <w:vAlign w:val="center"/>
          </w:tcPr>
          <w:p>
            <w:pPr>
              <w:spacing w:before="40" w:after="40" w:line="252" w:lineRule="auto"/>
            </w:pPr>
            <w:r>
              <w:rPr>
                <w:rFonts w:ascii="IBM Plex Sans" w:hAnsi="IBM Plex Sans"/>
              </w:rPr>
              <w:t>0x3</w:t>
            </w:r>
          </w:p>
        </w:tc>
        <w:tc>
          <w:tcPr>
            <w:tcW w:type="dxa" w:w="2000"/>
            <w:vAlign w:val="center"/>
          </w:tcPr>
          <w:p>
            <w:pPr>
              <w:spacing w:before="40" w:after="40" w:line="252" w:lineRule="auto"/>
            </w:pPr>
            <w:r>
              <w:rPr>
                <w:rFonts w:ascii="IBM Plex Sans" w:hAnsi="IBM Plex Sans"/>
              </w:rPr>
              <w:t>FDCAN2</w:t>
            </w:r>
          </w:p>
        </w:tc>
      </w:tr>
    </w:tbl>
    <w:p>
      <w:pPr>
        <w:pStyle w:val="Heading3"/>
        <w:keepNext/>
        <w:spacing w:before="160" w:after="60"/>
      </w:pPr>
      <w:r>
        <w:t>Machine-Readable Pin Model Directive</w:t>
      </w:r>
    </w:p>
    <w:p>
      <w:pPr>
        <w:pStyle w:val="ISCCallout"/>
        <w:keepLines/>
        <w:spacing w:before="120" w:after="120"/>
      </w:pPr>
      <w:r>
        <w:rPr>
          <w:b/>
          <w:color w:val="064229"/>
        </w:rPr>
        <w:t>THE SCHEMATIC IS THE SINGLE SOURCE OF TRUTH FOR PIN ASSIGNMENTS</w:t>
        <w:br/>
      </w:r>
      <w:r>
        <w:t xml:space="preserve">The pin model (model/mainlite.pins.yaml and its JSON twin) is generated from the schematic by tools/gen_pins.py and must never be edited by hand.</w:t>
        <w:br/>
        <w:br/>
        <w:t xml:space="preserve">Engineering Implementation Rule:</w:t>
        <w:br/>
        <w:t xml:space="preserve">1. Any pull request that changes the schematic must regenerate and commit the pin model; CI rejects pull requests whose committed model is stale.</w:t>
        <w:br/>
        <w:t xml:space="preserve">2. Every change that reaches main is published as a pin-model-vX.Y release. Firmware, backplane designs and the virtual HIL must pin a released version and check that every pin they use exists and is routed to J3/J4.</w:t>
        <w:br/>
        <w:t xml:space="preserve">3. The schematic must pass KiCad ERC with zero errors; CI enforces this on every pull request.</w:t>
      </w:r>
    </w:p>
    <w:p>
      <w:pPr>
        <w:spacing w:before="0" w:after="80" w:line="276" w:lineRule="auto"/>
      </w:pPr>
      <w:r>
        <w:rPr>
          <w:b/>
          <w:color w:val="064229"/>
        </w:rPr>
        <w:t xml:space="preserve">Pin Model Summary: </w:t>
      </w:r>
      <w:r>
        <w:t>144 package pins, of which 114 are I/O: 22 routed to the backplane (J3/J4), 24 used on the module only, and 68 not connected. The remaining pins are 16 power, 10 ground, 2 system (NRST, BOOT0) and 2 supply pins left open (VBAT, PDR_ON).</w:t>
      </w:r>
    </w:p>
    <w:p>
      <w:pPr>
        <w:pStyle w:val="Heading2"/>
        <w:keepNext/>
        <w:spacing w:before="200" w:after="60"/>
      </w:pPr>
      <w:r>
        <w:t>3.3 Testability &amp; Mechanical Requirements</w:t>
      </w:r>
    </w:p>
    <w:p>
      <w:pPr>
        <w:pStyle w:val="ListParagraph"/>
        <w:spacing w:before="20" w:after="40" w:line="276" w:lineRule="auto"/>
        <w:ind w:left="360"/>
      </w:pPr>
      <w:r>
        <w:rPr>
          <w:b/>
          <w:color w:val="C88A00"/>
        </w:rPr>
        <w:t xml:space="preserve">▪  </w:t>
      </w:r>
      <w:r>
        <w:rPr>
          <w:b/>
          <w:color w:val="064229"/>
        </w:rPr>
        <w:t>PCB Stackup:</w:t>
      </w:r>
      <w:r>
        <w:t xml:space="preserve"> 2-layer FR4, 1.2 mm finished thickness, 1 oz (35 µm) copper on both layers, black solder mask, yellow silkscreen.</w:t>
      </w:r>
    </w:p>
    <w:p>
      <w:pPr>
        <w:pStyle w:val="ListParagraph"/>
        <w:spacing w:before="20" w:after="40" w:line="276" w:lineRule="auto"/>
        <w:ind w:left="360"/>
      </w:pPr>
      <w:r>
        <w:rPr>
          <w:b/>
          <w:color w:val="C88A00"/>
        </w:rPr>
        <w:t xml:space="preserve">▪  </w:t>
      </w:r>
      <w:r>
        <w:rPr>
          <w:b/>
          <w:color w:val="064229"/>
        </w:rPr>
        <w:t>Mechanical Mounting:</w:t>
      </w:r>
      <w:r>
        <w:t xml:space="preserve"> 40 x 60 mm outline with four (4) M3 mounting holes (3.2 mm, DIN 965 pad). J3 and J4 are 1x18 2.54 mm pin headers; the matching module symbol and footprint for backplane designs are provided in Libraries/MAIN_LITE.</w:t>
      </w:r>
    </w:p>
    <w:p>
      <w:pPr>
        <w:pStyle w:val="ListParagraph"/>
        <w:spacing w:before="20" w:after="40" w:line="276" w:lineRule="auto"/>
        <w:ind w:left="360"/>
      </w:pPr>
      <w:r>
        <w:rPr>
          <w:b/>
          <w:color w:val="C88A00"/>
        </w:rPr>
        <w:t xml:space="preserve">▪  </w:t>
      </w:r>
      <w:r>
        <w:rPr>
          <w:b/>
          <w:color w:val="064229"/>
        </w:rPr>
        <w:t>Accessibility:</w:t>
      </w:r>
      <w:r>
        <w:t xml:space="preserve"> SWD header, USB-C, microSD socket, BOOT0/reset buttons and status LEDs must remain accessible with the module mounted on its backplane.</w:t>
      </w:r>
    </w:p>
    <w:p>
      <w:pPr>
        <w:pStyle w:val="ListParagraph"/>
        <w:spacing w:before="20" w:after="40" w:line="276" w:lineRule="auto"/>
        <w:ind w:left="360"/>
      </w:pPr>
      <w:r>
        <w:rPr>
          <w:b/>
          <w:color w:val="C88A00"/>
        </w:rPr>
        <w:t xml:space="preserve">▪  </w:t>
      </w:r>
      <w:r>
        <w:rPr>
          <w:b/>
          <w:color w:val="064229"/>
        </w:rPr>
        <w:t>Design Rule Compliance:</w:t>
      </w:r>
      <w:r>
        <w:t xml:space="preserve"> KiCad ERC with zero errors (enforced by CI) and zero DRC errors before any fabrication release.</w:t>
      </w:r>
    </w:p>
    <w:p>
      <w:pPr>
        <w:pStyle w:val="ListParagraph"/>
        <w:spacing w:before="20" w:after="40" w:line="276" w:lineRule="auto"/>
        <w:ind w:left="360"/>
      </w:pPr>
      <w:r>
        <w:rPr>
          <w:b/>
          <w:color w:val="C88A00"/>
        </w:rPr>
        <w:t xml:space="preserve">▪  </w:t>
      </w:r>
      <w:r>
        <w:rPr>
          <w:b/>
          <w:color w:val="064229"/>
        </w:rPr>
        <w:t>Open Items for the Next Revision:</w:t>
      </w:r>
      <w:r>
        <w:t xml:space="preserve"> Tie VBAT to VDD with 100 nF (no backup battery is used); tie PDR_ON to VDD; add a 100 nF NRST filter capacitor; route NRST and SWO to the SWD header; drive or strap the TCAN330 SHDN and S pins; make the CANH/CANL pin order on J4 consistent (CAN1 is L/H, CAN2 and CAN3 are H/L).</w:t>
      </w:r>
    </w:p>
    <w:p>
      <w:pPr>
        <w:pStyle w:val="Heading1"/>
        <w:keepNext/>
        <w:spacing w:before="320" w:after="80"/>
      </w:pPr>
      <w:r>
        <w:t>4. Verification &amp; Testing Protocol</w:t>
      </w:r>
    </w:p>
    <w:p>
      <w:pPr>
        <w:spacing w:before="0" w:after="80" w:line="276" w:lineRule="auto"/>
      </w:pPr>
      <w:r>
        <w:t>Every manufactured MainLite must complete the following qualification phases before it is installed on a backplane.</w:t>
      </w:r>
    </w:p>
    <w:p>
      <w:pPr>
        <w:pStyle w:val="Heading2"/>
        <w:keepNext/>
        <w:spacing w:before="200" w:after="60"/>
      </w:pPr>
      <w:r>
        <w:t>4.1 Power Supply Verification (+5V, VDD 3.3 V)</w:t>
      </w:r>
    </w:p>
    <w:p>
      <w:pPr>
        <w:pStyle w:val="ListParagraph"/>
        <w:spacing w:before="20" w:after="40" w:line="276" w:lineRule="auto"/>
        <w:ind w:left="360"/>
      </w:pPr>
      <w:r>
        <w:rPr>
          <w:b/>
          <w:color w:val="C88A00"/>
        </w:rPr>
        <w:t xml:space="preserve">▪  </w:t>
      </w:r>
      <w:r>
        <w:rPr>
          <w:b/>
          <w:color w:val="064229"/>
        </w:rPr>
        <w:t>Procedure:</w:t>
      </w:r>
      <w:r>
        <w:t xml:space="preserve"> Before applying power, measure resistance from +5V and from VDD to GND (&gt; 1 kΩ, no shorts). Apply 5.00 V current-limited to 200 mA on J4.17/J4.18, then repeat powering from USB-C only.</w:t>
      </w:r>
    </w:p>
    <w:p>
      <w:pPr>
        <w:pStyle w:val="ListParagraph"/>
        <w:spacing w:before="20" w:after="40" w:line="276" w:lineRule="auto"/>
        <w:ind w:left="360"/>
      </w:pPr>
      <w:r>
        <w:rPr>
          <w:b/>
          <w:color w:val="C88A00"/>
        </w:rPr>
        <w:t xml:space="preserve">▪  </w:t>
      </w:r>
      <w:r>
        <w:rPr>
          <w:b/>
          <w:color w:val="064229"/>
        </w:rPr>
        <w:t>Acceptance Criteria:</w:t>
      </w:r>
      <w:r>
        <w:t xml:space="preserve"> VDD measures 3.30 V ± 0.10 V on J4.15/J4.16 from both sources; idle current with blank MCU &lt; 100 mA; power LED on; no component above 50 °C after 5 minutes.</w:t>
      </w:r>
    </w:p>
    <w:p>
      <w:pPr>
        <w:pStyle w:val="Heading2"/>
        <w:keepNext/>
        <w:spacing w:before="200" w:after="60"/>
      </w:pPr>
      <w:r>
        <w:t>4.2 Microcontroller, Clock &amp; Bootloader Bring-Up</w:t>
      </w:r>
    </w:p>
    <w:p>
      <w:pPr>
        <w:pStyle w:val="ListParagraph"/>
        <w:spacing w:before="20" w:after="40" w:line="276" w:lineRule="auto"/>
        <w:ind w:left="360"/>
      </w:pPr>
      <w:r>
        <w:rPr>
          <w:b/>
          <w:color w:val="C88A00"/>
        </w:rPr>
        <w:t xml:space="preserve">▪  </w:t>
      </w:r>
      <w:r>
        <w:rPr>
          <w:b/>
          <w:color w:val="064229"/>
        </w:rPr>
        <w:t>Procedure:</w:t>
      </w:r>
      <w:r>
        <w:t xml:space="preserve"> Connect an ST-LINK to J2 and read the device ID; flash a clock test that runs the PLL from the 24 MHz HSE; hold BOOT0 and reset to enter the ROM bootloader over USB; provision the CAN bootloader and node id for the target role.</w:t>
      </w:r>
    </w:p>
    <w:p>
      <w:pPr>
        <w:pStyle w:val="ListParagraph"/>
        <w:spacing w:before="20" w:after="40" w:line="276" w:lineRule="auto"/>
        <w:ind w:left="360"/>
      </w:pPr>
      <w:r>
        <w:rPr>
          <w:b/>
          <w:color w:val="C88A00"/>
        </w:rPr>
        <w:t xml:space="preserve">▪  </w:t>
      </w:r>
      <w:r>
        <w:rPr>
          <w:b/>
          <w:color w:val="064229"/>
        </w:rPr>
        <w:t>Acceptance Criteria:</w:t>
      </w:r>
      <w:r>
        <w:t xml:space="preserve"> DBGMCU device ID 0x483 (STM32H72x/73x); HSE starts and the PLL locks; ROM bootloader enumerates over USB; CAN bootloader answers on its node id and a test application can be flashed and started over CAN.</w:t>
      </w:r>
    </w:p>
    <w:p>
      <w:pPr>
        <w:pStyle w:val="Heading2"/>
        <w:keepNext/>
        <w:spacing w:before="200" w:after="60"/>
      </w:pPr>
      <w:r>
        <w:t>4.3 CAN Interfaces</w:t>
      </w:r>
    </w:p>
    <w:p>
      <w:pPr>
        <w:pStyle w:val="ListParagraph"/>
        <w:spacing w:before="20" w:after="40" w:line="276" w:lineRule="auto"/>
        <w:ind w:left="360"/>
      </w:pPr>
      <w:r>
        <w:rPr>
          <w:b/>
          <w:color w:val="C88A00"/>
        </w:rPr>
        <w:t xml:space="preserve">▪  </w:t>
      </w:r>
      <w:r>
        <w:rPr>
          <w:b/>
          <w:color w:val="064229"/>
        </w:rPr>
        <w:t>Procedure:</w:t>
      </w:r>
      <w:r>
        <w:t xml:space="preserve"> Unpowered, measure CANH–CANL on each channel. Powered, connect each channel in turn to a CAN analyzer (PCAN-USB) at 500 kbps and exchange frames in both directions.</w:t>
      </w:r>
    </w:p>
    <w:p>
      <w:pPr>
        <w:pStyle w:val="ListParagraph"/>
        <w:spacing w:before="20" w:after="40" w:line="276" w:lineRule="auto"/>
        <w:ind w:left="360"/>
      </w:pPr>
      <w:r>
        <w:rPr>
          <w:b/>
          <w:color w:val="C88A00"/>
        </w:rPr>
        <w:t xml:space="preserve">▪  </w:t>
      </w:r>
      <w:r>
        <w:rPr>
          <w:b/>
          <w:color w:val="064229"/>
        </w:rPr>
        <w:t>Acceptance Criteria:</w:t>
      </w:r>
      <w:r>
        <w:t xml:space="preserve"> 120 Ω ± 2 Ω per channel unpowered; on each of FDCAN1/2/3, 1000 frames sent and received with zero error frames, and the channel appears on the expected J4 pins.</w:t>
      </w:r>
    </w:p>
    <w:p>
      <w:pPr>
        <w:pStyle w:val="Heading2"/>
        <w:keepNext/>
        <w:spacing w:before="200" w:after="60"/>
      </w:pPr>
      <w:r>
        <w:t>4.4 On-Board Peripherals</w:t>
      </w:r>
    </w:p>
    <w:p>
      <w:pPr>
        <w:pStyle w:val="ListParagraph"/>
        <w:spacing w:before="20" w:after="40" w:line="276" w:lineRule="auto"/>
        <w:ind w:left="360"/>
      </w:pPr>
      <w:r>
        <w:rPr>
          <w:b/>
          <w:color w:val="C88A00"/>
        </w:rPr>
        <w:t xml:space="preserve">▪  </w:t>
      </w:r>
      <w:r>
        <w:rPr>
          <w:b/>
          <w:color w:val="064229"/>
        </w:rPr>
        <w:t>Procedure:</w:t>
      </w:r>
      <w:r>
        <w:t xml:space="preserve"> Read the BMI088 chip IDs over I2C2; mount, write and read back a file on a microSD card and toggle card detect; enumerate the USB device; toggle both status LEDs.</w:t>
      </w:r>
    </w:p>
    <w:p>
      <w:pPr>
        <w:pStyle w:val="ListParagraph"/>
        <w:spacing w:before="20" w:after="40" w:line="276" w:lineRule="auto"/>
        <w:ind w:left="360"/>
      </w:pPr>
      <w:r>
        <w:rPr>
          <w:b/>
          <w:color w:val="C88A00"/>
        </w:rPr>
        <w:t xml:space="preserve">▪  </w:t>
      </w:r>
      <w:r>
        <w:rPr>
          <w:b/>
          <w:color w:val="064229"/>
        </w:rPr>
        <w:t>Acceptance Criteria:</w:t>
      </w:r>
      <w:r>
        <w:t xml:space="preserve"> Accelerometer ID 0x1E at 0x18 and gyroscope ID 0x0F at 0x68; file read back byte-identical, card detect follows insertion; USB enumerates on the host; both LEDs light.</w:t>
      </w:r>
    </w:p>
    <w:p>
      <w:pPr>
        <w:pStyle w:val="Heading2"/>
        <w:keepNext/>
        <w:spacing w:before="200" w:after="60"/>
      </w:pPr>
      <w:r>
        <w:t>4.5 Backplane I/O Continuity</w:t>
      </w:r>
    </w:p>
    <w:p>
      <w:pPr>
        <w:pStyle w:val="ListParagraph"/>
        <w:spacing w:before="20" w:after="40" w:line="276" w:lineRule="auto"/>
        <w:ind w:left="360"/>
      </w:pPr>
      <w:r>
        <w:rPr>
          <w:b/>
          <w:color w:val="C88A00"/>
        </w:rPr>
        <w:t xml:space="preserve">▪  </w:t>
      </w:r>
      <w:r>
        <w:rPr>
          <w:b/>
          <w:color w:val="064229"/>
        </w:rPr>
        <w:t>Procedure:</w:t>
      </w:r>
      <w:r>
        <w:t xml:space="preserve"> On a backplane or the HIL bench, drive and read back every J3/J4 MCU pin listed in the released pin model.</w:t>
      </w:r>
    </w:p>
    <w:p>
      <w:pPr>
        <w:pStyle w:val="ListParagraph"/>
        <w:spacing w:before="20" w:after="40" w:line="276" w:lineRule="auto"/>
        <w:ind w:left="360"/>
      </w:pPr>
      <w:r>
        <w:rPr>
          <w:b/>
          <w:color w:val="C88A00"/>
        </w:rPr>
        <w:t xml:space="preserve">▪  </w:t>
      </w:r>
      <w:r>
        <w:rPr>
          <w:b/>
          <w:color w:val="064229"/>
        </w:rPr>
        <w:t>Acceptance Criteria:</w:t>
      </w:r>
      <w:r>
        <w:t xml:space="preserve"> 22/22 backplane I/O pins toggle at the expected J3/J4 pin with no shorts to neighbouring pins.</w:t>
      </w:r>
    </w:p>
    <w:p>
      <w:pPr>
        <w:pStyle w:val="Heading1"/>
        <w:keepNext/>
        <w:spacing w:before="320" w:after="80"/>
      </w:pPr>
      <w:r>
        <w:t>5. Quality Assurance Test Execution Sign-Off Sheet</w:t>
      </w:r>
    </w:p>
    <w:tbl>
      <w:tblPr>
        <w:tblStyle w:val="ISCRacingTable"/>
        <w:tblW w:type="auto" w:w="0"/>
        <w:jc w:val="center"/>
        <w:tblLook w:firstColumn="1" w:firstRow="1" w:lastColumn="0" w:lastRow="0" w:noHBand="0" w:noVBand="1" w:val="04A0"/>
      </w:tblPr>
      <w:tblGrid>
        <w:gridCol w:w="1700"/>
        <w:gridCol w:w="2554"/>
        <w:gridCol w:w="1400"/>
        <w:gridCol w:w="1100"/>
        <w:gridCol w:w="1300"/>
        <w:gridCol w:w="1300"/>
      </w:tblGrid>
      <w:tr>
        <w:trPr>
          <w:cantSplit/>
          <w:tblHeader/>
        </w:trPr>
        <w:tc>
          <w:tcPr>
            <w:tcW w:type="dxa" w:w="1700"/>
            <w:vAlign w:val="center"/>
          </w:tcPr>
          <w:p>
            <w:pPr>
              <w:spacing w:before="40" w:after="40" w:line="252" w:lineRule="auto"/>
            </w:pPr>
            <w:r>
              <w:rPr>
                <w:rFonts w:ascii="Jost" w:hAnsi="Jost"/>
                <w:b/>
                <w:color w:val="FFFFFF"/>
              </w:rPr>
              <w:t>Test Item</w:t>
            </w:r>
          </w:p>
        </w:tc>
        <w:tc>
          <w:tcPr>
            <w:tcW w:type="dxa" w:w="2554"/>
            <w:vAlign w:val="center"/>
          </w:tcPr>
          <w:p>
            <w:pPr>
              <w:spacing w:before="40" w:after="40" w:line="252" w:lineRule="auto"/>
            </w:pPr>
            <w:r>
              <w:rPr>
                <w:rFonts w:ascii="Jost" w:hAnsi="Jost"/>
                <w:b/>
                <w:color w:val="FFFFFF"/>
              </w:rPr>
              <w:t>Target / Acceptance Criteria</w:t>
            </w:r>
          </w:p>
        </w:tc>
        <w:tc>
          <w:tcPr>
            <w:tcW w:type="dxa" w:w="1400"/>
            <w:vAlign w:val="center"/>
          </w:tcPr>
          <w:p>
            <w:pPr>
              <w:spacing w:before="40" w:after="40" w:line="252" w:lineRule="auto"/>
            </w:pPr>
            <w:r>
              <w:rPr>
                <w:rFonts w:ascii="Jost" w:hAnsi="Jost"/>
                <w:b/>
                <w:color w:val="FFFFFF"/>
              </w:rPr>
              <w:t>Measured Value</w:t>
            </w:r>
          </w:p>
        </w:tc>
        <w:tc>
          <w:tcPr>
            <w:tcW w:type="dxa" w:w="1100"/>
            <w:vAlign w:val="center"/>
          </w:tcPr>
          <w:p>
            <w:pPr>
              <w:spacing w:before="40" w:after="40" w:line="252" w:lineRule="auto"/>
            </w:pPr>
            <w:r>
              <w:rPr>
                <w:rFonts w:ascii="Jost" w:hAnsi="Jost"/>
                <w:b/>
                <w:color w:val="FFFFFF"/>
              </w:rPr>
              <w:t>Pass / Fail</w:t>
            </w:r>
          </w:p>
        </w:tc>
        <w:tc>
          <w:tcPr>
            <w:tcW w:type="dxa" w:w="1300"/>
            <w:vAlign w:val="center"/>
          </w:tcPr>
          <w:p>
            <w:pPr>
              <w:spacing w:before="40" w:after="40" w:line="252" w:lineRule="auto"/>
            </w:pPr>
            <w:r>
              <w:rPr>
                <w:rFonts w:ascii="Jost" w:hAnsi="Jost"/>
                <w:b/>
                <w:color w:val="FFFFFF"/>
              </w:rPr>
              <w:t>Inspector</w:t>
            </w:r>
          </w:p>
        </w:tc>
        <w:tc>
          <w:tcPr>
            <w:tcW w:type="dxa" w:w="1300"/>
            <w:vAlign w:val="center"/>
          </w:tcPr>
          <w:p>
            <w:pPr>
              <w:spacing w:before="40" w:after="40" w:line="252" w:lineRule="auto"/>
            </w:pPr>
            <w:r>
              <w:rPr>
                <w:rFonts w:ascii="Jost" w:hAnsi="Jost"/>
                <w:b/>
                <w:color w:val="FFFFFF"/>
              </w:rPr>
              <w:t>Date</w:t>
            </w:r>
          </w:p>
        </w:tc>
      </w:tr>
      <w:tr>
        <w:trPr>
          <w:cantSplit/>
        </w:trPr>
        <w:tc>
          <w:tcPr>
            <w:tcW w:type="dxa" w:w="1700"/>
            <w:vAlign w:val="center"/>
          </w:tcPr>
          <w:p>
            <w:pPr>
              <w:spacing w:before="40" w:after="40" w:line="252" w:lineRule="auto"/>
            </w:pPr>
            <w:r>
              <w:rPr>
                <w:rFonts w:ascii="IBM Plex Sans" w:hAnsi="IBM Plex Sans"/>
              </w:rPr>
              <w:t>1. Unpowered Isolation</w:t>
            </w:r>
          </w:p>
        </w:tc>
        <w:tc>
          <w:tcPr>
            <w:tcW w:type="dxa" w:w="2554"/>
            <w:vAlign w:val="center"/>
          </w:tcPr>
          <w:p>
            <w:pPr>
              <w:spacing w:before="40" w:after="40" w:line="252" w:lineRule="auto"/>
            </w:pPr>
            <w:r>
              <w:rPr>
                <w:rFonts w:ascii="IBM Plex Sans" w:hAnsi="IBM Plex Sans"/>
              </w:rPr>
              <w:t>+5V and VDD to GND &gt; 1 kΩ</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2. 3.3 V Rail (backplane)</w:t>
            </w:r>
          </w:p>
        </w:tc>
        <w:tc>
          <w:tcPr>
            <w:tcW w:type="dxa" w:w="2554"/>
            <w:vAlign w:val="center"/>
          </w:tcPr>
          <w:p>
            <w:pPr>
              <w:spacing w:before="40" w:after="40" w:line="252" w:lineRule="auto"/>
            </w:pPr>
            <w:r>
              <w:rPr>
                <w:rFonts w:ascii="IBM Plex Sans" w:hAnsi="IBM Plex Sans"/>
              </w:rPr>
              <w:t>3.20 V – 3.40 V at J4.15 with 5 V on J4.17</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3. 3.3 V Rail (USB)</w:t>
            </w:r>
          </w:p>
        </w:tc>
        <w:tc>
          <w:tcPr>
            <w:tcW w:type="dxa" w:w="2554"/>
            <w:vAlign w:val="center"/>
          </w:tcPr>
          <w:p>
            <w:pPr>
              <w:spacing w:before="40" w:after="40" w:line="252" w:lineRule="auto"/>
            </w:pPr>
            <w:r>
              <w:rPr>
                <w:rFonts w:ascii="IBM Plex Sans" w:hAnsi="IBM Plex Sans"/>
              </w:rPr>
              <w:t>3.20 V – 3.40 V with USB-C only</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4. SWD &amp; Device ID</w:t>
            </w:r>
          </w:p>
        </w:tc>
        <w:tc>
          <w:tcPr>
            <w:tcW w:type="dxa" w:w="2554"/>
            <w:vAlign w:val="center"/>
          </w:tcPr>
          <w:p>
            <w:pPr>
              <w:spacing w:before="40" w:after="40" w:line="252" w:lineRule="auto"/>
            </w:pPr>
            <w:r>
              <w:rPr>
                <w:rFonts w:ascii="IBM Plex Sans" w:hAnsi="IBM Plex Sans"/>
              </w:rPr>
              <w:t>ST-LINK connects; DEV_ID 0x483</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5. HSE &amp; PLL</w:t>
            </w:r>
          </w:p>
        </w:tc>
        <w:tc>
          <w:tcPr>
            <w:tcW w:type="dxa" w:w="2554"/>
            <w:vAlign w:val="center"/>
          </w:tcPr>
          <w:p>
            <w:pPr>
              <w:spacing w:before="40" w:after="40" w:line="252" w:lineRule="auto"/>
            </w:pPr>
            <w:r>
              <w:rPr>
                <w:rFonts w:ascii="IBM Plex Sans" w:hAnsi="IBM Plex Sans"/>
              </w:rPr>
              <w:t>24 MHz HSE starts, PLL locks</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6. CAN Bootloader</w:t>
            </w:r>
          </w:p>
        </w:tc>
        <w:tc>
          <w:tcPr>
            <w:tcW w:type="dxa" w:w="2554"/>
            <w:vAlign w:val="center"/>
          </w:tcPr>
          <w:p>
            <w:pPr>
              <w:spacing w:before="40" w:after="40" w:line="252" w:lineRule="auto"/>
            </w:pPr>
            <w:r>
              <w:rPr>
                <w:rFonts w:ascii="IBM Plex Sans" w:hAnsi="IBM Plex Sans"/>
              </w:rPr>
              <w:t>Node id answers; app flashed over CAN</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7. CAN Terminations</w:t>
            </w:r>
          </w:p>
        </w:tc>
        <w:tc>
          <w:tcPr>
            <w:tcW w:type="dxa" w:w="2554"/>
            <w:vAlign w:val="center"/>
          </w:tcPr>
          <w:p>
            <w:pPr>
              <w:spacing w:before="40" w:after="40" w:line="252" w:lineRule="auto"/>
            </w:pPr>
            <w:r>
              <w:rPr>
                <w:rFonts w:ascii="IBM Plex Sans" w:hAnsi="IBM Plex Sans"/>
              </w:rPr>
              <w:t>120 Ω ± 2 Ω on CAN1, CAN2, CAN3</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8. CAN Traffic</w:t>
            </w:r>
          </w:p>
        </w:tc>
        <w:tc>
          <w:tcPr>
            <w:tcW w:type="dxa" w:w="2554"/>
            <w:vAlign w:val="center"/>
          </w:tcPr>
          <w:p>
            <w:pPr>
              <w:spacing w:before="40" w:after="40" w:line="252" w:lineRule="auto"/>
            </w:pPr>
            <w:r>
              <w:rPr>
                <w:rFonts w:ascii="IBM Plex Sans" w:hAnsi="IBM Plex Sans"/>
              </w:rPr>
              <w:t>FDCAN1/2/3: 1000 frames, 0 errors</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9. IMU</w:t>
            </w:r>
          </w:p>
        </w:tc>
        <w:tc>
          <w:tcPr>
            <w:tcW w:type="dxa" w:w="2554"/>
            <w:vAlign w:val="center"/>
          </w:tcPr>
          <w:p>
            <w:pPr>
              <w:spacing w:before="40" w:after="40" w:line="252" w:lineRule="auto"/>
            </w:pPr>
            <w:r>
              <w:rPr>
                <w:rFonts w:ascii="IBM Plex Sans" w:hAnsi="IBM Plex Sans"/>
              </w:rPr>
              <w:t>BMI088 IDs 0x1E / 0x0F</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10. microSD &amp; USB</w:t>
            </w:r>
          </w:p>
        </w:tc>
        <w:tc>
          <w:tcPr>
            <w:tcW w:type="dxa" w:w="2554"/>
            <w:vAlign w:val="center"/>
          </w:tcPr>
          <w:p>
            <w:pPr>
              <w:spacing w:before="40" w:after="40" w:line="252" w:lineRule="auto"/>
            </w:pPr>
            <w:r>
              <w:rPr>
                <w:rFonts w:ascii="IBM Plex Sans" w:hAnsi="IBM Plex Sans"/>
              </w:rPr>
              <w:t>File read-back OK; CD works; USB enumerates</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r>
        <w:trPr>
          <w:cantSplit/>
        </w:trPr>
        <w:tc>
          <w:tcPr>
            <w:tcW w:type="dxa" w:w="1700"/>
            <w:vAlign w:val="center"/>
          </w:tcPr>
          <w:p>
            <w:pPr>
              <w:spacing w:before="40" w:after="40" w:line="252" w:lineRule="auto"/>
            </w:pPr>
            <w:r>
              <w:rPr>
                <w:rFonts w:ascii="IBM Plex Sans" w:hAnsi="IBM Plex Sans"/>
              </w:rPr>
              <w:t>11. Backplane I/O</w:t>
            </w:r>
          </w:p>
        </w:tc>
        <w:tc>
          <w:tcPr>
            <w:tcW w:type="dxa" w:w="2554"/>
            <w:vAlign w:val="center"/>
          </w:tcPr>
          <w:p>
            <w:pPr>
              <w:spacing w:before="40" w:after="40" w:line="252" w:lineRule="auto"/>
            </w:pPr>
            <w:r>
              <w:rPr>
                <w:rFonts w:ascii="IBM Plex Sans" w:hAnsi="IBM Plex Sans"/>
              </w:rPr>
              <w:t>22/22 J3/J4 pins verified</w:t>
            </w:r>
          </w:p>
        </w:tc>
        <w:tc>
          <w:tcPr>
            <w:tcW w:type="dxa" w:w="1400"/>
            <w:vAlign w:val="center"/>
          </w:tcPr>
          <w:p>
            <w:pPr>
              <w:spacing w:before="40" w:after="40" w:line="252" w:lineRule="auto"/>
            </w:pPr>
            <w:r>
              <w:rPr>
                <w:rFonts w:ascii="IBM Plex Sans" w:hAnsi="IBM Plex Sans"/>
              </w:rPr>
            </w:r>
          </w:p>
        </w:tc>
        <w:tc>
          <w:tcPr>
            <w:tcW w:type="dxa" w:w="11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c>
          <w:tcPr>
            <w:tcW w:type="dxa" w:w="1300"/>
            <w:vAlign w:val="center"/>
          </w:tcPr>
          <w:p>
            <w:pPr>
              <w:spacing w:before="40" w:after="40" w:line="252" w:lineRule="auto"/>
            </w:pPr>
            <w:r>
              <w:rPr>
                <w:rFonts w:ascii="IBM Plex Sans" w:hAnsi="IBM Plex Sans"/>
              </w:rPr>
            </w:r>
          </w:p>
        </w:tc>
      </w:tr>
    </w:tbl>
    <w:p>
      <w:pPr>
        <w:pStyle w:val="Heading1"/>
        <w:keepNext/>
        <w:spacing w:before="320" w:after="80"/>
      </w:pPr>
      <w:r>
        <w:t>6. Post-Design Requirement: Design Report</w:t>
      </w:r>
    </w:p>
    <w:p>
      <w:pPr>
        <w:spacing w:before="0" w:after="80" w:line="276" w:lineRule="auto"/>
      </w:pPr>
      <w:r>
        <w:t>Upon completion of the PCB layout, fabrication, and bench/vehicle testing, a comprehensive Design Report must be submitted to the Electronics Subsystem Technical Director.</w:t>
      </w:r>
    </w:p>
    <w:p>
      <w:pPr>
        <w:spacing w:before="0" w:after="80" w:line="276" w:lineRule="auto"/>
      </w:pPr>
      <w:r>
        <w:t>The Design Report must document:</w:t>
      </w:r>
    </w:p>
    <w:p>
      <w:pPr>
        <w:pStyle w:val="ListParagraph"/>
        <w:spacing w:before="20" w:after="40" w:line="276" w:lineRule="auto"/>
        <w:ind w:left="360"/>
      </w:pPr>
      <w:r>
        <w:rPr>
          <w:b/>
          <w:color w:val="C88A00"/>
        </w:rPr>
        <w:t xml:space="preserve">▪  </w:t>
      </w:r>
      <w:r>
        <w:rPr>
          <w:b/>
          <w:color w:val="064229"/>
        </w:rPr>
        <w:t>Schematic &amp; Layout Documentation:</w:t>
      </w:r>
      <w:r>
        <w:t xml:space="preserve"> Schematic, 2-layer stackup, placement and routing rationale, and the released pin model version.</w:t>
      </w:r>
    </w:p>
    <w:p>
      <w:pPr>
        <w:pStyle w:val="ListParagraph"/>
        <w:spacing w:before="20" w:after="40" w:line="276" w:lineRule="auto"/>
        <w:ind w:left="360"/>
      </w:pPr>
      <w:r>
        <w:rPr>
          <w:b/>
          <w:color w:val="C88A00"/>
        </w:rPr>
        <w:t xml:space="preserve">▪  </w:t>
      </w:r>
      <w:r>
        <w:rPr>
          <w:b/>
          <w:color w:val="064229"/>
        </w:rPr>
        <w:t>Bill of Materials (BOM):</w:t>
      </w:r>
      <w:r>
        <w:t xml:space="preserve"> Manufacturer part numbers, footprints, quantities, and supplier references for assembly.</w:t>
      </w:r>
    </w:p>
    <w:p>
      <w:pPr>
        <w:pStyle w:val="ListParagraph"/>
        <w:spacing w:before="20" w:after="40" w:line="276" w:lineRule="auto"/>
        <w:ind w:left="360"/>
      </w:pPr>
      <w:r>
        <w:rPr>
          <w:b/>
          <w:color w:val="C88A00"/>
        </w:rPr>
        <w:t xml:space="preserve">▪  </w:t>
      </w:r>
      <w:r>
        <w:rPr>
          <w:b/>
          <w:color w:val="064229"/>
        </w:rPr>
        <w:t>Backplane Integration:</w:t>
      </w:r>
      <w:r>
        <w:t xml:space="preserve"> Per-role use of the J3/J4 pins on the AMS, ECU and uDV backplanes, and mechanical clearances of the mounted module.</w:t>
      </w:r>
    </w:p>
    <w:p>
      <w:pPr>
        <w:pStyle w:val="ListParagraph"/>
        <w:spacing w:before="20" w:after="40" w:line="276" w:lineRule="auto"/>
        <w:ind w:left="360"/>
      </w:pPr>
      <w:r>
        <w:rPr>
          <w:b/>
          <w:color w:val="C88A00"/>
        </w:rPr>
        <w:t xml:space="preserve">▪  </w:t>
      </w:r>
      <w:r>
        <w:rPr>
          <w:b/>
          <w:color w:val="064229"/>
        </w:rPr>
        <w:t>Validation Test Results:</w:t>
      </w:r>
      <w:r>
        <w:t xml:space="preserve"> Measured rails, CAN logs, bootloader provisioning records, and the completed sign-off sheet for every serialised module.</w:t>
      </w:r>
    </w:p>
    <w:p>
      <w:pPr>
        <w:pStyle w:val="ListParagraph"/>
        <w:spacing w:before="20" w:after="40" w:line="276" w:lineRule="auto"/>
        <w:ind w:left="360"/>
      </w:pPr>
      <w:r>
        <w:rPr>
          <w:b/>
          <w:color w:val="C88A00"/>
        </w:rPr>
        <w:t xml:space="preserve">▪  </w:t>
      </w:r>
      <w:r>
        <w:rPr>
          <w:b/>
          <w:color w:val="064229"/>
        </w:rPr>
        <w:t>Design Iterations &amp; Recommendations:</w:t>
      </w:r>
      <w:r>
        <w:t xml:space="preserve"> Assembly issues encountered, closure of the open items in Section 3.3, and proposed changes for the next revision.</w:t>
      </w:r>
    </w:p>
    <w:sectPr w:rsidR="00AF5C7F" w:rsidRPr="00241011" w:rsidSect="00AF5C7F">
      <w:headerReference w:type="default" r:id="rId13"/>
      <w:footerReference w:type="default" r:id="rId14"/>
      <w:pgSz w:w="11906" w:h="16838"/>
      <w:pgMar w:top="1418" w:right="1276" w:bottom="1418" w:left="1276" w:header="624"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1595C8" w14:textId="77777777" w:rsidR="000B17FB" w:rsidRDefault="000B17FB" w:rsidP="007211AC">
      <w:pPr>
        <w:spacing w:after="0" w:line="240" w:lineRule="auto"/>
      </w:pPr>
      <w:r>
        <w:separator/>
      </w:r>
    </w:p>
  </w:endnote>
  <w:endnote w:type="continuationSeparator" w:id="0">
    <w:p w14:paraId="512DABD7" w14:textId="77777777" w:rsidR="000B17FB" w:rsidRDefault="000B17FB" w:rsidP="00721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BM Plex Sans">
    <w:panose1 w:val="020B0503050203000203"/>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ost">
    <w:panose1 w:val="00000000000000000000"/>
    <w:charset w:val="4D"/>
    <w:family w:val="auto"/>
    <w:pitch w:val="variable"/>
    <w:sig w:usb0="A00002EF" w:usb1="0000205B" w:usb2="00000010" w:usb3="00000000" w:csb0="00000097" w:csb1="00000000"/>
  </w:font>
  <w:font w:name="IBM Plex Mono">
    <w:panose1 w:val="020B0509050203000203"/>
    <w:charset w:val="4D"/>
    <w:family w:val="modern"/>
    <w:pitch w:val="fixed"/>
    <w:sig w:usb0="A000026F" w:usb1="5000207B" w:usb2="00000000" w:usb3="00000000" w:csb0="00000197"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B2C75" w14:textId="77777777" w:rsidR="00AF5C7F" w:rsidRDefault="00AF5C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79B6BC" w14:textId="77777777" w:rsidR="00AF5C7F" w:rsidRDefault="00AF5C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256ED" w14:textId="77777777" w:rsidR="00AF5C7F" w:rsidRDefault="00AF5C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00C168" w14:textId="1497A269" w:rsidR="00AF5C7F" w:rsidRDefault="00AF5C7F" w:rsidP="00AF5C7F">
    <w:pPr>
      <w:pStyle w:val="Footer"/>
    </w:pPr>
    <w:r>
      <w:t>ISC Formula Student Racing Team ©</w:t>
    </w:r>
    <w:r>
      <w:tab/>
    </w:r>
    <w:r>
      <w:tab/>
      <w:t xml:space="preserve">Page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65B48B" w14:textId="77777777" w:rsidR="000B17FB" w:rsidRDefault="000B17FB" w:rsidP="007211AC">
      <w:pPr>
        <w:spacing w:after="0" w:line="240" w:lineRule="auto"/>
      </w:pPr>
      <w:r>
        <w:separator/>
      </w:r>
    </w:p>
  </w:footnote>
  <w:footnote w:type="continuationSeparator" w:id="0">
    <w:p w14:paraId="3247C8B0" w14:textId="77777777" w:rsidR="000B17FB" w:rsidRDefault="000B17FB" w:rsidP="00721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D82EA7" w14:textId="77777777" w:rsidR="00AF5C7F" w:rsidRDefault="00AF5C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20E37" w14:textId="77777777" w:rsidR="00AF5C7F" w:rsidRDefault="00AF5C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62163" w14:textId="77777777" w:rsidR="00AF5C7F" w:rsidRDefault="00AF5C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B560D" w14:textId="77777777" w:rsidR="00AF5C7F" w:rsidRDefault="00AF5C7F">
    <w:pPr>
      <w:pStyle w:val="Header"/>
      <w:jc w:val="center"/>
    </w:pPr>
    <w:r>
      <w:rPr>
        <w:noProof/>
      </w:rPr>
      <w:drawing>
        <wp:anchor distT="0" distB="0" distL="114300" distR="114300" simplePos="0" relativeHeight="251658240" behindDoc="0" locked="0" layoutInCell="1" allowOverlap="1" wp14:anchorId="78BDFA6B" wp14:editId="2E8C8D42">
          <wp:simplePos x="0" y="0"/>
          <wp:positionH relativeFrom="column">
            <wp:posOffset>2461895</wp:posOffset>
          </wp:positionH>
          <wp:positionV relativeFrom="paragraph">
            <wp:posOffset>-153706</wp:posOffset>
          </wp:positionV>
          <wp:extent cx="1016000" cy="394410"/>
          <wp:effectExtent l="0" t="0" r="0" b="0"/>
          <wp:wrapNone/>
          <wp:docPr id="2" name="ISC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k.png"/>
                  <pic:cNvPicPr/>
                </pic:nvPicPr>
                <pic:blipFill>
                  <a:blip r:embed="rId1">
                    <a:extLst>
                      <a:ext uri="{28A0092B-C50C-407E-A947-70E740481C1C}">
                        <a14:useLocalDpi xmlns:a14="http://schemas.microsoft.com/office/drawing/2010/main" val="0"/>
                      </a:ext>
                    </a:extLst>
                  </a:blip>
                  <a:stretch>
                    <a:fillRect/>
                  </a:stretch>
                </pic:blipFill>
                <pic:spPr>
                  <a:xfrm>
                    <a:off x="0" y="0"/>
                    <a:ext cx="1016000" cy="39441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displayBackgroundShape/>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F01"/>
    <w:rsid w:val="000619A0"/>
    <w:rsid w:val="000B17FB"/>
    <w:rsid w:val="00241011"/>
    <w:rsid w:val="002748C3"/>
    <w:rsid w:val="00302C1E"/>
    <w:rsid w:val="00303091"/>
    <w:rsid w:val="00335A6C"/>
    <w:rsid w:val="00591F01"/>
    <w:rsid w:val="00696195"/>
    <w:rsid w:val="007211AC"/>
    <w:rsid w:val="007609CA"/>
    <w:rsid w:val="00786C53"/>
    <w:rsid w:val="00833AE7"/>
    <w:rsid w:val="00AF5C7F"/>
    <w:rsid w:val="00B14936"/>
    <w:rsid w:val="00C01C04"/>
    <w:rsid w:val="00C67160"/>
    <w:rsid w:val="00DB2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228BD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C7F"/>
    <w:rPr>
      <w:rFonts w:ascii="IBM Plex Sans" w:eastAsia="Times New Roman" w:hAnsi="IBM Plex Sans" w:cs="IBM Plex Sans"/>
      <w:color w:val="404040"/>
      <w:kern w:val="0"/>
      <w:sz w:val="22"/>
      <w:szCs w:val="22"/>
      <w14:ligatures w14:val="none"/>
    </w:rPr>
  </w:style>
  <w:style w:type="paragraph" w:styleId="Heading1">
    <w:name w:val="heading 1"/>
    <w:basedOn w:val="Normal"/>
    <w:next w:val="Normal"/>
    <w:link w:val="Heading1Char"/>
    <w:uiPriority w:val="9"/>
    <w:qFormat/>
    <w:rsid w:val="00AF5C7F"/>
    <w:pPr>
      <w:keepNext/>
      <w:keepLines/>
      <w:spacing w:before="360" w:after="140" w:line="240" w:lineRule="auto"/>
      <w:outlineLvl w:val="0"/>
    </w:pPr>
    <w:rPr>
      <w:rFonts w:ascii="Jost" w:hAnsi="Jost" w:cs="Jost"/>
      <w:b/>
      <w:color w:val="064229"/>
      <w:sz w:val="40"/>
      <w:szCs w:val="40"/>
    </w:rPr>
  </w:style>
  <w:style w:type="paragraph" w:styleId="Heading2">
    <w:name w:val="heading 2"/>
    <w:basedOn w:val="Normal"/>
    <w:next w:val="Normal"/>
    <w:link w:val="Heading2Char"/>
    <w:uiPriority w:val="9"/>
    <w:unhideWhenUsed/>
    <w:qFormat/>
    <w:rsid w:val="00AF5C7F"/>
    <w:pPr>
      <w:keepNext/>
      <w:keepLines/>
      <w:spacing w:before="280" w:after="120" w:line="240" w:lineRule="auto"/>
      <w:outlineLvl w:val="1"/>
    </w:pPr>
    <w:rPr>
      <w:rFonts w:ascii="Jost" w:hAnsi="Jost" w:cs="Jost"/>
      <w:b/>
      <w:color w:val="064229"/>
      <w:sz w:val="30"/>
      <w:szCs w:val="30"/>
    </w:rPr>
  </w:style>
  <w:style w:type="paragraph" w:styleId="Heading3">
    <w:name w:val="heading 3"/>
    <w:basedOn w:val="Normal"/>
    <w:next w:val="Normal"/>
    <w:link w:val="Heading3Char"/>
    <w:uiPriority w:val="9"/>
    <w:unhideWhenUsed/>
    <w:qFormat/>
    <w:rsid w:val="00AF5C7F"/>
    <w:pPr>
      <w:keepNext/>
      <w:keepLines/>
      <w:spacing w:before="240" w:after="100" w:line="240" w:lineRule="auto"/>
      <w:outlineLvl w:val="2"/>
    </w:pPr>
    <w:rPr>
      <w:rFonts w:ascii="Jost" w:hAnsi="Jost" w:cs="Jost"/>
      <w:b/>
      <w:sz w:val="24"/>
      <w:szCs w:val="24"/>
    </w:rPr>
  </w:style>
  <w:style w:type="paragraph" w:styleId="Heading4">
    <w:name w:val="heading 4"/>
    <w:basedOn w:val="Normal"/>
    <w:next w:val="Normal"/>
    <w:link w:val="Heading4Char"/>
    <w:uiPriority w:val="9"/>
    <w:unhideWhenUsed/>
    <w:qFormat/>
    <w:rsid w:val="00AF5C7F"/>
    <w:pPr>
      <w:keepNext/>
      <w:keepLines/>
      <w:spacing w:before="240" w:after="120" w:line="240" w:lineRule="auto"/>
      <w:outlineLvl w:val="3"/>
    </w:pPr>
    <w:rPr>
      <w:rFonts w:ascii="Jost" w:hAnsi="Jost" w:cs="Jost"/>
      <w:b/>
      <w:caps/>
      <w:color w:val="C88A00"/>
      <w:sz w:val="20"/>
    </w:rPr>
  </w:style>
  <w:style w:type="paragraph" w:styleId="Heading5">
    <w:name w:val="heading 5"/>
    <w:basedOn w:val="Normal"/>
    <w:next w:val="Normal"/>
    <w:link w:val="Heading5Char"/>
    <w:uiPriority w:val="9"/>
    <w:semiHidden/>
    <w:unhideWhenUsed/>
    <w:qFormat/>
    <w:rsid w:val="00C01C04"/>
    <w:pPr>
      <w:keepNext/>
      <w:keepLines/>
      <w:spacing w:before="80" w:after="40"/>
      <w:outlineLvl w:val="4"/>
    </w:pPr>
    <w:rPr>
      <w:rFonts w:eastAsiaTheme="majorEastAsia" w:cstheme="majorBidi"/>
      <w:color w:val="04311E" w:themeColor="accent1" w:themeShade="BF"/>
    </w:rPr>
  </w:style>
  <w:style w:type="paragraph" w:styleId="Heading6">
    <w:name w:val="heading 6"/>
    <w:basedOn w:val="Normal"/>
    <w:next w:val="Normal"/>
    <w:link w:val="Heading6Char"/>
    <w:uiPriority w:val="9"/>
    <w:semiHidden/>
    <w:unhideWhenUsed/>
    <w:qFormat/>
    <w:rsid w:val="00C01C04"/>
    <w:pPr>
      <w:keepNext/>
      <w:keepLines/>
      <w:spacing w:before="40" w:after="0"/>
      <w:outlineLvl w:val="5"/>
    </w:pPr>
    <w:rPr>
      <w:rFonts w:eastAsiaTheme="majorEastAsia" w:cstheme="majorBidi"/>
      <w:i/>
      <w:iCs/>
      <w:color w:val="828282" w:themeColor="text1" w:themeTint="A6"/>
    </w:rPr>
  </w:style>
  <w:style w:type="paragraph" w:styleId="Heading7">
    <w:name w:val="heading 7"/>
    <w:basedOn w:val="Normal"/>
    <w:next w:val="Normal"/>
    <w:link w:val="Heading7Char"/>
    <w:uiPriority w:val="9"/>
    <w:semiHidden/>
    <w:unhideWhenUsed/>
    <w:qFormat/>
    <w:rsid w:val="00C01C04"/>
    <w:pPr>
      <w:keepNext/>
      <w:keepLines/>
      <w:spacing w:before="40" w:after="0"/>
      <w:outlineLvl w:val="6"/>
    </w:pPr>
    <w:rPr>
      <w:rFonts w:eastAsiaTheme="majorEastAsia" w:cstheme="majorBidi"/>
      <w:color w:val="828282" w:themeColor="text1" w:themeTint="A6"/>
    </w:rPr>
  </w:style>
  <w:style w:type="paragraph" w:styleId="Heading8">
    <w:name w:val="heading 8"/>
    <w:basedOn w:val="Normal"/>
    <w:next w:val="Normal"/>
    <w:link w:val="Heading8Char"/>
    <w:uiPriority w:val="9"/>
    <w:semiHidden/>
    <w:unhideWhenUsed/>
    <w:qFormat/>
    <w:rsid w:val="00C01C04"/>
    <w:pPr>
      <w:keepNext/>
      <w:keepLines/>
      <w:spacing w:after="0"/>
      <w:outlineLvl w:val="7"/>
    </w:pPr>
    <w:rPr>
      <w:rFonts w:eastAsiaTheme="majorEastAsia" w:cstheme="majorBidi"/>
      <w:i/>
      <w:iCs/>
      <w:color w:val="5D5D5D" w:themeColor="text1" w:themeTint="D8"/>
    </w:rPr>
  </w:style>
  <w:style w:type="paragraph" w:styleId="Heading9">
    <w:name w:val="heading 9"/>
    <w:basedOn w:val="Normal"/>
    <w:next w:val="Normal"/>
    <w:link w:val="Heading9Char"/>
    <w:uiPriority w:val="9"/>
    <w:semiHidden/>
    <w:unhideWhenUsed/>
    <w:qFormat/>
    <w:rsid w:val="00C01C04"/>
    <w:pPr>
      <w:keepNext/>
      <w:keepLines/>
      <w:spacing w:after="0"/>
      <w:outlineLvl w:val="8"/>
    </w:pPr>
    <w:rPr>
      <w:rFonts w:eastAsiaTheme="majorEastAsia" w:cstheme="majorBidi"/>
      <w:color w:val="5D5D5D" w:themeColor="text1" w:themeTint="D8"/>
    </w:rPr>
  </w:style>
  <w:style w:type="character" w:default="1" w:styleId="DefaultParagraphFont">
    <w:name w:val="Default Paragraph Font"/>
    <w:uiPriority w:val="1"/>
    <w:unhideWhenUsed/>
    <w:rsid w:val="00AF5C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5C7F"/>
  </w:style>
  <w:style w:type="character" w:customStyle="1" w:styleId="Heading1Char">
    <w:name w:val="Heading 1 Char"/>
    <w:basedOn w:val="DefaultParagraphFont"/>
    <w:link w:val="Heading1"/>
    <w:uiPriority w:val="9"/>
    <w:rsid w:val="00C01C04"/>
    <w:rPr>
      <w:rFonts w:ascii="Jost" w:eastAsia="Times New Roman" w:hAnsi="Jost" w:cs="Jost"/>
      <w:b/>
      <w:color w:val="064229"/>
      <w:kern w:val="0"/>
      <w:sz w:val="40"/>
      <w:szCs w:val="40"/>
      <w14:ligatures w14:val="none"/>
    </w:rPr>
  </w:style>
  <w:style w:type="character" w:customStyle="1" w:styleId="Heading2Char">
    <w:name w:val="Heading 2 Char"/>
    <w:basedOn w:val="DefaultParagraphFont"/>
    <w:link w:val="Heading2"/>
    <w:uiPriority w:val="9"/>
    <w:rsid w:val="00C01C04"/>
    <w:rPr>
      <w:rFonts w:ascii="Jost" w:eastAsia="Times New Roman" w:hAnsi="Jost" w:cs="Jost"/>
      <w:b/>
      <w:color w:val="064229"/>
      <w:kern w:val="0"/>
      <w:sz w:val="30"/>
      <w:szCs w:val="30"/>
      <w14:ligatures w14:val="none"/>
    </w:rPr>
  </w:style>
  <w:style w:type="character" w:customStyle="1" w:styleId="Heading3Char">
    <w:name w:val="Heading 3 Char"/>
    <w:basedOn w:val="DefaultParagraphFont"/>
    <w:link w:val="Heading3"/>
    <w:uiPriority w:val="9"/>
    <w:rsid w:val="00C01C04"/>
    <w:rPr>
      <w:rFonts w:ascii="Jost" w:eastAsia="Times New Roman" w:hAnsi="Jost" w:cs="Jost"/>
      <w:b/>
      <w:color w:val="404040"/>
      <w:kern w:val="0"/>
      <w14:ligatures w14:val="none"/>
    </w:rPr>
  </w:style>
  <w:style w:type="character" w:customStyle="1" w:styleId="Heading4Char">
    <w:name w:val="Heading 4 Char"/>
    <w:basedOn w:val="DefaultParagraphFont"/>
    <w:link w:val="Heading4"/>
    <w:uiPriority w:val="9"/>
    <w:rsid w:val="00C01C04"/>
    <w:rPr>
      <w:rFonts w:ascii="Jost" w:eastAsia="Times New Roman" w:hAnsi="Jost" w:cs="Jost"/>
      <w:b/>
      <w:caps/>
      <w:color w:val="C88A00"/>
      <w:kern w:val="0"/>
      <w:sz w:val="20"/>
      <w:szCs w:val="22"/>
      <w14:ligatures w14:val="none"/>
    </w:rPr>
  </w:style>
  <w:style w:type="character" w:customStyle="1" w:styleId="Heading5Char">
    <w:name w:val="Heading 5 Char"/>
    <w:basedOn w:val="DefaultParagraphFont"/>
    <w:link w:val="Heading5"/>
    <w:uiPriority w:val="9"/>
    <w:semiHidden/>
    <w:rsid w:val="00C01C04"/>
    <w:rPr>
      <w:rFonts w:eastAsiaTheme="majorEastAsia" w:cstheme="majorBidi"/>
      <w:color w:val="04311E" w:themeColor="accent1" w:themeShade="BF"/>
    </w:rPr>
  </w:style>
  <w:style w:type="character" w:customStyle="1" w:styleId="Heading6Char">
    <w:name w:val="Heading 6 Char"/>
    <w:basedOn w:val="DefaultParagraphFont"/>
    <w:link w:val="Heading6"/>
    <w:uiPriority w:val="9"/>
    <w:semiHidden/>
    <w:rsid w:val="00C01C04"/>
    <w:rPr>
      <w:rFonts w:eastAsiaTheme="majorEastAsia" w:cstheme="majorBidi"/>
      <w:i/>
      <w:iCs/>
      <w:color w:val="828282" w:themeColor="text1" w:themeTint="A6"/>
    </w:rPr>
  </w:style>
  <w:style w:type="character" w:customStyle="1" w:styleId="Heading7Char">
    <w:name w:val="Heading 7 Char"/>
    <w:basedOn w:val="DefaultParagraphFont"/>
    <w:link w:val="Heading7"/>
    <w:uiPriority w:val="9"/>
    <w:semiHidden/>
    <w:rsid w:val="00C01C04"/>
    <w:rPr>
      <w:rFonts w:eastAsiaTheme="majorEastAsia" w:cstheme="majorBidi"/>
      <w:color w:val="828282" w:themeColor="text1" w:themeTint="A6"/>
    </w:rPr>
  </w:style>
  <w:style w:type="character" w:customStyle="1" w:styleId="Heading8Char">
    <w:name w:val="Heading 8 Char"/>
    <w:basedOn w:val="DefaultParagraphFont"/>
    <w:link w:val="Heading8"/>
    <w:uiPriority w:val="9"/>
    <w:semiHidden/>
    <w:rsid w:val="00C01C04"/>
    <w:rPr>
      <w:rFonts w:eastAsiaTheme="majorEastAsia" w:cstheme="majorBidi"/>
      <w:i/>
      <w:iCs/>
      <w:color w:val="5D5D5D" w:themeColor="text1" w:themeTint="D8"/>
    </w:rPr>
  </w:style>
  <w:style w:type="character" w:customStyle="1" w:styleId="Heading9Char">
    <w:name w:val="Heading 9 Char"/>
    <w:basedOn w:val="DefaultParagraphFont"/>
    <w:link w:val="Heading9"/>
    <w:uiPriority w:val="9"/>
    <w:semiHidden/>
    <w:rsid w:val="00C01C04"/>
    <w:rPr>
      <w:rFonts w:eastAsiaTheme="majorEastAsia" w:cstheme="majorBidi"/>
      <w:color w:val="5D5D5D" w:themeColor="text1" w:themeTint="D8"/>
    </w:rPr>
  </w:style>
  <w:style w:type="paragraph" w:styleId="Caption">
    <w:name w:val="caption"/>
    <w:basedOn w:val="Normal"/>
    <w:next w:val="Normal"/>
    <w:uiPriority w:val="35"/>
    <w:semiHidden/>
    <w:unhideWhenUsed/>
    <w:qFormat/>
    <w:rsid w:val="00C01C04"/>
    <w:pPr>
      <w:spacing w:line="240" w:lineRule="auto"/>
    </w:pPr>
    <w:rPr>
      <w:i/>
      <w:iCs/>
      <w:color w:val="064229" w:themeColor="text2"/>
      <w:sz w:val="18"/>
      <w:szCs w:val="18"/>
    </w:rPr>
  </w:style>
  <w:style w:type="paragraph" w:styleId="Title">
    <w:name w:val="Title"/>
    <w:basedOn w:val="Normal"/>
    <w:next w:val="Normal"/>
    <w:link w:val="TitleChar"/>
    <w:uiPriority w:val="10"/>
    <w:qFormat/>
    <w:rsid w:val="00AF5C7F"/>
    <w:pPr>
      <w:spacing w:after="120" w:line="240" w:lineRule="auto"/>
    </w:pPr>
    <w:rPr>
      <w:rFonts w:ascii="Jost" w:hAnsi="Jost" w:cs="Jost"/>
      <w:b/>
      <w:color w:val="064229"/>
      <w:sz w:val="64"/>
      <w:szCs w:val="64"/>
    </w:rPr>
  </w:style>
  <w:style w:type="character" w:customStyle="1" w:styleId="TitleChar">
    <w:name w:val="Title Char"/>
    <w:basedOn w:val="DefaultParagraphFont"/>
    <w:link w:val="Title"/>
    <w:uiPriority w:val="10"/>
    <w:rsid w:val="00C01C04"/>
    <w:rPr>
      <w:rFonts w:ascii="Jost" w:eastAsia="Times New Roman" w:hAnsi="Jost" w:cs="Jost"/>
      <w:b/>
      <w:color w:val="064229"/>
      <w:kern w:val="0"/>
      <w:sz w:val="64"/>
      <w:szCs w:val="64"/>
      <w14:ligatures w14:val="none"/>
    </w:rPr>
  </w:style>
  <w:style w:type="paragraph" w:styleId="Subtitle">
    <w:name w:val="Subtitle"/>
    <w:basedOn w:val="Normal"/>
    <w:next w:val="Normal"/>
    <w:link w:val="SubtitleChar"/>
    <w:uiPriority w:val="11"/>
    <w:qFormat/>
    <w:rsid w:val="00AF5C7F"/>
    <w:pPr>
      <w:spacing w:before="120" w:after="360"/>
    </w:pPr>
    <w:rPr>
      <w:rFonts w:ascii="Jost" w:hAnsi="Jost" w:cs="Jost"/>
      <w:color w:val="C88A00"/>
      <w:sz w:val="24"/>
    </w:rPr>
  </w:style>
  <w:style w:type="character" w:customStyle="1" w:styleId="SubtitleChar">
    <w:name w:val="Subtitle Char"/>
    <w:basedOn w:val="DefaultParagraphFont"/>
    <w:link w:val="Subtitle"/>
    <w:uiPriority w:val="11"/>
    <w:rsid w:val="00C01C04"/>
    <w:rPr>
      <w:rFonts w:ascii="Jost" w:eastAsia="Times New Roman" w:hAnsi="Jost" w:cs="Jost"/>
      <w:color w:val="C88A00"/>
      <w:kern w:val="0"/>
      <w:szCs w:val="22"/>
      <w14:ligatures w14:val="none"/>
    </w:rPr>
  </w:style>
  <w:style w:type="character" w:styleId="Strong">
    <w:name w:val="Strong"/>
    <w:uiPriority w:val="22"/>
    <w:qFormat/>
    <w:rsid w:val="00C01C04"/>
    <w:rPr>
      <w:b/>
      <w:bCs/>
    </w:rPr>
  </w:style>
  <w:style w:type="character" w:styleId="Emphasis">
    <w:name w:val="Emphasis"/>
    <w:uiPriority w:val="20"/>
    <w:qFormat/>
    <w:rsid w:val="00C01C04"/>
    <w:rPr>
      <w:i/>
      <w:iCs/>
    </w:rPr>
  </w:style>
  <w:style w:type="paragraph" w:styleId="NoSpacing">
    <w:name w:val="No Spacing"/>
    <w:basedOn w:val="Normal"/>
    <w:link w:val="NoSpacingChar"/>
    <w:uiPriority w:val="1"/>
    <w:qFormat/>
    <w:rsid w:val="00C01C04"/>
    <w:pPr>
      <w:spacing w:after="0" w:line="240" w:lineRule="auto"/>
    </w:pPr>
  </w:style>
  <w:style w:type="character" w:customStyle="1" w:styleId="NoSpacingChar">
    <w:name w:val="No Spacing Char"/>
    <w:basedOn w:val="DefaultParagraphFont"/>
    <w:link w:val="NoSpacing"/>
    <w:uiPriority w:val="1"/>
    <w:rsid w:val="00C01C04"/>
  </w:style>
  <w:style w:type="paragraph" w:styleId="ListParagraph">
    <w:name w:val="List Paragraph"/>
    <w:basedOn w:val="Normal"/>
    <w:uiPriority w:val="34"/>
    <w:qFormat/>
    <w:rsid w:val="00C01C04"/>
    <w:pPr>
      <w:ind w:left="720"/>
      <w:contextualSpacing/>
    </w:pPr>
  </w:style>
  <w:style w:type="paragraph" w:styleId="Quote">
    <w:name w:val="Quote"/>
    <w:basedOn w:val="Normal"/>
    <w:next w:val="Normal"/>
    <w:link w:val="QuoteChar"/>
    <w:uiPriority w:val="1"/>
    <w:qFormat/>
    <w:rsid w:val="00AF5C7F"/>
    <w:pPr>
      <w:spacing w:before="200" w:after="200"/>
      <w:ind w:right="284"/>
    </w:pPr>
    <w:rPr>
      <w:i/>
      <w:color w:val="0E6B41"/>
    </w:rPr>
  </w:style>
  <w:style w:type="character" w:customStyle="1" w:styleId="QuoteChar">
    <w:name w:val="Quote Char"/>
    <w:basedOn w:val="DefaultParagraphFont"/>
    <w:link w:val="Quote"/>
    <w:uiPriority w:val="1"/>
    <w:rsid w:val="00C01C04"/>
    <w:rPr>
      <w:rFonts w:ascii="IBM Plex Sans" w:eastAsia="Times New Roman" w:hAnsi="IBM Plex Sans" w:cs="IBM Plex Sans"/>
      <w:i/>
      <w:color w:val="0E6B41"/>
      <w:kern w:val="0"/>
      <w:sz w:val="22"/>
      <w:szCs w:val="22"/>
      <w14:ligatures w14:val="none"/>
    </w:rPr>
  </w:style>
  <w:style w:type="paragraph" w:styleId="IntenseQuote">
    <w:name w:val="Intense Quote"/>
    <w:basedOn w:val="Normal"/>
    <w:next w:val="Normal"/>
    <w:link w:val="IntenseQuoteChar"/>
    <w:uiPriority w:val="30"/>
    <w:qFormat/>
    <w:rsid w:val="00C01C04"/>
    <w:pPr>
      <w:pBdr>
        <w:top w:val="single" w:sz="4" w:space="10" w:color="04311E" w:themeColor="accent1" w:themeShade="BF"/>
        <w:bottom w:val="single" w:sz="4" w:space="10" w:color="04311E" w:themeColor="accent1" w:themeShade="BF"/>
      </w:pBdr>
      <w:spacing w:before="360" w:after="360"/>
      <w:ind w:left="864" w:right="864"/>
      <w:jc w:val="center"/>
    </w:pPr>
    <w:rPr>
      <w:i/>
      <w:iCs/>
      <w:color w:val="04311E" w:themeColor="accent1" w:themeShade="BF"/>
    </w:rPr>
  </w:style>
  <w:style w:type="character" w:customStyle="1" w:styleId="IntenseQuoteChar">
    <w:name w:val="Intense Quote Char"/>
    <w:basedOn w:val="DefaultParagraphFont"/>
    <w:link w:val="IntenseQuote"/>
    <w:uiPriority w:val="30"/>
    <w:rsid w:val="00C01C04"/>
    <w:rPr>
      <w:i/>
      <w:iCs/>
      <w:color w:val="04311E" w:themeColor="accent1" w:themeShade="BF"/>
    </w:rPr>
  </w:style>
  <w:style w:type="character" w:styleId="SubtleEmphasis">
    <w:name w:val="Subtle Emphasis"/>
    <w:uiPriority w:val="19"/>
    <w:qFormat/>
    <w:rsid w:val="00C01C04"/>
    <w:rPr>
      <w:i/>
      <w:iCs/>
      <w:color w:val="6F6F6F" w:themeColor="text1" w:themeTint="BF"/>
    </w:rPr>
  </w:style>
  <w:style w:type="character" w:styleId="IntenseEmphasis">
    <w:name w:val="Intense Emphasis"/>
    <w:uiPriority w:val="21"/>
    <w:qFormat/>
    <w:rsid w:val="00C01C04"/>
    <w:rPr>
      <w:i/>
      <w:iCs/>
      <w:color w:val="04311E" w:themeColor="accent1" w:themeShade="BF"/>
    </w:rPr>
  </w:style>
  <w:style w:type="character" w:styleId="SubtleReference">
    <w:name w:val="Subtle Reference"/>
    <w:uiPriority w:val="31"/>
    <w:qFormat/>
    <w:rsid w:val="00C01C04"/>
    <w:rPr>
      <w:smallCaps/>
      <w:color w:val="838383" w:themeColor="text1" w:themeTint="A5"/>
    </w:rPr>
  </w:style>
  <w:style w:type="character" w:styleId="IntenseReference">
    <w:name w:val="Intense Reference"/>
    <w:uiPriority w:val="32"/>
    <w:qFormat/>
    <w:rsid w:val="00C01C04"/>
    <w:rPr>
      <w:b/>
      <w:bCs/>
      <w:smallCaps/>
      <w:color w:val="04311E" w:themeColor="accent1" w:themeShade="BF"/>
      <w:spacing w:val="5"/>
    </w:rPr>
  </w:style>
  <w:style w:type="character" w:styleId="BookTitle">
    <w:name w:val="Book Title"/>
    <w:uiPriority w:val="33"/>
    <w:qFormat/>
    <w:rsid w:val="00C01C04"/>
    <w:rPr>
      <w:b/>
      <w:bCs/>
      <w:i/>
      <w:iCs/>
      <w:spacing w:val="5"/>
    </w:rPr>
  </w:style>
  <w:style w:type="paragraph" w:styleId="TOCHeading">
    <w:name w:val="TOC Heading"/>
    <w:basedOn w:val="Heading1"/>
    <w:next w:val="Normal"/>
    <w:uiPriority w:val="39"/>
    <w:semiHidden/>
    <w:unhideWhenUsed/>
    <w:qFormat/>
    <w:rsid w:val="00C01C04"/>
    <w:pPr>
      <w:spacing w:before="240" w:after="0"/>
      <w:outlineLvl w:val="9"/>
    </w:pPr>
    <w:rPr>
      <w:sz w:val="32"/>
      <w:szCs w:val="32"/>
    </w:rPr>
  </w:style>
  <w:style w:type="paragraph" w:styleId="Header">
    <w:name w:val="header"/>
    <w:basedOn w:val="Normal"/>
    <w:next w:val="Normal"/>
    <w:link w:val="HeaderChar"/>
    <w:uiPriority w:val="1"/>
    <w:rsid w:val="00AF5C7F"/>
    <w:pPr>
      <w:tabs>
        <w:tab w:val="center" w:pos="4677"/>
        <w:tab w:val="right" w:pos="9354"/>
      </w:tabs>
      <w:spacing w:after="0" w:line="240" w:lineRule="auto"/>
    </w:pPr>
    <w:rPr>
      <w:color w:val="7C8471"/>
      <w:sz w:val="16"/>
    </w:rPr>
  </w:style>
  <w:style w:type="character" w:customStyle="1" w:styleId="HeaderChar">
    <w:name w:val="Header Char"/>
    <w:basedOn w:val="DefaultParagraphFont"/>
    <w:link w:val="Header"/>
    <w:uiPriority w:val="1"/>
    <w:rsid w:val="007211AC"/>
    <w:rPr>
      <w:rFonts w:ascii="IBM Plex Sans" w:eastAsia="Times New Roman" w:hAnsi="IBM Plex Sans" w:cs="IBM Plex Sans"/>
      <w:color w:val="7C8471"/>
      <w:kern w:val="0"/>
      <w:sz w:val="16"/>
      <w:szCs w:val="22"/>
      <w14:ligatures w14:val="none"/>
    </w:rPr>
  </w:style>
  <w:style w:type="paragraph" w:styleId="Footer">
    <w:name w:val="footer"/>
    <w:basedOn w:val="Normal"/>
    <w:next w:val="Normal"/>
    <w:link w:val="FooterChar"/>
    <w:uiPriority w:val="1"/>
    <w:rsid w:val="00AF5C7F"/>
    <w:pPr>
      <w:tabs>
        <w:tab w:val="center" w:pos="4677"/>
        <w:tab w:val="right" w:pos="9354"/>
      </w:tabs>
      <w:spacing w:after="0" w:line="240" w:lineRule="auto"/>
    </w:pPr>
    <w:rPr>
      <w:color w:val="7C8471"/>
      <w:sz w:val="16"/>
    </w:rPr>
  </w:style>
  <w:style w:type="character" w:customStyle="1" w:styleId="FooterChar">
    <w:name w:val="Footer Char"/>
    <w:basedOn w:val="DefaultParagraphFont"/>
    <w:link w:val="Footer"/>
    <w:uiPriority w:val="1"/>
    <w:rsid w:val="007211AC"/>
    <w:rPr>
      <w:rFonts w:ascii="IBM Plex Sans" w:eastAsia="Times New Roman" w:hAnsi="IBM Plex Sans" w:cs="IBM Plex Sans"/>
      <w:color w:val="7C8471"/>
      <w:kern w:val="0"/>
      <w:sz w:val="16"/>
      <w:szCs w:val="22"/>
      <w14:ligatures w14:val="none"/>
    </w:rPr>
  </w:style>
  <w:style w:type="paragraph" w:customStyle="1" w:styleId="ISCLead">
    <w:name w:val="ISC Lead"/>
    <w:basedOn w:val="Normal"/>
    <w:next w:val="Normal"/>
    <w:uiPriority w:val="1"/>
    <w:qFormat/>
    <w:rsid w:val="00AF5C7F"/>
    <w:pPr>
      <w:spacing w:after="240"/>
    </w:pPr>
    <w:rPr>
      <w:color w:val="064229"/>
      <w:sz w:val="26"/>
    </w:rPr>
  </w:style>
  <w:style w:type="paragraph" w:customStyle="1" w:styleId="ISCLabel">
    <w:name w:val="ISC Label"/>
    <w:basedOn w:val="Normal"/>
    <w:next w:val="Normal"/>
    <w:uiPriority w:val="1"/>
    <w:qFormat/>
    <w:rsid w:val="00AF5C7F"/>
    <w:pPr>
      <w:spacing w:after="60"/>
    </w:pPr>
    <w:rPr>
      <w:rFonts w:ascii="Jost" w:hAnsi="Jost" w:cs="Jost"/>
      <w:b/>
      <w:caps/>
      <w:color w:val="C88A00"/>
      <w:sz w:val="18"/>
    </w:rPr>
  </w:style>
  <w:style w:type="paragraph" w:customStyle="1" w:styleId="ISCData">
    <w:name w:val="ISC Data"/>
    <w:basedOn w:val="Normal"/>
    <w:next w:val="Normal"/>
    <w:uiPriority w:val="1"/>
    <w:qFormat/>
    <w:rsid w:val="00AF5C7F"/>
    <w:pPr>
      <w:spacing w:after="80"/>
    </w:pPr>
    <w:rPr>
      <w:rFonts w:ascii="IBM Plex Mono" w:hAnsi="IBM Plex Mono" w:cs="IBM Plex Mono"/>
      <w:color w:val="064229"/>
      <w:sz w:val="20"/>
    </w:rPr>
  </w:style>
  <w:style w:type="paragraph" w:customStyle="1" w:styleId="ISCCaption">
    <w:name w:val="ISC Caption"/>
    <w:basedOn w:val="Normal"/>
    <w:next w:val="Normal"/>
    <w:uiPriority w:val="1"/>
    <w:qFormat/>
    <w:rsid w:val="00AF5C7F"/>
    <w:pPr>
      <w:spacing w:before="60" w:after="240"/>
    </w:pPr>
    <w:rPr>
      <w:i/>
      <w:color w:val="7C8471"/>
      <w:sz w:val="17"/>
    </w:rPr>
  </w:style>
  <w:style w:type="paragraph" w:customStyle="1" w:styleId="ISCCallout">
    <w:name w:val="ISC Callout"/>
    <w:basedOn w:val="Normal"/>
    <w:next w:val="Normal"/>
    <w:uiPriority w:val="1"/>
    <w:qFormat/>
    <w:rsid w:val="00AF5C7F"/>
    <w:pPr>
      <w:pBdr>
        <w:left w:val="single" w:sz="24" w:space="0" w:color="FFB81D"/>
      </w:pBdr>
      <w:shd w:val="clear" w:color="auto" w:fill="F2F0E9"/>
      <w:spacing w:before="200" w:after="200"/>
      <w:ind w:left="284" w:right="284"/>
    </w:pPr>
    <w:rPr>
      <w:color w:val="064229"/>
    </w:rPr>
  </w:style>
  <w:style w:type="character" w:customStyle="1" w:styleId="ISCMono">
    <w:name w:val="ISC Mono"/>
    <w:uiPriority w:val="1"/>
    <w:qFormat/>
    <w:rsid w:val="00AF5C7F"/>
    <w:rPr>
      <w:rFonts w:ascii="IBM Plex Mono" w:hAnsi="IBM Plex Mono" w:cs="IBM Plex Mono"/>
      <w:color w:val="064229"/>
    </w:rPr>
  </w:style>
  <w:style w:type="character" w:customStyle="1" w:styleId="ISCGoldEmphasis">
    <w:name w:val="ISC Gold Emphasis"/>
    <w:uiPriority w:val="1"/>
    <w:qFormat/>
    <w:rsid w:val="00AF5C7F"/>
    <w:rPr>
      <w:b/>
      <w:color w:val="C88A00"/>
    </w:rPr>
  </w:style>
  <w:style w:type="table" w:customStyle="1" w:styleId="ISCRacingTable">
    <w:name w:val="ISC Racing Table"/>
    <w:basedOn w:val="TableNormal"/>
    <w:uiPriority w:val="99"/>
    <w:qFormat/>
    <w:rsid w:val="00AF5C7F"/>
    <w:rPr>
      <w:rFonts w:ascii="IBM Plex Sans" w:eastAsia="Times New Roman" w:hAnsi="IBM Plex Sans" w:cs="IBM Plex Sans"/>
      <w:color w:val="404040"/>
      <w:kern w:val="0"/>
      <w:sz w:val="20"/>
      <w:szCs w:val="20"/>
      <w14:ligatures w14:val="none"/>
    </w:rPr>
    <w:tblPr>
      <w:tblStyleRowBandSize w:val="1"/>
      <w:tblStyleColBandSize w:val="1"/>
      <w:tblBorders>
        <w:top w:val="single" w:sz="8" w:space="0" w:color="064229"/>
        <w:bottom w:val="single" w:sz="8" w:space="0" w:color="064229"/>
        <w:insideH w:val="single" w:sz="4" w:space="0" w:color="C7D3CB"/>
      </w:tblBorders>
      <w:tblCellMar>
        <w:top w:w="70" w:type="dxa"/>
        <w:left w:w="115" w:type="dxa"/>
        <w:bottom w:w="70" w:type="dxa"/>
        <w:right w:w="115" w:type="dxa"/>
      </w:tblCellMar>
    </w:tblPr>
    <w:tblStylePr w:type="firstRow">
      <w:rPr>
        <w:rFonts w:ascii="Jost" w:hAnsi="Jost" w:cs="Jost"/>
        <w:b/>
        <w:color w:val="FFFFFF"/>
        <w:sz w:val="20"/>
      </w:rPr>
      <w:tblPr/>
      <w:tcPr>
        <w:tcBorders>
          <w:bottom w:val="single" w:sz="12" w:space="0" w:color="FFB81D"/>
        </w:tcBorders>
        <w:shd w:val="clear" w:color="auto" w:fill="064229"/>
      </w:tcPr>
    </w:tblStylePr>
    <w:tblStylePr w:type="lastRow">
      <w:rPr>
        <w:b/>
        <w:color w:val="064229"/>
      </w:rPr>
      <w:tblPr/>
      <w:tcPr>
        <w:tcBorders>
          <w:top w:val="single" w:sz="8" w:space="0" w:color="064229"/>
        </w:tcBorders>
      </w:tcPr>
    </w:tblStylePr>
    <w:tblStylePr w:type="firstCol">
      <w:rPr>
        <w:b/>
        <w:color w:val="064229"/>
      </w:rPr>
    </w:tblStylePr>
    <w:tblStylePr w:type="band1Horz">
      <w:tblPr/>
      <w:tcPr>
        <w:shd w:val="clear" w:color="auto" w:fill="F2F0E9"/>
      </w:tcPr>
    </w:tblStylePr>
  </w:style>
  <w:style w:type="table" w:customStyle="1" w:styleId="ISCGoldHeaderTable">
    <w:name w:val="ISC Gold Header Table"/>
    <w:basedOn w:val="TableNormal"/>
    <w:uiPriority w:val="99"/>
    <w:qFormat/>
    <w:rsid w:val="007211AC"/>
    <w:pPr>
      <w:spacing w:after="0" w:line="240" w:lineRule="atLeast"/>
    </w:pPr>
    <w:rPr>
      <w:rFonts w:ascii="IBM Plex Sans" w:eastAsia="Times New Roman" w:hAnsi="IBM Plex Sans" w:cs="IBM Plex Sans"/>
      <w:color w:val="404040"/>
      <w:kern w:val="0"/>
      <w:sz w:val="20"/>
      <w:szCs w:val="20"/>
      <w14:ligatures w14:val="none"/>
    </w:rPr>
    <w:tblPr>
      <w:tblStyleRowBandSize w:val="1"/>
      <w:tblStyleColBandSize w:val="1"/>
      <w:tblBorders>
        <w:top w:val="single" w:sz="8" w:space="0" w:color="404040"/>
        <w:bottom w:val="single" w:sz="8" w:space="0" w:color="404040"/>
        <w:insideH w:val="single" w:sz="4" w:space="0" w:color="D9D9D9"/>
        <w:insideV w:val="single" w:sz="4" w:space="0" w:color="D9D9D9"/>
      </w:tblBorders>
      <w:tblCellMar>
        <w:top w:w="85" w:type="dxa"/>
        <w:left w:w="115" w:type="dxa"/>
        <w:bottom w:w="85" w:type="dxa"/>
        <w:right w:w="115" w:type="dxa"/>
      </w:tblCellMar>
    </w:tblPr>
    <w:tblStylePr w:type="firstRow">
      <w:rPr>
        <w:rFonts w:ascii="Jost" w:hAnsi="Jost" w:cs="Jost"/>
        <w:b/>
        <w:color w:val="404040"/>
        <w:sz w:val="20"/>
      </w:rPr>
      <w:tblPr/>
      <w:tcPr>
        <w:tcBorders>
          <w:bottom w:val="single" w:sz="12" w:space="0" w:color="404040"/>
        </w:tcBorders>
        <w:shd w:val="clear" w:color="auto" w:fill="FFB81D"/>
      </w:tcPr>
    </w:tblStylePr>
    <w:tblStylePr w:type="firstCol">
      <w:rPr>
        <w:b/>
        <w:color w:val="404040"/>
      </w:rPr>
    </w:tblStylePr>
    <w:tblStylePr w:type="band1Horz">
      <w:tblPr/>
      <w:tcPr>
        <w:shd w:val="clear" w:color="auto" w:fill="FFF7E4"/>
      </w:tcPr>
    </w:tblStylePr>
  </w:style>
  <w:style w:type="table" w:customStyle="1" w:styleId="ISCSpecTable">
    <w:name w:val="ISC Spec Table"/>
    <w:basedOn w:val="TableNormal"/>
    <w:uiPriority w:val="99"/>
    <w:qFormat/>
    <w:rsid w:val="00AF5C7F"/>
    <w:rPr>
      <w:rFonts w:ascii="IBM Plex Sans" w:eastAsia="Times New Roman" w:hAnsi="IBM Plex Sans" w:cs="IBM Plex Sans"/>
      <w:color w:val="404040"/>
      <w:kern w:val="0"/>
      <w:sz w:val="20"/>
      <w:szCs w:val="20"/>
      <w14:ligatures w14:val="none"/>
    </w:rPr>
    <w:tblPr>
      <w:tblStyleRowBandSize w:val="1"/>
      <w:tblStyleColBandSize w:val="1"/>
      <w:tblBorders>
        <w:top w:val="single" w:sz="12" w:space="0" w:color="064229"/>
        <w:bottom w:val="single" w:sz="12" w:space="0" w:color="064229"/>
        <w:insideH w:val="single" w:sz="2" w:space="0" w:color="DDE3DE"/>
      </w:tblBorders>
      <w:tblCellMar>
        <w:top w:w="70" w:type="dxa"/>
        <w:left w:w="115" w:type="dxa"/>
        <w:bottom w:w="70" w:type="dxa"/>
        <w:right w:w="115" w:type="dxa"/>
      </w:tblCellMar>
    </w:tblPr>
    <w:tblStylePr w:type="firstRow">
      <w:rPr>
        <w:rFonts w:ascii="Jost" w:hAnsi="Jost" w:cs="Jost"/>
        <w:b/>
        <w:caps/>
        <w:color w:val="064229"/>
        <w:sz w:val="17"/>
      </w:rPr>
      <w:tblPr/>
      <w:tcPr>
        <w:tcBorders>
          <w:bottom w:val="single" w:sz="6" w:space="0" w:color="064229"/>
        </w:tcBorders>
      </w:tcPr>
    </w:tblStylePr>
    <w:tblStylePr w:type="lastCol">
      <w:rPr>
        <w:rFonts w:ascii="IBM Plex Mono" w:hAnsi="IBM Plex Mono" w:cs="IBM Plex Mono"/>
        <w:color w:val="064229"/>
      </w:rPr>
    </w:tblStylePr>
  </w:style>
  <w:style w:type="table" w:styleId="TableGrid">
    <w:name w:val="Table Grid"/>
    <w:basedOn w:val="TableNormal"/>
    <w:uiPriority w:val="39"/>
    <w:rsid w:val="00721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CTableText">
    <w:name w:val="ISC Table Text"/>
    <w:basedOn w:val="Normal"/>
    <w:uiPriority w:val="1"/>
    <w:qFormat/>
    <w:rsid w:val="00AF5C7F"/>
    <w:pPr>
      <w:spacing w:after="0" w:line="240" w:lineRule="auto"/>
    </w:pPr>
    <w:rPr>
      <w:sz w:val="20"/>
    </w:rPr>
  </w:style>
  <w:style w:type="paragraph" w:customStyle="1" w:styleId="ISCCoverMeta">
    <w:name w:val="ISC Cover Meta"/>
    <w:basedOn w:val="Normal"/>
    <w:uiPriority w:val="1"/>
    <w:qFormat/>
    <w:rsid w:val="00AF5C7F"/>
    <w:pPr>
      <w:tabs>
        <w:tab w:val="left" w:pos="3000"/>
      </w:tabs>
      <w:spacing w:after="60" w:line="240" w:lineRule="auto"/>
    </w:pPr>
    <w:rPr>
      <w:color w:val="F2F0E9"/>
      <w:sz w:val="21"/>
    </w:rPr>
  </w:style>
  <w:style w:type="paragraph" w:customStyle="1" w:styleId="ISCNotice">
    <w:name w:val="ISC Notice"/>
    <w:basedOn w:val="Normal"/>
    <w:uiPriority w:val="1"/>
    <w:rsid w:val="00AF5C7F"/>
    <w:pPr>
      <w:spacing w:after="0" w:line="240" w:lineRule="auto"/>
    </w:pPr>
    <w:rPr>
      <w:color w:val="C7D3CB"/>
      <w:sz w:val="15"/>
    </w:rPr>
  </w:style>
  <w:style w:type="table" w:customStyle="1" w:styleId="ISCLightTable">
    <w:name w:val="ISC Light Table"/>
    <w:basedOn w:val="TableNormal"/>
    <w:uiPriority w:val="99"/>
    <w:qFormat/>
    <w:rsid w:val="00AF5C7F"/>
    <w:rPr>
      <w:rFonts w:ascii="IBM Plex Sans" w:eastAsia="Times New Roman" w:hAnsi="IBM Plex Sans" w:cs="IBM Plex Sans"/>
      <w:color w:val="404040"/>
      <w:kern w:val="0"/>
      <w:sz w:val="20"/>
      <w:szCs w:val="20"/>
      <w14:ligatures w14:val="none"/>
    </w:rPr>
    <w:tblPr>
      <w:tblStyleRowBandSize w:val="1"/>
      <w:tblStyleColBandSize w:val="1"/>
      <w:tblBorders>
        <w:top w:val="single" w:sz="8" w:space="0" w:color="064229"/>
        <w:bottom w:val="single" w:sz="8" w:space="0" w:color="064229"/>
        <w:insideH w:val="single" w:sz="2" w:space="0" w:color="DCE0DA"/>
      </w:tblBorders>
      <w:tblCellMar>
        <w:top w:w="70" w:type="dxa"/>
        <w:left w:w="115" w:type="dxa"/>
        <w:bottom w:w="70" w:type="dxa"/>
        <w:right w:w="115" w:type="dxa"/>
      </w:tblCellMar>
    </w:tblPr>
    <w:tblStylePr w:type="firstRow">
      <w:rPr>
        <w:rFonts w:ascii="Jost" w:hAnsi="Jost" w:cs="Jost"/>
        <w:b/>
        <w:color w:val="064229"/>
        <w:sz w:val="19"/>
      </w:rPr>
      <w:tblPr/>
      <w:tcPr>
        <w:tcBorders>
          <w:bottom w:val="single" w:sz="8" w:space="0" w:color="FFB81D"/>
        </w:tcBorders>
      </w:tcPr>
    </w:tblStylePr>
    <w:tblStylePr w:type="lastRow">
      <w:tblPr/>
      <w:tcPr>
        <w:tcBorders>
          <w:top w:val="single" w:sz="4" w:space="0" w:color="DCE0DA"/>
        </w:tcBorders>
      </w:tcPr>
    </w:tblStylePr>
    <w:tblStylePr w:type="firstCol">
      <w:rPr>
        <w:b/>
        <w:color w:val="064229"/>
      </w:rPr>
    </w:tblStylePr>
  </w:style>
  <w:style w:type="character" w:styleId="LineNumber">
    <w:name w:val="line number"/>
    <w:basedOn w:val="DefaultParagraphFont"/>
    <w:uiPriority w:val="99"/>
    <w:semiHidden/>
    <w:unhideWhenUsed/>
    <w:rsid w:val="007211AC"/>
  </w:style>
  <w:style w:type="paragraph" w:customStyle="1" w:styleId="ISCCoverTitle">
    <w:name w:val="ISC Cover Title"/>
    <w:basedOn w:val="Normal"/>
    <w:next w:val="Normal"/>
    <w:qFormat/>
    <w:rsid w:val="00AF5C7F"/>
    <w:pPr>
      <w:spacing w:after="120" w:line="240" w:lineRule="auto"/>
    </w:pPr>
    <w:rPr>
      <w:rFonts w:ascii="Jost" w:hAnsi="Jost" w:cs="Jost"/>
      <w:b/>
      <w:color w:val="F2F0E9"/>
      <w:sz w:val="80"/>
      <w:szCs w:val="80"/>
    </w:rPr>
  </w:style>
  <w:style w:type="paragraph" w:customStyle="1" w:styleId="ISCCoverSubtitle">
    <w:name w:val="ISC Cover Subtitle"/>
    <w:basedOn w:val="Normal"/>
    <w:next w:val="Normal"/>
    <w:qFormat/>
    <w:rsid w:val="00AF5C7F"/>
    <w:pPr>
      <w:spacing w:before="120" w:after="360" w:line="240" w:lineRule="auto"/>
    </w:pPr>
    <w:rPr>
      <w:rFonts w:ascii="Jost" w:hAnsi="Jost" w:cs="Jost"/>
      <w:color w:val="FFB81D"/>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ISC Formula Student">
  <a:themeElements>
    <a:clrScheme name="ISC">
      <a:dk1>
        <a:srgbClr val="404040"/>
      </a:dk1>
      <a:lt1>
        <a:srgbClr val="FFFFFF"/>
      </a:lt1>
      <a:dk2>
        <a:srgbClr val="064229"/>
      </a:dk2>
      <a:lt2>
        <a:srgbClr val="F2F0E9"/>
      </a:lt2>
      <a:accent1>
        <a:srgbClr val="064229"/>
      </a:accent1>
      <a:accent2>
        <a:srgbClr val="FFB81D"/>
      </a:accent2>
      <a:accent3>
        <a:srgbClr val="404040"/>
      </a:accent3>
      <a:accent4>
        <a:srgbClr val="0E6B41"/>
      </a:accent4>
      <a:accent5>
        <a:srgbClr val="C88A00"/>
      </a:accent5>
      <a:accent6>
        <a:srgbClr val="7C8471"/>
      </a:accent6>
      <a:hlink>
        <a:srgbClr val="0E6B41"/>
      </a:hlink>
      <a:folHlink>
        <a:srgbClr val="8A6D1F"/>
      </a:folHlink>
    </a:clrScheme>
    <a:fontScheme name="ISC">
      <a:majorFont>
        <a:latin typeface="Jost"/>
        <a:ea typeface=""/>
        <a:cs typeface=""/>
      </a:majorFont>
      <a:minorFont>
        <a:latin typeface="IBM Plex Sans"/>
        <a:ea typeface=""/>
        <a:cs typeface=""/>
      </a:minorFont>
    </a:fontScheme>
    <a:fmtScheme name="ISC">
      <a:fillStyleLst>
        <a:solidFill>
          <a:schemeClr val="phClr"/>
        </a:solidFill>
        <a:solidFill>
          <a:schemeClr val="phClr">
            <a:tint val="60000"/>
          </a:schemeClr>
        </a:solidFill>
        <a:solidFill>
          <a:schemeClr val="phClr">
            <a:shade val="80000"/>
          </a:scheme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solidFill>
          <a:schemeClr val="phClr">
            <a:shade val="90000"/>
          </a:scheme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AB961E-8232-BC45-9370-81D77A1D8E43}">
  <we:reference id="WA200010453" version="1.0.0.1" store="Omex" storeType="OMEX"/>
  <we:alternateReferences>
    <we:reference id="WA200010453" version="1.0.0.1" store="WA200010453" storeType="OMEX"/>
  </we:alternateReferences>
  <we:properties>
    <we:property name="claude.fileId" value="&quot;4dfe70b2-8404-41bb-9717-bba911ee838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F2BC7D7789204786E3323CD1956AD4" ma:contentTypeVersion="15" ma:contentTypeDescription="Create a new document." ma:contentTypeScope="" ma:versionID="3acba364c3749b1dc1dbbcc3336737dd">
  <xsd:schema xmlns:xsd="http://www.w3.org/2001/XMLSchema" xmlns:xs="http://www.w3.org/2001/XMLSchema" xmlns:p="http://schemas.microsoft.com/office/2006/metadata/properties" xmlns:ns2="3e1eb669-454f-4d3a-b30d-abccb448f9ab" xmlns:ns3="491c2c03-cf4e-448a-a2b3-a048bc92c678" targetNamespace="http://schemas.microsoft.com/office/2006/metadata/properties" ma:root="true" ma:fieldsID="bd0cbfb7f56714370be20e69d74ac590" ns2:_="" ns3:_="">
    <xsd:import namespace="3e1eb669-454f-4d3a-b30d-abccb448f9ab"/>
    <xsd:import namespace="491c2c03-cf4e-448a-a2b3-a048bc92c6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eb669-454f-4d3a-b30d-abccb448f9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f9a7d71-2540-4888-9211-9438fa20537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1c2c03-cf4e-448a-a2b3-a048bc92c67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eb669-454f-4d3a-b30d-abccb448f9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50076C-9929-43DF-992A-A538E57F671A}"/>
</file>

<file path=customXml/itemProps2.xml><?xml version="1.0" encoding="utf-8"?>
<ds:datastoreItem xmlns:ds="http://schemas.openxmlformats.org/officeDocument/2006/customXml" ds:itemID="{AD1CECD1-6CF2-4739-8349-770F34899E9C}"/>
</file>

<file path=customXml/itemProps3.xml><?xml version="1.0" encoding="utf-8"?>
<ds:datastoreItem xmlns:ds="http://schemas.openxmlformats.org/officeDocument/2006/customXml" ds:itemID="{AC4E2BE9-2313-4E5C-B738-770F9737624F}"/>
</file>

<file path=docProps/app.xml><?xml version="1.0" encoding="utf-8"?>
<Properties xmlns="http://schemas.openxmlformats.org/officeDocument/2006/extended-properties" xmlns:vt="http://schemas.openxmlformats.org/officeDocument/2006/docPropsVTypes">
  <Template>Normal.dotm</Template>
  <TotalTime>1</TotalTime>
  <Pages>2</Pages>
  <Words>18</Words>
  <Characters>137</Characters>
  <Application>Microsoft Office Word</Application>
  <DocSecurity>0</DocSecurity>
  <Lines>17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Order: MainLite</dc:title>
  <dc:subject/>
  <dc:creator>Raúl Morán</dc:creator>
  <cp:keywords/>
  <dc:description/>
  <cp:lastModifiedBy>Raúl Morán</cp:lastModifiedBy>
  <cp:revision>2</cp:revision>
  <dcterms:created xsi:type="dcterms:W3CDTF">2026-10-06T12:00:00Z</dcterms:created>
  <dcterms:modified xsi:type="dcterms:W3CDTF">2026-10-06T12:00:00Z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0x010100F9F2BC7D7789204786E3323CD1956AD4</vt:lpwstr>
  </property>
</Properties>
</file>