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FDCE9C" w14:textId="1857BDD6" w:rsidR="00AF5C7F" w:rsidRDefault="000B17FB" w:rsidP="00241011">
      <w:pPr>
        <w:spacing w:before="560" w:after="0" w:line="240" w:lineRule="auto"/>
      </w:pPr>
      <w:r>
        <w:pict w14:anchorId="01582B69">
          <v:rect id="CoverPanel" o:spid="_x0000_s2051" alt="" style="position:absolute;margin-left:0;margin-top:0;width:595.5pt;height:842.5pt;z-index:-251657216;mso-wrap-edited:f;mso-width-percent:0;mso-height-percent:0;mso-position-horizontal:left;mso-position-horizontal-relative:page;mso-position-vertical:top;mso-position-vertical-relative:page;mso-width-percent:0;mso-height-percent:0" fillcolor="#064229" stroked="f">
            <w10:wrap anchorx="page" anchory="page"/>
          </v:rect>
        </w:pict>
      </w:r>
      <w:r>
        <w:pict w14:anchorId="73DE3B27">
          <v:rect id="CoverNotice" o:spid="_x0000_s2050" alt="" style="position:absolute;margin-left:63.8pt;margin-top:735pt;width:467pt;height:50pt;z-index:251660288;mso-wrap-style:square;mso-wrap-edited:f;mso-width-percent:0;mso-height-percent:0;mso-position-horizontal-relative:page;mso-position-vertical-relative:page;mso-width-percent:0;mso-height-percent:0;v-text-anchor:top" filled="f" stroked="f">
            <v:textbox inset="0,0,0,0">
              <w:txbxContent>
                <w:p w14:paraId="3468C7B7" w14:textId="77777777" w:rsidR="00AF5C7F" w:rsidRDefault="00AF5C7F">
                  <w:pPr>
                    <w:pStyle w:val="ISCNotice"/>
                  </w:pPr>
                  <w:r>
                    <w:t>CONFIDENTIALITY NOTICE: the contents of this document are intended solely for use within the team and its members, may contain confidential or privileged information and may be legally protected from disclosure.</w:t>
                  </w:r>
                </w:p>
              </w:txbxContent>
            </v:textbox>
            <w10:wrap anchorx="page" anchory="page"/>
          </v:rect>
        </w:pict>
      </w:r>
    </w:p>
    <w:p w14:paraId="33B58B7B" w14:textId="68834D63" w:rsidR="00241011" w:rsidRDefault="00241011">
      <w:pPr>
        <w:pStyle w:val="ISCCoverSubtitle"/>
        <w:spacing w:before="2600" w:after="0"/>
      </w:pPr>
    </w:p>
    <w:p w14:paraId="1E8E93FC" w14:textId="77777777" w:rsidR="00241011" w:rsidRDefault="00241011">
      <w:pPr>
        <w:pStyle w:val="ISCCoverSubtitle"/>
        <w:spacing w:before="0" w:after="200"/>
      </w:pPr>
    </w:p>
    <w:p w14:paraId="1EFCD216" w14:textId="77777777" w:rsidR="00241011" w:rsidRDefault="00241011">
      <w:pPr>
        <w:pStyle w:val="ISCCoverSubtitle"/>
        <w:spacing w:before="0" w:after="200"/>
      </w:pPr>
    </w:p>
    <w:p w14:paraId="7B7579B1" w14:textId="45D203C2" w:rsidR="00241011" w:rsidRDefault="00241011">
      <w:pPr>
        <w:pStyle w:val="ISCCoverSubtitle"/>
        <w:spacing w:before="0" w:after="200"/>
      </w:pPr>
      <w:r w:rsidRPr="00241011">
        <w:rPr>
          <w:rFonts w:ascii="Aptos" w:hAnsi="Aptos" w:cs="Times New Roman"/>
          <w:noProof/>
          <w:color w:val="auto"/>
          <w:kern w:val="2"/>
          <w:sz w:val="24"/>
          <w:szCs w:val="24"/>
          <w14:ligatures w14:val="standardContextual"/>
        </w:rPr>
        <w:drawing>
          <wp:inline distT="0" distB="0" distL="0" distR="0" wp14:anchorId="24E7008C" wp14:editId="5FE893FC">
            <wp:extent cx="4829795" cy="1843315"/>
            <wp:effectExtent l="0" t="0" r="0" b="0"/>
            <wp:docPr id="345014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14670" name="Picture 3450146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65018" cy="1856758"/>
                    </a:xfrm>
                    <a:prstGeom prst="rect">
                      <a:avLst/>
                    </a:prstGeom>
                  </pic:spPr>
                </pic:pic>
              </a:graphicData>
            </a:graphic>
          </wp:inline>
        </w:drawing>
      </w:r>
    </w:p>
    <w:p w14:paraId="7DA1D1C3" w14:textId="77777777" w:rsidR="00241011" w:rsidRDefault="00241011">
      <w:pPr>
        <w:pStyle w:val="ISCCoverSubtitle"/>
        <w:spacing w:before="0" w:after="200"/>
      </w:pPr>
    </w:p>
    <w:p w14:paraId="2727B663" w14:textId="33E1EF30" w:rsidR="00AF5C7F" w:rsidRDefault="00AF5C7F">
      <w:pPr>
        <w:pStyle w:val="ISCCoverSubtitle"/>
        <w:spacing w:before="0" w:after="200"/>
      </w:pPr>
      <w:r>
        <w:t>Season 2026/2027</w:t>
      </w:r>
    </w:p>
    <w:p w14:paraId="398CC2CA" w14:textId="12DA9C83" w:rsidR="00AF5C7F" w:rsidRDefault="00241011">
      <w:pPr>
        <w:pStyle w:val="ISCCoverTitle"/>
        <w:spacing w:after="0"/>
      </w:pPr>
      <w:r>
        <w:t>Work Order – IFS09 Telemetry Receiver</w:t>
      </w:r>
    </w:p>
    <w:p w14:paraId="68199C84" w14:textId="404A1231" w:rsidR="00AF5C7F" w:rsidRDefault="00AF5C7F">
      <w:pPr>
        <w:pStyle w:val="ISCCoverMeta"/>
        <w:spacing w:before="700" w:after="80"/>
      </w:pPr>
      <w:r>
        <w:rPr>
          <w:rFonts w:ascii="Jost" w:hAnsi="Jost"/>
          <w:b/>
          <w:color w:val="FFB81D"/>
          <w:sz w:val="24"/>
        </w:rPr>
        <w:t>Department: Electronics</w:t>
      </w:r>
      <w:r w:rsidR="00241011">
        <w:rPr>
          <w:sz w:val="24"/>
        </w:rPr>
      </w:r>
    </w:p>
    <w:p w14:paraId="39966BB0" w14:textId="2399D18C" w:rsidR="00AF5C7F" w:rsidRDefault="00AF5C7F">
      <w:pPr>
        <w:pStyle w:val="ISCCoverMeta"/>
        <w:spacing w:after="80"/>
      </w:pPr>
      <w:r>
        <w:rPr>
          <w:rFonts w:ascii="Jost" w:hAnsi="Jost"/>
          <w:b/>
          <w:color w:val="FFB81D"/>
          <w:sz w:val="24"/>
        </w:rPr>
        <w:t>Author: Andrés Sánchez de Ágreda</w:t>
      </w:r>
      <w:r w:rsidR="00241011">
        <w:rPr>
          <w:sz w:val="24"/>
        </w:rPr>
      </w:r>
    </w:p>
    <w:p w14:paraId="5AAE22D1" w14:textId="05D1867D" w:rsidR="00AF5C7F" w:rsidRPr="00B14936" w:rsidRDefault="00AF5C7F">
      <w:pPr>
        <w:pStyle w:val="ISCCoverMeta"/>
        <w:spacing w:after="80"/>
        <w:rPr>
          <w:sz w:val="24"/>
        </w:rPr>
      </w:pPr>
      <w:r w:rsidRPr="00B14936">
        <w:rPr>
          <w:rFonts w:ascii="Jost" w:hAnsi="Jost"/>
          <w:b/>
          <w:color w:val="FFB81D"/>
          <w:sz w:val="24"/>
        </w:rPr>
        <w:t>Date: 3 September 2026</w:t>
      </w:r>
      <w:r w:rsidR="00B14936" w:rsidRPr="00C67160">
        <w:rPr>
          <w:noProof/>
          <w:color w:val="FFFFFF" w:themeColor="background1"/>
          <w:sz w:val="24"/>
        </w:rPr>
      </w:r>
      <w:r w:rsidR="00B14936" w:rsidRPr="00C67160">
        <w:rPr>
          <w:rFonts w:ascii="Jost" w:hAnsi="Jost"/>
          <w:color w:val="FFFFFF" w:themeColor="background1"/>
          <w:sz w:val="24"/>
        </w:rPr>
      </w:r>
      <w:r w:rsidR="00B14936" w:rsidRPr="00C67160">
        <w:rPr>
          <w:noProof/>
          <w:color w:val="FFFFFF" w:themeColor="background1"/>
          <w:sz w:val="24"/>
        </w:rPr>
      </w:r>
      <w:r w:rsidR="00B14936" w:rsidRPr="00C67160">
        <w:rPr>
          <w:rFonts w:ascii="Jost" w:hAnsi="Jost"/>
          <w:noProof/>
          <w:color w:val="FFFFFF" w:themeColor="background1"/>
          <w:sz w:val="24"/>
        </w:rPr>
      </w:r>
      <w:r w:rsidR="00B14936" w:rsidRPr="00C67160">
        <w:rPr>
          <w:noProof/>
          <w:color w:val="FFFFFF" w:themeColor="background1"/>
          <w:sz w:val="24"/>
        </w:rPr>
      </w:r>
    </w:p>
    <w:p w14:paraId="657A8AA2" w14:textId="656F97B1" w:rsidR="00AF5C7F" w:rsidRDefault="00AF5C7F">
      <w:pPr>
        <w:pStyle w:val="ISCCoverMeta"/>
        <w:spacing w:after="80"/>
      </w:pPr>
      <w:r>
        <w:rPr>
          <w:rFonts w:ascii="Jost" w:hAnsi="Jost"/>
          <w:b/>
          <w:color w:val="FFB81D"/>
          <w:sz w:val="24"/>
        </w:rPr>
        <w:t>Revision: Revision 1</w:t>
      </w:r>
      <w:r w:rsidR="00241011">
        <w:rPr>
          <w:sz w:val="24"/>
        </w:rPr>
      </w:r>
    </w:p>
    <w:p w14:paraId="29255978" w14:textId="77777777" w:rsidR="00AF5C7F" w:rsidRDefault="00AF5C7F">
      <w:pPr>
        <w:sectPr w:rsidR="00AF5C7F" w:rsidSect="00AF5C7F">
          <w:headerReference w:type="even" r:id="rId7"/>
          <w:headerReference w:type="default" r:id="rId8"/>
          <w:footerReference w:type="even" r:id="rId9"/>
          <w:footerReference w:type="default" r:id="rId10"/>
          <w:headerReference w:type="first" r:id="rId11"/>
          <w:footerReference w:type="first" r:id="rId12"/>
          <w:pgSz w:w="11906" w:h="16838"/>
          <w:pgMar w:top="1418" w:right="1276" w:bottom="1418" w:left="1276" w:header="624" w:footer="624" w:gutter="0"/>
          <w:cols w:space="720"/>
        </w:sectPr>
      </w:pPr>
    </w:p>
    <w:p w14:paraId="69AD16B9" w14:textId="7B4938C5" w:rsidR="00AF5C7F" w:rsidRPr="00241011" w:rsidRDefault="00AF5C7F" w:rsidP="00241011">
      <w:pPr>
        <w:pStyle w:val="ISCLabel"/>
      </w:pPr>
      <w:r>
        <w:t>DOCUMENT ID: WO-IFS09-TEL-001  |  PROJECT: FORMULA STUDENT — IFS09 TELEMETRY SYSTEM</w:t>
      </w:r>
    </w:p>
    <w:p>
      <w:pPr>
        <w:pStyle w:val="Heading1"/>
        <w:keepNext/>
        <w:spacing w:before="320" w:after="80"/>
      </w:pPr>
      <w:r>
        <w:rPr>
          <w:rFonts w:ascii="Jost" w:hAnsi="Jost"/>
          <w:color w:val="064229"/>
        </w:rPr>
        <w:t>1. Executive Summary &amp; Functional Description</w:t>
      </w:r>
    </w:p>
    <w:p>
      <w:pPr>
        <w:pStyle w:val="Heading2"/>
        <w:keepNext/>
        <w:spacing w:before="240" w:after="60"/>
      </w:pPr>
      <w:r>
        <w:rPr>
          <w:rFonts w:ascii="Jost" w:hAnsi="Jost"/>
          <w:color w:val="064229"/>
        </w:rPr>
        <w:t>1.1 Purpose</w:t>
      </w:r>
    </w:p>
    <w:p>
      <w:pPr>
        <w:spacing w:before="0" w:after="80" w:line="276" w:lineRule="auto"/>
      </w:pPr>
      <w:r>
        <w:rPr>
          <w:rFonts w:ascii="IBM Plex Sans" w:hAnsi="IBM Plex Sans"/>
          <w:i w:val="0"/>
          <w:color w:val="404040"/>
          <w:sz w:val="21"/>
        </w:rPr>
        <w:t>The purpose of this Work Order is to define the architectural specifications, hardware design requirements, manufacturing constraints, and validation test procedures for the IFS09 Telemetry Receiver Board. This custom PCB functions as the ground-station telemetry receiver responsible for capturing real-time vehicle dynamics, powertrain diagnostics, and battery management data transmitted by the IFS09 race car, and forwarding this telemetry stream to a ground station computer over USB-Serial.</w:t>
      </w:r>
    </w:p>
    <w:p>
      <w:pPr>
        <w:pStyle w:val="Heading2"/>
        <w:keepNext/>
        <w:spacing w:before="240" w:after="60"/>
      </w:pPr>
      <w:r>
        <w:rPr>
          <w:rFonts w:ascii="Jost" w:hAnsi="Jost"/>
          <w:color w:val="064229"/>
        </w:rPr>
        <w:t>1.2 System Overview &amp; Operating Principle</w:t>
      </w:r>
    </w:p>
    <w:p>
      <w:pPr>
        <w:spacing w:before="0" w:after="80" w:line="276" w:lineRule="auto"/>
      </w:pPr>
      <w:r>
        <w:rPr>
          <w:rFonts w:ascii="IBM Plex Sans" w:hAnsi="IBM Plex Sans"/>
          <w:i w:val="0"/>
          <w:color w:val="404040"/>
          <w:sz w:val="21"/>
        </w:rPr>
        <w:t>The receiver board interfaces two primary active modules: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Processing &amp; USB Interface Unit (Arduino Nano 3.0 with USB-C):</w:t>
      </w:r>
      <w:r>
        <w:rPr>
          <w:rFonts w:ascii="IBM Plex Sans" w:hAnsi="IBM Plex Sans"/>
          <w:color w:val="404040"/>
          <w:sz w:val="21"/>
        </w:rPr>
        <w:t xml:space="preserve"> Employs an ATmega328P 8-bit microcontroller operating at 16 MHz with 5V logic. It manages SPI transactions with the wireless transceiver, unpacks telemetry payload frames, verifies data integrity, and streams raw telemetry packets to a ground PC over a high-speed UART-to-USB-C bridge (e.g., CH340X or FTDI / CP2102). It serves as the primary 5V power distribution node received via the USB-C bus.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Long-Range RF Transceiver (nRF24L01+ PA + LNA Module):</w:t>
      </w:r>
      <w:r>
        <w:rPr>
          <w:rFonts w:ascii="IBM Plex Sans" w:hAnsi="IBM Plex Sans"/>
          <w:color w:val="404040"/>
          <w:sz w:val="21"/>
        </w:rPr>
        <w:t xml:space="preserve"> Operates in the 2.4 GHz ISM band using GFSK modulation with integrated Power Amplifier (PA) and Low-Noise Amplifier (LNA) for enhanced link margin and receiver sensitivity (up to -95 dBm @ 250 kbps). It is driven via hardware SPI (MOSI, MISO, SCK) with dedicated GPIOs for Chip Enable (CE) and Chip Select Not (CSN), with an optional Interrupt Request line (IRQ). It requires a clean, decoupled 3.3V power rail capable of supplying peak burst currents (up to ~115–150 mA) without causing brownout or packet drops.</w:t>
      </w:r>
    </w:p>
    <w:p>
      <w:pPr>
        <w:pStyle w:val="Heading1"/>
        <w:keepNext/>
        <w:spacing w:before="320" w:after="80"/>
      </w:pPr>
      <w:r>
        <w:rPr>
          <w:rFonts w:ascii="Jost" w:hAnsi="Jost"/>
          <w:color w:val="064229"/>
        </w:rPr>
        <w:t>2. System Architecture &amp; Block Diagram</w:t>
      </w:r>
    </w:p>
    <w:p>
      <w:pPr>
        <w:spacing w:before="0" w:after="80" w:line="276" w:lineRule="auto"/>
      </w:pPr>
      <w:r>
        <w:rPr>
          <w:rFonts w:ascii="IBM Plex Sans" w:hAnsi="IBM Plex Sans"/>
          <w:i w:val="0"/>
          <w:color w:val="404040"/>
          <w:sz w:val="21"/>
        </w:rPr>
        <w:t>The diagram area below is reserved for the system architecture, power tree, and schematic block overview:</w:t>
      </w:r>
    </w:p>
    <w:tbl>
      <w:tblPr>
        <w:tblW w:type="auto" w:w="0"/>
        <w:jc w:val="center"/>
        <w:tblLook w:firstColumn="1" w:firstRow="1" w:lastColumn="0" w:lastRow="0" w:noHBand="0" w:noVBand="1" w:val="04A0"/>
        <w:tblBorders>
          <w:top w:val="single" w:sz="6" w:space="0" w:color="064229"/>
          <w:left w:val="single" w:sz="6" w:space="0" w:color="064229"/>
          <w:bottom w:val="single" w:sz="6" w:space="0" w:color="064229"/>
          <w:right w:val="single" w:sz="6" w:space="0" w:color="064229"/>
        </w:tblBorders>
      </w:tblPr>
      <w:tblGrid>
        <w:gridCol w:w="9354"/>
      </w:tblGrid>
      <w:tr>
        <w:tc>
          <w:tcPr>
            <w:tcW w:type="dxa" w:w="9792"/>
            <w:shd w:fill="F9FAF9"/>
            <w:tcMar>
              <w:top w:w="250" w:type="dxa"/>
              <w:bottom w:w="250" w:type="dxa"/>
              <w:left w:w="200" w:type="dxa"/>
              <w:right w:w="200" w:type="dxa"/>
            </w:tcMar>
          </w:tcPr>
          <w:p>
            <w:pPr>
              <w:spacing w:before="400" w:after="400"/>
              <w:jc w:val="center"/>
            </w:pPr>
            <w:r>
              <w:rPr>
                <w:rFonts w:ascii="Jost" w:hAnsi="Jost"/>
                <w:i/>
                <w:color w:val="788C82"/>
                <w:sz w:val="20"/>
              </w:rPr>
              <w:t>[ SYSTEM ARCHITECTURE &amp; BLOCK DIAGRAM ]</w:t>
              <w:br/>
              <w:t>(Reserved Area for Author Diagram)</w:t>
            </w:r>
          </w:p>
        </w:tc>
      </w:tr>
    </w:tbl>
    <w:p>
      <w:pPr>
        <w:spacing w:after="80"/>
      </w:pPr>
    </w:p>
    <w:p>
      <w:pPr>
        <w:pStyle w:val="Heading1"/>
        <w:keepNext/>
        <w:spacing w:before="320" w:after="80"/>
      </w:pPr>
      <w:r>
        <w:rPr>
          <w:rFonts w:ascii="Jost" w:hAnsi="Jost"/>
          <w:color w:val="064229"/>
        </w:rPr>
        <w:t>3. Hardware &amp; Design Requirements</w:t>
      </w:r>
    </w:p>
    <w:p>
      <w:pPr>
        <w:pStyle w:val="Heading2"/>
        <w:keepNext/>
        <w:spacing w:before="240" w:after="60"/>
      </w:pPr>
      <w:r>
        <w:rPr>
          <w:rFonts w:ascii="Jost" w:hAnsi="Jost"/>
          <w:color w:val="064229"/>
        </w:rPr>
        <w:t>3.1 Core Component Requirements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MCU Sub-module:</w:t>
      </w:r>
      <w:r>
        <w:rPr>
          <w:rFonts w:ascii="IBM Plex Sans" w:hAnsi="IBM Plex Sans"/>
          <w:color w:val="404040"/>
          <w:sz w:val="21"/>
        </w:rPr>
        <w:t xml:space="preserve"> Footprint/header socket to mount a standard Arduino Nano 3.0 featuring a native USB-C connector.</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RF Sub-module:</w:t>
      </w:r>
      <w:r>
        <w:rPr>
          <w:rFonts w:ascii="IBM Plex Sans" w:hAnsi="IBM Plex Sans"/>
          <w:color w:val="404040"/>
          <w:sz w:val="21"/>
        </w:rPr>
        <w:t xml:space="preserve"> Standard 2×4 pin (2.54 mm pitch) socket header to mount the nRF24L01+ PA+LNA module.</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Antenna Interface:</w:t>
      </w:r>
      <w:r>
        <w:rPr>
          <w:rFonts w:ascii="IBM Plex Sans" w:hAnsi="IBM Plex Sans"/>
          <w:color w:val="404040"/>
          <w:sz w:val="21"/>
        </w:rPr>
        <w:t xml:space="preserve"> Chassis-mountable / edge-mount SMA Female (Jack) connector (50 Ω impedance) matched for an external 2.4 GHz omnidirectional whip antenna.</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Power Regulation &amp; Decoupling:</w:t>
      </w:r>
      <w:r>
        <w:rPr>
          <w:rFonts w:ascii="IBM Plex Sans" w:hAnsi="IBM Plex Sans"/>
          <w:color w:val="404040"/>
          <w:sz w:val="21"/>
        </w:rPr>
        <w:t xml:space="preserve"> Dedicated on-board low-dropout regulator (LDO, 5V -&gt; 3.3V, e.g., AMS1117-3.3 or AP2112K) to provide stable 3.3V to the nRF24L01+ module independently of the Arduino Nano internal 3.3V rail. Bulk decoupling: High-value electrolytic/tantalum capacitor (10 µF – 47 µF) and low-ESR ceramic capacitor (100 nF) placed in close proximity across the nRF24L01+ VCC and GND pins.</w:t>
      </w:r>
    </w:p>
    <w:p>
      <w:pPr>
        <w:pStyle w:val="Heading2"/>
        <w:keepNext/>
        <w:spacing w:before="240" w:after="60"/>
      </w:pPr>
      <w:r>
        <w:rPr>
          <w:rFonts w:ascii="Jost" w:hAnsi="Jost"/>
          <w:color w:val="064229"/>
        </w:rPr>
        <w:t>3.2 Signal Interfacing &amp; Pinout Specification</w:t>
      </w:r>
    </w:p>
    <w:tbl>
      <w:tblPr>
        <w:tblW w:type="auto" w:w="0"/>
        <w:jc w:val="center"/>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38"/>
        <w:gridCol w:w="2338"/>
        <w:gridCol w:w="2338"/>
        <w:gridCol w:w="2338"/>
      </w:tblGrid>
      <w:tr>
        <w:tc>
          <w:tcPr>
            <w:tcW w:type="dxa" w:w="2338"/>
            <w:shd w:fill="064229"/>
            <w:tcMar>
              <w:top w:w="100" w:type="dxa"/>
              <w:bottom w:w="100" w:type="dxa"/>
              <w:left w:w="120" w:type="dxa"/>
              <w:right w:w="120" w:type="dxa"/>
            </w:tcMar>
          </w:tcPr>
          <w:p>
            <w:pPr>
              <w:spacing w:after="20"/>
            </w:pPr>
            <w:r>
              <w:rPr>
                <w:rFonts w:ascii="Jost" w:hAnsi="Jost"/>
                <w:b/>
                <w:color w:val="FFFFFF"/>
                <w:sz w:val="18"/>
              </w:rPr>
              <w:t>Signal Name</w:t>
            </w:r>
          </w:p>
        </w:tc>
        <w:tc>
          <w:tcPr>
            <w:tcW w:type="dxa" w:w="2338"/>
            <w:shd w:fill="064229"/>
            <w:tcMar>
              <w:top w:w="100" w:type="dxa"/>
              <w:bottom w:w="100" w:type="dxa"/>
              <w:left w:w="120" w:type="dxa"/>
              <w:right w:w="120" w:type="dxa"/>
            </w:tcMar>
          </w:tcPr>
          <w:p>
            <w:pPr>
              <w:spacing w:after="20"/>
            </w:pPr>
            <w:r>
              <w:rPr>
                <w:rFonts w:ascii="Jost" w:hAnsi="Jost"/>
                <w:b/>
                <w:color w:val="FFFFFF"/>
                <w:sz w:val="18"/>
              </w:rPr>
              <w:t>Arduino Nano Pin</w:t>
            </w:r>
          </w:p>
        </w:tc>
        <w:tc>
          <w:tcPr>
            <w:tcW w:type="dxa" w:w="2338"/>
            <w:shd w:fill="064229"/>
            <w:tcMar>
              <w:top w:w="100" w:type="dxa"/>
              <w:bottom w:w="100" w:type="dxa"/>
              <w:left w:w="120" w:type="dxa"/>
              <w:right w:w="120" w:type="dxa"/>
            </w:tcMar>
          </w:tcPr>
          <w:p>
            <w:pPr>
              <w:spacing w:after="20"/>
            </w:pPr>
            <w:r>
              <w:rPr>
                <w:rFonts w:ascii="Jost" w:hAnsi="Jost"/>
                <w:b/>
                <w:color w:val="FFFFFF"/>
                <w:sz w:val="18"/>
              </w:rPr>
              <w:t>nRF24L01+ Pin</w:t>
            </w:r>
          </w:p>
        </w:tc>
        <w:tc>
          <w:tcPr>
            <w:tcW w:type="dxa" w:w="2338"/>
            <w:shd w:fill="064229"/>
            <w:tcMar>
              <w:top w:w="100" w:type="dxa"/>
              <w:bottom w:w="100" w:type="dxa"/>
              <w:left w:w="120" w:type="dxa"/>
              <w:right w:w="120" w:type="dxa"/>
            </w:tcMar>
          </w:tcPr>
          <w:p>
            <w:pPr>
              <w:spacing w:after="20"/>
            </w:pPr>
            <w:r>
              <w:rPr>
                <w:rFonts w:ascii="Jost" w:hAnsi="Jost"/>
                <w:b/>
                <w:color w:val="FFFFFF"/>
                <w:sz w:val="18"/>
              </w:rPr>
              <w:t>Function / Description</w:t>
            </w:r>
          </w:p>
        </w:tc>
      </w:tr>
      <w:tr>
        <w:tc>
          <w:tcPr>
            <w:tcW w:type="dxa" w:w="2338"/>
            <w:tcMar>
              <w:top w:w="80" w:type="dxa"/>
              <w:bottom w:w="80" w:type="dxa"/>
              <w:left w:w="120" w:type="dxa"/>
              <w:right w:w="120" w:type="dxa"/>
            </w:tcMar>
          </w:tcPr>
          <w:p>
            <w:pPr>
              <w:spacing w:after="20"/>
            </w:pPr>
            <w:r>
              <w:rPr>
                <w:rFonts w:ascii="IBM Plex Sans" w:hAnsi="IBM Plex Sans"/>
                <w:color w:val="404040"/>
                <w:sz w:val="17"/>
              </w:rPr>
              <w:t>VCC_5V</w:t>
            </w:r>
          </w:p>
        </w:tc>
        <w:tc>
          <w:tcPr>
            <w:tcW w:type="dxa" w:w="2338"/>
            <w:tcMar>
              <w:top w:w="80" w:type="dxa"/>
              <w:bottom w:w="80" w:type="dxa"/>
              <w:left w:w="120" w:type="dxa"/>
              <w:right w:w="120" w:type="dxa"/>
            </w:tcMar>
          </w:tcPr>
          <w:p>
            <w:pPr>
              <w:spacing w:after="20"/>
            </w:pPr>
            <w:r>
              <w:rPr>
                <w:rFonts w:ascii="IBM Plex Sans" w:hAnsi="IBM Plex Sans"/>
                <w:color w:val="404040"/>
                <w:sz w:val="17"/>
              </w:rPr>
              <w:t>5V / VIN</w:t>
            </w:r>
          </w:p>
        </w:tc>
        <w:tc>
          <w:tcPr>
            <w:tcW w:type="dxa" w:w="2338"/>
            <w:tcMar>
              <w:top w:w="80" w:type="dxa"/>
              <w:bottom w:w="80" w:type="dxa"/>
              <w:left w:w="120" w:type="dxa"/>
              <w:right w:w="120" w:type="dxa"/>
            </w:tcMar>
          </w:tcPr>
          <w:p>
            <w:pPr>
              <w:spacing w:after="20"/>
            </w:pPr>
            <w:r>
              <w:rPr>
                <w:rFonts w:ascii="IBM Plex Sans" w:hAnsi="IBM Plex Sans"/>
                <w:color w:val="404040"/>
                <w:sz w:val="17"/>
              </w:rPr>
              <w:t>—</w:t>
            </w:r>
          </w:p>
        </w:tc>
        <w:tc>
          <w:tcPr>
            <w:tcW w:type="dxa" w:w="2338"/>
            <w:tcMar>
              <w:top w:w="80" w:type="dxa"/>
              <w:bottom w:w="80" w:type="dxa"/>
              <w:left w:w="120" w:type="dxa"/>
              <w:right w:w="120" w:type="dxa"/>
            </w:tcMar>
          </w:tcPr>
          <w:p>
            <w:pPr>
              <w:spacing w:after="20"/>
            </w:pPr>
            <w:r>
              <w:rPr>
                <w:rFonts w:ascii="IBM Plex Sans" w:hAnsi="IBM Plex Sans"/>
                <w:color w:val="404040"/>
                <w:sz w:val="17"/>
              </w:rPr>
              <w:t>5V Bus derived from USB-C</w:t>
            </w:r>
          </w:p>
        </w:tc>
      </w:tr>
      <w:tr>
        <w:tc>
          <w:tcPr>
            <w:tcW w:type="dxa" w:w="2338"/>
            <w:shd w:fill="F4F7F5"/>
            <w:tcMar>
              <w:top w:w="80" w:type="dxa"/>
              <w:bottom w:w="80" w:type="dxa"/>
              <w:left w:w="120" w:type="dxa"/>
              <w:right w:w="120" w:type="dxa"/>
            </w:tcMar>
          </w:tcPr>
          <w:p>
            <w:pPr>
              <w:spacing w:after="20"/>
            </w:pPr>
            <w:r>
              <w:rPr>
                <w:rFonts w:ascii="IBM Plex Sans" w:hAnsi="IBM Plex Sans"/>
                <w:color w:val="404040"/>
                <w:sz w:val="17"/>
              </w:rPr>
              <w:t>VCC_3V3</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3V3 (or LDO OUT)</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VCC (Pin 2)</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Clean 3.3V Power Supply</w:t>
            </w:r>
          </w:p>
        </w:tc>
      </w:tr>
      <w:tr>
        <w:tc>
          <w:tcPr>
            <w:tcW w:type="dxa" w:w="2338"/>
            <w:tcMar>
              <w:top w:w="80" w:type="dxa"/>
              <w:bottom w:w="80" w:type="dxa"/>
              <w:left w:w="120" w:type="dxa"/>
              <w:right w:w="120" w:type="dxa"/>
            </w:tcMar>
          </w:tcPr>
          <w:p>
            <w:pPr>
              <w:spacing w:after="20"/>
            </w:pPr>
            <w:r>
              <w:rPr>
                <w:rFonts w:ascii="IBM Plex Sans" w:hAnsi="IBM Plex Sans"/>
                <w:color w:val="404040"/>
                <w:sz w:val="17"/>
              </w:rPr>
              <w:t>GND</w:t>
            </w:r>
          </w:p>
        </w:tc>
        <w:tc>
          <w:tcPr>
            <w:tcW w:type="dxa" w:w="2338"/>
            <w:tcMar>
              <w:top w:w="80" w:type="dxa"/>
              <w:bottom w:w="80" w:type="dxa"/>
              <w:left w:w="120" w:type="dxa"/>
              <w:right w:w="120" w:type="dxa"/>
            </w:tcMar>
          </w:tcPr>
          <w:p>
            <w:pPr>
              <w:spacing w:after="20"/>
            </w:pPr>
            <w:r>
              <w:rPr>
                <w:rFonts w:ascii="IBM Plex Sans" w:hAnsi="IBM Plex Sans"/>
                <w:color w:val="404040"/>
                <w:sz w:val="17"/>
              </w:rPr>
              <w:t>GND</w:t>
            </w:r>
          </w:p>
        </w:tc>
        <w:tc>
          <w:tcPr>
            <w:tcW w:type="dxa" w:w="2338"/>
            <w:tcMar>
              <w:top w:w="80" w:type="dxa"/>
              <w:bottom w:w="80" w:type="dxa"/>
              <w:left w:w="120" w:type="dxa"/>
              <w:right w:w="120" w:type="dxa"/>
            </w:tcMar>
          </w:tcPr>
          <w:p>
            <w:pPr>
              <w:spacing w:after="20"/>
            </w:pPr>
            <w:r>
              <w:rPr>
                <w:rFonts w:ascii="IBM Plex Sans" w:hAnsi="IBM Plex Sans"/>
                <w:color w:val="404040"/>
                <w:sz w:val="17"/>
              </w:rPr>
              <w:t>GND (Pin 1)</w:t>
            </w:r>
          </w:p>
        </w:tc>
        <w:tc>
          <w:tcPr>
            <w:tcW w:type="dxa" w:w="2338"/>
            <w:tcMar>
              <w:top w:w="80" w:type="dxa"/>
              <w:bottom w:w="80" w:type="dxa"/>
              <w:left w:w="120" w:type="dxa"/>
              <w:right w:w="120" w:type="dxa"/>
            </w:tcMar>
          </w:tcPr>
          <w:p>
            <w:pPr>
              <w:spacing w:after="20"/>
            </w:pPr>
            <w:r>
              <w:rPr>
                <w:rFonts w:ascii="IBM Plex Sans" w:hAnsi="IBM Plex Sans"/>
                <w:color w:val="404040"/>
                <w:sz w:val="17"/>
              </w:rPr>
              <w:t>Common Ground Plane</w:t>
            </w:r>
          </w:p>
        </w:tc>
      </w:tr>
      <w:tr>
        <w:tc>
          <w:tcPr>
            <w:tcW w:type="dxa" w:w="2338"/>
            <w:shd w:fill="F4F7F5"/>
            <w:tcMar>
              <w:top w:w="80" w:type="dxa"/>
              <w:bottom w:w="80" w:type="dxa"/>
              <w:left w:w="120" w:type="dxa"/>
              <w:right w:w="120" w:type="dxa"/>
            </w:tcMar>
          </w:tcPr>
          <w:p>
            <w:pPr>
              <w:spacing w:after="20"/>
            </w:pPr>
            <w:r>
              <w:rPr>
                <w:rFonts w:ascii="IBM Plex Sans" w:hAnsi="IBM Plex Sans"/>
                <w:color w:val="404040"/>
                <w:sz w:val="17"/>
              </w:rPr>
              <w:t>CE</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D7 (or D9)</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CE (Pin 3)</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Transceiver Chip Enable (RX/TX control)</w:t>
            </w:r>
          </w:p>
        </w:tc>
      </w:tr>
      <w:tr>
        <w:tc>
          <w:tcPr>
            <w:tcW w:type="dxa" w:w="2338"/>
            <w:tcMar>
              <w:top w:w="80" w:type="dxa"/>
              <w:bottom w:w="80" w:type="dxa"/>
              <w:left w:w="120" w:type="dxa"/>
              <w:right w:w="120" w:type="dxa"/>
            </w:tcMar>
          </w:tcPr>
          <w:p>
            <w:pPr>
              <w:spacing w:after="20"/>
            </w:pPr>
            <w:r>
              <w:rPr>
                <w:rFonts w:ascii="IBM Plex Sans" w:hAnsi="IBM Plex Sans"/>
                <w:color w:val="404040"/>
                <w:sz w:val="17"/>
              </w:rPr>
              <w:t>CSN</w:t>
            </w:r>
          </w:p>
        </w:tc>
        <w:tc>
          <w:tcPr>
            <w:tcW w:type="dxa" w:w="2338"/>
            <w:tcMar>
              <w:top w:w="80" w:type="dxa"/>
              <w:bottom w:w="80" w:type="dxa"/>
              <w:left w:w="120" w:type="dxa"/>
              <w:right w:w="120" w:type="dxa"/>
            </w:tcMar>
          </w:tcPr>
          <w:p>
            <w:pPr>
              <w:spacing w:after="20"/>
            </w:pPr>
            <w:r>
              <w:rPr>
                <w:rFonts w:ascii="IBM Plex Sans" w:hAnsi="IBM Plex Sans"/>
                <w:color w:val="404040"/>
                <w:sz w:val="17"/>
              </w:rPr>
              <w:t>D8 (or D10)</w:t>
            </w:r>
          </w:p>
        </w:tc>
        <w:tc>
          <w:tcPr>
            <w:tcW w:type="dxa" w:w="2338"/>
            <w:tcMar>
              <w:top w:w="80" w:type="dxa"/>
              <w:bottom w:w="80" w:type="dxa"/>
              <w:left w:w="120" w:type="dxa"/>
              <w:right w:w="120" w:type="dxa"/>
            </w:tcMar>
          </w:tcPr>
          <w:p>
            <w:pPr>
              <w:spacing w:after="20"/>
            </w:pPr>
            <w:r>
              <w:rPr>
                <w:rFonts w:ascii="IBM Plex Sans" w:hAnsi="IBM Plex Sans"/>
                <w:color w:val="404040"/>
                <w:sz w:val="17"/>
              </w:rPr>
              <w:t>CSN (Pin 4)</w:t>
            </w:r>
          </w:p>
        </w:tc>
        <w:tc>
          <w:tcPr>
            <w:tcW w:type="dxa" w:w="2338"/>
            <w:tcMar>
              <w:top w:w="80" w:type="dxa"/>
              <w:bottom w:w="80" w:type="dxa"/>
              <w:left w:w="120" w:type="dxa"/>
              <w:right w:w="120" w:type="dxa"/>
            </w:tcMar>
          </w:tcPr>
          <w:p>
            <w:pPr>
              <w:spacing w:after="20"/>
            </w:pPr>
            <w:r>
              <w:rPr>
                <w:rFonts w:ascii="IBM Plex Sans" w:hAnsi="IBM Plex Sans"/>
                <w:color w:val="404040"/>
                <w:sz w:val="17"/>
              </w:rPr>
              <w:t>SPI Chip Select Not (Active Low)</w:t>
            </w:r>
          </w:p>
        </w:tc>
      </w:tr>
      <w:tr>
        <w:tc>
          <w:tcPr>
            <w:tcW w:type="dxa" w:w="2338"/>
            <w:shd w:fill="F4F7F5"/>
            <w:tcMar>
              <w:top w:w="80" w:type="dxa"/>
              <w:bottom w:w="80" w:type="dxa"/>
              <w:left w:w="120" w:type="dxa"/>
              <w:right w:w="120" w:type="dxa"/>
            </w:tcMar>
          </w:tcPr>
          <w:p>
            <w:pPr>
              <w:spacing w:after="20"/>
            </w:pPr>
            <w:r>
              <w:rPr>
                <w:rFonts w:ascii="IBM Plex Sans" w:hAnsi="IBM Plex Sans"/>
                <w:color w:val="404040"/>
                <w:sz w:val="17"/>
              </w:rPr>
              <w:t>SCK</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D13</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SCK (Pin 5)</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SPI Serial Clock</w:t>
            </w:r>
          </w:p>
        </w:tc>
      </w:tr>
      <w:tr>
        <w:tc>
          <w:tcPr>
            <w:tcW w:type="dxa" w:w="2338"/>
            <w:tcMar>
              <w:top w:w="80" w:type="dxa"/>
              <w:bottom w:w="80" w:type="dxa"/>
              <w:left w:w="120" w:type="dxa"/>
              <w:right w:w="120" w:type="dxa"/>
            </w:tcMar>
          </w:tcPr>
          <w:p>
            <w:pPr>
              <w:spacing w:after="20"/>
            </w:pPr>
            <w:r>
              <w:rPr>
                <w:rFonts w:ascii="IBM Plex Sans" w:hAnsi="IBM Plex Sans"/>
                <w:color w:val="404040"/>
                <w:sz w:val="17"/>
              </w:rPr>
              <w:t>MOSI</w:t>
            </w:r>
          </w:p>
        </w:tc>
        <w:tc>
          <w:tcPr>
            <w:tcW w:type="dxa" w:w="2338"/>
            <w:tcMar>
              <w:top w:w="80" w:type="dxa"/>
              <w:bottom w:w="80" w:type="dxa"/>
              <w:left w:w="120" w:type="dxa"/>
              <w:right w:w="120" w:type="dxa"/>
            </w:tcMar>
          </w:tcPr>
          <w:p>
            <w:pPr>
              <w:spacing w:after="20"/>
            </w:pPr>
            <w:r>
              <w:rPr>
                <w:rFonts w:ascii="IBM Plex Sans" w:hAnsi="IBM Plex Sans"/>
                <w:color w:val="404040"/>
                <w:sz w:val="17"/>
              </w:rPr>
              <w:t>D11</w:t>
            </w:r>
          </w:p>
        </w:tc>
        <w:tc>
          <w:tcPr>
            <w:tcW w:type="dxa" w:w="2338"/>
            <w:tcMar>
              <w:top w:w="80" w:type="dxa"/>
              <w:bottom w:w="80" w:type="dxa"/>
              <w:left w:w="120" w:type="dxa"/>
              <w:right w:w="120" w:type="dxa"/>
            </w:tcMar>
          </w:tcPr>
          <w:p>
            <w:pPr>
              <w:spacing w:after="20"/>
            </w:pPr>
            <w:r>
              <w:rPr>
                <w:rFonts w:ascii="IBM Plex Sans" w:hAnsi="IBM Plex Sans"/>
                <w:color w:val="404040"/>
                <w:sz w:val="17"/>
              </w:rPr>
              <w:t>MOSI (Pin 6)</w:t>
            </w:r>
          </w:p>
        </w:tc>
        <w:tc>
          <w:tcPr>
            <w:tcW w:type="dxa" w:w="2338"/>
            <w:tcMar>
              <w:top w:w="80" w:type="dxa"/>
              <w:bottom w:w="80" w:type="dxa"/>
              <w:left w:w="120" w:type="dxa"/>
              <w:right w:w="120" w:type="dxa"/>
            </w:tcMar>
          </w:tcPr>
          <w:p>
            <w:pPr>
              <w:spacing w:after="20"/>
            </w:pPr>
            <w:r>
              <w:rPr>
                <w:rFonts w:ascii="IBM Plex Sans" w:hAnsi="IBM Plex Sans"/>
                <w:color w:val="404040"/>
                <w:sz w:val="17"/>
              </w:rPr>
              <w:t>SPI Master Out Slave In</w:t>
            </w:r>
          </w:p>
        </w:tc>
      </w:tr>
      <w:tr>
        <w:tc>
          <w:tcPr>
            <w:tcW w:type="dxa" w:w="2338"/>
            <w:shd w:fill="F4F7F5"/>
            <w:tcMar>
              <w:top w:w="80" w:type="dxa"/>
              <w:bottom w:w="80" w:type="dxa"/>
              <w:left w:w="120" w:type="dxa"/>
              <w:right w:w="120" w:type="dxa"/>
            </w:tcMar>
          </w:tcPr>
          <w:p>
            <w:pPr>
              <w:spacing w:after="20"/>
            </w:pPr>
            <w:r>
              <w:rPr>
                <w:rFonts w:ascii="IBM Plex Sans" w:hAnsi="IBM Plex Sans"/>
                <w:color w:val="404040"/>
                <w:sz w:val="17"/>
              </w:rPr>
              <w:t>MISO</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D12</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MISO (Pin 7)</w:t>
            </w:r>
          </w:p>
        </w:tc>
        <w:tc>
          <w:tcPr>
            <w:tcW w:type="dxa" w:w="2338"/>
            <w:shd w:fill="F4F7F5"/>
            <w:tcMar>
              <w:top w:w="80" w:type="dxa"/>
              <w:bottom w:w="80" w:type="dxa"/>
              <w:left w:w="120" w:type="dxa"/>
              <w:right w:w="120" w:type="dxa"/>
            </w:tcMar>
          </w:tcPr>
          <w:p>
            <w:pPr>
              <w:spacing w:after="20"/>
            </w:pPr>
            <w:r>
              <w:rPr>
                <w:rFonts w:ascii="IBM Plex Sans" w:hAnsi="IBM Plex Sans"/>
                <w:color w:val="404040"/>
                <w:sz w:val="17"/>
              </w:rPr>
              <w:t>SPI Master In Slave Out</w:t>
            </w:r>
          </w:p>
        </w:tc>
      </w:tr>
      <w:tr>
        <w:tc>
          <w:tcPr>
            <w:tcW w:type="dxa" w:w="2338"/>
            <w:tcMar>
              <w:top w:w="80" w:type="dxa"/>
              <w:bottom w:w="80" w:type="dxa"/>
              <w:left w:w="120" w:type="dxa"/>
              <w:right w:w="120" w:type="dxa"/>
            </w:tcMar>
          </w:tcPr>
          <w:p>
            <w:pPr>
              <w:spacing w:after="20"/>
            </w:pPr>
            <w:r>
              <w:rPr>
                <w:rFonts w:ascii="IBM Plex Sans" w:hAnsi="IBM Plex Sans"/>
                <w:color w:val="404040"/>
                <w:sz w:val="17"/>
              </w:rPr>
              <w:t>IRQ</w:t>
            </w:r>
          </w:p>
        </w:tc>
        <w:tc>
          <w:tcPr>
            <w:tcW w:type="dxa" w:w="2338"/>
            <w:tcMar>
              <w:top w:w="80" w:type="dxa"/>
              <w:bottom w:w="80" w:type="dxa"/>
              <w:left w:w="120" w:type="dxa"/>
              <w:right w:w="120" w:type="dxa"/>
            </w:tcMar>
          </w:tcPr>
          <w:p>
            <w:pPr>
              <w:spacing w:after="20"/>
            </w:pPr>
            <w:r>
              <w:rPr>
                <w:rFonts w:ascii="IBM Plex Sans" w:hAnsi="IBM Plex Sans"/>
                <w:color w:val="404040"/>
                <w:sz w:val="17"/>
              </w:rPr>
              <w:t>D2 (INT0)</w:t>
            </w:r>
          </w:p>
        </w:tc>
        <w:tc>
          <w:tcPr>
            <w:tcW w:type="dxa" w:w="2338"/>
            <w:tcMar>
              <w:top w:w="80" w:type="dxa"/>
              <w:bottom w:w="80" w:type="dxa"/>
              <w:left w:w="120" w:type="dxa"/>
              <w:right w:w="120" w:type="dxa"/>
            </w:tcMar>
          </w:tcPr>
          <w:p>
            <w:pPr>
              <w:spacing w:after="20"/>
            </w:pPr>
            <w:r>
              <w:rPr>
                <w:rFonts w:ascii="IBM Plex Sans" w:hAnsi="IBM Plex Sans"/>
                <w:color w:val="404040"/>
                <w:sz w:val="17"/>
              </w:rPr>
              <w:t>IRQ (Pin 8)</w:t>
            </w:r>
          </w:p>
        </w:tc>
        <w:tc>
          <w:tcPr>
            <w:tcW w:type="dxa" w:w="2338"/>
            <w:tcMar>
              <w:top w:w="80" w:type="dxa"/>
              <w:bottom w:w="80" w:type="dxa"/>
              <w:left w:w="120" w:type="dxa"/>
              <w:right w:w="120" w:type="dxa"/>
            </w:tcMar>
          </w:tcPr>
          <w:p>
            <w:pPr>
              <w:spacing w:after="20"/>
            </w:pPr>
            <w:r>
              <w:rPr>
                <w:rFonts w:ascii="IBM Plex Sans" w:hAnsi="IBM Plex Sans"/>
                <w:color w:val="404040"/>
                <w:sz w:val="17"/>
              </w:rPr>
              <w:t>Optional Data Ready Interrupt</w:t>
            </w:r>
          </w:p>
        </w:tc>
      </w:tr>
    </w:tbl>
    <w:p>
      <w:pPr>
        <w:spacing w:after="40"/>
      </w:pPr>
    </w:p>
    <w:p>
      <w:pPr>
        <w:pStyle w:val="Heading2"/>
        <w:keepNext/>
        <w:spacing w:before="240" w:after="60"/>
      </w:pPr>
      <w:r>
        <w:rPr>
          <w:rFonts w:ascii="Jost" w:hAnsi="Jost"/>
          <w:color w:val="064229"/>
        </w:rPr>
        <w:t>3.3 Testability Requirements (Test Points)</w:t>
      </w:r>
    </w:p>
    <w:p>
      <w:pPr>
        <w:spacing w:before="0" w:after="80" w:line="276" w:lineRule="auto"/>
      </w:pPr>
      <w:r>
        <w:rPr>
          <w:rFonts w:ascii="IBM Plex Sans" w:hAnsi="IBM Plex Sans"/>
          <w:i w:val="0"/>
          <w:color w:val="404040"/>
          <w:sz w:val="21"/>
        </w:rPr>
        <w:t>Dedicated surface mount / through-hole loop test points (min. 1.0 mm pad diameter, labeled on silkscreen) must be included for:</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TP_5V:</w:t>
      </w:r>
      <w:r>
        <w:rPr>
          <w:rFonts w:ascii="IBM Plex Sans" w:hAnsi="IBM Plex Sans"/>
          <w:color w:val="404040"/>
          <w:sz w:val="21"/>
        </w:rPr>
        <w:t xml:space="preserve"> USB 5.0 V input supply.</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TP_3V3:</w:t>
      </w:r>
      <w:r>
        <w:rPr>
          <w:rFonts w:ascii="IBM Plex Sans" w:hAnsi="IBM Plex Sans"/>
          <w:color w:val="404040"/>
          <w:sz w:val="21"/>
        </w:rPr>
        <w:t xml:space="preserve"> nRF24L01+ 3.3 V regulated supply rail.</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TP_GND:</w:t>
      </w:r>
      <w:r>
        <w:rPr>
          <w:rFonts w:ascii="IBM Plex Sans" w:hAnsi="IBM Plex Sans"/>
          <w:color w:val="404040"/>
          <w:sz w:val="21"/>
        </w:rPr>
        <w:t xml:space="preserve"> Primary circuit ground reference.</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TP_SCK, TP_MOSI, TP_MISO:</w:t>
      </w:r>
      <w:r>
        <w:rPr>
          <w:rFonts w:ascii="IBM Plex Sans" w:hAnsi="IBM Plex Sans"/>
          <w:color w:val="404040"/>
          <w:sz w:val="21"/>
        </w:rPr>
        <w:t xml:space="preserve"> SPI bus signals for oscilloscope/analyzer verification.</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TP_CE, TP_CSN:</w:t>
      </w:r>
      <w:r>
        <w:rPr>
          <w:rFonts w:ascii="IBM Plex Sans" w:hAnsi="IBM Plex Sans"/>
          <w:color w:val="404040"/>
          <w:sz w:val="21"/>
        </w:rPr>
        <w:t xml:space="preserve"> Radio control signals.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TP_UART_TX, TP_UART_RX:</w:t>
      </w:r>
      <w:r>
        <w:rPr>
          <w:rFonts w:ascii="IBM Plex Sans" w:hAnsi="IBM Plex Sans"/>
          <w:color w:val="404040"/>
          <w:sz w:val="21"/>
        </w:rPr>
        <w:t xml:space="preserve"> Serial debugging lines.</w:t>
      </w:r>
    </w:p>
    <w:p>
      <w:pPr>
        <w:pStyle w:val="Heading2"/>
        <w:keepNext/>
        <w:spacing w:before="240" w:after="60"/>
      </w:pPr>
      <w:r>
        <w:rPr>
          <w:rFonts w:ascii="Jost" w:hAnsi="Jost"/>
          <w:color w:val="064229"/>
        </w:rPr>
        <w:t>3.4 Mechanical &amp; Enclosure Constraints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Mounting Holes:</w:t>
      </w:r>
      <w:r>
        <w:rPr>
          <w:rFonts w:ascii="IBM Plex Sans" w:hAnsi="IBM Plex Sans"/>
          <w:color w:val="404040"/>
          <w:sz w:val="21"/>
        </w:rPr>
        <w:t xml:space="preserve"> Four (4) symmetric mounting holes designed for M3 threaded heat-set inserts or screws (3.2 mm drill diameter, clearance for M3 bolt head/washer).</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PCB Dimensions:</w:t>
      </w:r>
      <w:r>
        <w:rPr>
          <w:rFonts w:ascii="IBM Plex Sans" w:hAnsi="IBM Plex Sans"/>
          <w:color w:val="404040"/>
          <w:sz w:val="21"/>
        </w:rPr>
        <w:t xml:space="preserve"> Compact rectangular form factor optimized to fit inside a custom 3D-printed enclosure (PLA/PETG).</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Connector Access:</w:t>
      </w:r>
      <w:r>
        <w:rPr>
          <w:rFonts w:ascii="IBM Plex Sans" w:hAnsi="IBM Plex Sans"/>
          <w:color w:val="404040"/>
          <w:sz w:val="21"/>
        </w:rPr>
        <w:t xml:space="preserve"> Edge clearance provided for (1) Direct, unblocked insertion of the USB-C cable into the Arduino Nano; (2) SMA connector extension protruding through the enclosure wall for external antenna attachment; and (3) Status indicator LEDs visible via enclosure light pipes or top surface.</w:t>
      </w:r>
    </w:p>
    <w:p>
      <w:pPr>
        <w:pStyle w:val="Heading1"/>
        <w:keepNext/>
        <w:spacing w:before="320" w:after="80"/>
      </w:pPr>
      <w:r>
        <w:rPr>
          <w:rFonts w:ascii="Jost" w:hAnsi="Jost"/>
          <w:color w:val="064229"/>
        </w:rPr>
        <w:t>4. Verification &amp; Testing Requirements</w:t>
      </w:r>
    </w:p>
    <w:p>
      <w:pPr>
        <w:spacing w:before="0" w:after="80" w:line="276" w:lineRule="auto"/>
      </w:pPr>
      <w:r>
        <w:rPr>
          <w:rFonts w:ascii="IBM Plex Sans" w:hAnsi="IBM Plex Sans"/>
          <w:i w:val="0"/>
          <w:color w:val="404040"/>
          <w:sz w:val="21"/>
        </w:rPr>
        <w:t>Each manufactured board unit must undergo the following sequential testing protocol before sign-off and deployment:</w:t>
      </w:r>
    </w:p>
    <w:p>
      <w:pPr>
        <w:pStyle w:val="Heading2"/>
        <w:keepNext/>
        <w:spacing w:before="240" w:after="60"/>
      </w:pPr>
      <w:r>
        <w:rPr>
          <w:rFonts w:ascii="Jost" w:hAnsi="Jost"/>
          <w:color w:val="064229"/>
        </w:rPr>
        <w:t>4.1 Test Procedure 1: Power Supply Verification (Passive &amp; Active)</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Objective:</w:t>
      </w:r>
      <w:r>
        <w:rPr>
          <w:rFonts w:ascii="IBM Plex Sans" w:hAnsi="IBM Plex Sans"/>
          <w:color w:val="404040"/>
          <w:sz w:val="21"/>
        </w:rPr>
        <w:t xml:space="preserve"> Ensure no short circuits exist and supply voltages remain within operational tolerances.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Tools:</w:t>
      </w:r>
      <w:r>
        <w:rPr>
          <w:rFonts w:ascii="IBM Plex Sans" w:hAnsi="IBM Plex Sans"/>
          <w:color w:val="404040"/>
          <w:sz w:val="21"/>
        </w:rPr>
        <w:t xml:space="preserve"> Digital Multimeter (DMM), Bench Power Supply (Current Limited at 500 mA) / USB-C Supply.</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Acceptance Criteria:</w:t>
      </w:r>
      <w:r>
        <w:rPr>
          <w:rFonts w:ascii="IBM Plex Sans" w:hAnsi="IBM Plex Sans"/>
          <w:color w:val="404040"/>
          <w:sz w:val="21"/>
        </w:rPr>
        <w:t xml:space="preserve"> Resistance across TP_5V to TP_GND and TP_3V3 to TP_GND &gt; 10 kΩ before power-up. V(TP_5V) = 5.00 V ± 0.25 V. V(TP_3V3) = 3.30 V ± 0.10 V with peak ripple &lt; 30 mVp-p under RF transmission burst.</w:t>
      </w:r>
    </w:p>
    <w:p>
      <w:pPr>
        <w:pStyle w:val="Heading2"/>
        <w:keepNext/>
        <w:spacing w:before="240" w:after="60"/>
      </w:pPr>
      <w:r>
        <w:rPr>
          <w:rFonts w:ascii="Jost" w:hAnsi="Jost"/>
          <w:color w:val="064229"/>
        </w:rPr>
        <w:t>4.2 Test Procedure 2: MCU to Transceiver Interface Test</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Objective:</w:t>
      </w:r>
      <w:r>
        <w:rPr>
          <w:rFonts w:ascii="IBM Plex Sans" w:hAnsi="IBM Plex Sans"/>
          <w:color w:val="404040"/>
          <w:sz w:val="21"/>
        </w:rPr>
        <w:t xml:space="preserve"> Verify SPI bus integrity and successful initialization of the nRF24L01+ register map.</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Tools:</w:t>
      </w:r>
      <w:r>
        <w:rPr>
          <w:rFonts w:ascii="IBM Plex Sans" w:hAnsi="IBM Plex Sans"/>
          <w:color w:val="404040"/>
          <w:sz w:val="21"/>
        </w:rPr>
        <w:t xml:space="preserve"> Logic Analyzer / Oscilloscope, Arduino IDE / PlatformIO Serial Debugger.</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Acceptance Criteria:</w:t>
      </w:r>
      <w:r>
        <w:rPr>
          <w:rFonts w:ascii="IBM Plex Sans" w:hAnsi="IBM Plex Sans"/>
          <w:color w:val="404040"/>
          <w:sz w:val="21"/>
        </w:rPr>
        <w:t xml:space="preserve"> Execution of radio.begin() returns TRUE. radio.isChipConnected() validates presence of nRF24L01+. Clean SPI clock edge on TP_SCK without ringing or overshoot &gt; 0.5 V.</w:t>
      </w:r>
    </w:p>
    <w:p>
      <w:pPr>
        <w:pStyle w:val="Heading2"/>
        <w:keepNext/>
        <w:spacing w:before="240" w:after="60"/>
      </w:pPr>
      <w:r>
        <w:rPr>
          <w:rFonts w:ascii="Jost" w:hAnsi="Jost"/>
          <w:color w:val="064229"/>
        </w:rPr>
        <w:t>4.3 Test Procedure 3: Serial Communication &amp; PuTTY Data Transfer Test</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Objective:</w:t>
      </w:r>
      <w:r>
        <w:rPr>
          <w:rFonts w:ascii="IBM Plex Sans" w:hAnsi="IBM Plex Sans"/>
          <w:color w:val="404040"/>
          <w:sz w:val="21"/>
        </w:rPr>
        <w:t xml:space="preserve"> Confirm reliable, uncorrupted serial telemetry transfer to the base station PC.</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Tools:</w:t>
      </w:r>
      <w:r>
        <w:rPr>
          <w:rFonts w:ascii="IBM Plex Sans" w:hAnsi="IBM Plex Sans"/>
          <w:color w:val="404040"/>
          <w:sz w:val="21"/>
        </w:rPr>
        <w:t xml:space="preserve"> PC running PuTTY / Serial Terminal (configured at 115200 baud, 8-N-1, No Parity).</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Acceptance Criteria:</w:t>
      </w:r>
      <w:r>
        <w:rPr>
          <w:rFonts w:ascii="IBM Plex Sans" w:hAnsi="IBM Plex Sans"/>
          <w:color w:val="404040"/>
          <w:sz w:val="21"/>
        </w:rPr>
        <w:t xml:space="preserve"> Board connects over USB-C and enumerates virtual COM port without driver failure. PuTTY displays continuous formatted telemetry stream (JSON / CSV frame format) with 0% framing errors or dropped packets over a 10-minute continuous run.</w:t>
      </w:r>
    </w:p>
    <w:p>
      <w:pPr>
        <w:pStyle w:val="Heading2"/>
        <w:keepNext/>
        <w:spacing w:before="240" w:after="60"/>
      </w:pPr>
      <w:r>
        <w:rPr>
          <w:rFonts w:ascii="Jost" w:hAnsi="Jost"/>
          <w:color w:val="064229"/>
        </w:rPr>
        <w:t>4.4 Test Procedure 4: Operational Range &amp; Car Link Test</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Objective:</w:t>
      </w:r>
      <w:r>
        <w:rPr>
          <w:rFonts w:ascii="IBM Plex Sans" w:hAnsi="IBM Plex Sans"/>
          <w:color w:val="404040"/>
          <w:sz w:val="21"/>
        </w:rPr>
        <w:t xml:space="preserve"> Validate RF link budget and packet reception rate (PRR) under track conditions.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Tools:</w:t>
      </w:r>
      <w:r>
        <w:rPr>
          <w:rFonts w:ascii="IBM Plex Sans" w:hAnsi="IBM Plex Sans"/>
          <w:color w:val="404040"/>
          <w:sz w:val="21"/>
        </w:rPr>
        <w:t xml:space="preserve"> IFS09 telemetry transmitter on the vehicle / test rig, external 2.4 GHz antenna, ground PC.</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Acceptance Criteria:</w:t>
      </w:r>
      <w:r>
        <w:rPr>
          <w:rFonts w:ascii="IBM Plex Sans" w:hAnsi="IBM Plex Sans"/>
          <w:color w:val="404040"/>
          <w:sz w:val="21"/>
        </w:rPr>
        <w:t xml:space="preserve"> Packet Reception Rate (PRR) ≥ 95% at line-of-sight distance ≥ 300 m. Reliable link maintained throughout the entire FSAE/Formula Student autocross/endurance track perimeter under vehicle engine/inverter EMI conditions.</w:t>
      </w:r>
    </w:p>
    <w:p>
      <w:pPr>
        <w:pStyle w:val="Heading1"/>
        <w:keepNext/>
        <w:spacing w:before="320" w:after="80"/>
      </w:pPr>
      <w:r>
        <w:rPr>
          <w:rFonts w:ascii="Jost" w:hAnsi="Jost"/>
          <w:color w:val="064229"/>
        </w:rPr>
        <w:t>5. Test Execution Sign-Off Sheet</w:t>
      </w:r>
    </w:p>
    <w:tbl>
      <w:tblPr>
        <w:tblW w:type="auto" w:w="0"/>
        <w:jc w:val="center"/>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336"/>
        <w:gridCol w:w="1336"/>
        <w:gridCol w:w="1336"/>
        <w:gridCol w:w="1336"/>
        <w:gridCol w:w="1336"/>
        <w:gridCol w:w="1336"/>
        <w:gridCol w:w="1336"/>
      </w:tblGrid>
      <w:tr>
        <w:tc>
          <w:tcPr>
            <w:tcW w:type="dxa" w:w="1336"/>
            <w:shd w:fill="064229"/>
            <w:tcMar>
              <w:top w:w="100" w:type="dxa"/>
              <w:bottom w:w="100" w:type="dxa"/>
              <w:left w:w="100" w:type="dxa"/>
              <w:right w:w="100" w:type="dxa"/>
            </w:tcMar>
          </w:tcPr>
          <w:p>
            <w:pPr>
              <w:spacing w:after="20"/>
            </w:pPr>
            <w:r>
              <w:rPr>
                <w:rFonts w:ascii="Jost" w:hAnsi="Jost"/>
                <w:b/>
                <w:color w:val="FFFFFF"/>
                <w:sz w:val="17"/>
              </w:rPr>
              <w:t>Test Item</w:t>
            </w:r>
          </w:p>
        </w:tc>
        <w:tc>
          <w:tcPr>
            <w:tcW w:type="dxa" w:w="1336"/>
            <w:shd w:fill="064229"/>
            <w:tcMar>
              <w:top w:w="100" w:type="dxa"/>
              <w:bottom w:w="100" w:type="dxa"/>
              <w:left w:w="100" w:type="dxa"/>
              <w:right w:w="100" w:type="dxa"/>
            </w:tcMar>
          </w:tcPr>
          <w:p>
            <w:pPr>
              <w:spacing w:after="20"/>
            </w:pPr>
            <w:r>
              <w:rPr>
                <w:rFonts w:ascii="Jost" w:hAnsi="Jost"/>
                <w:b/>
                <w:color w:val="FFFFFF"/>
                <w:sz w:val="17"/>
              </w:rPr>
              <w:t>Verification Method</w:t>
            </w:r>
          </w:p>
        </w:tc>
        <w:tc>
          <w:tcPr>
            <w:tcW w:type="dxa" w:w="1336"/>
            <w:shd w:fill="064229"/>
            <w:tcMar>
              <w:top w:w="100" w:type="dxa"/>
              <w:bottom w:w="100" w:type="dxa"/>
              <w:left w:w="100" w:type="dxa"/>
              <w:right w:w="100" w:type="dxa"/>
            </w:tcMar>
          </w:tcPr>
          <w:p>
            <w:pPr>
              <w:spacing w:after="20"/>
            </w:pPr>
            <w:r>
              <w:rPr>
                <w:rFonts w:ascii="Jost" w:hAnsi="Jost"/>
                <w:b/>
                <w:color w:val="FFFFFF"/>
                <w:sz w:val="17"/>
              </w:rPr>
              <w:t>Target Value / Criteria</w:t>
            </w:r>
          </w:p>
        </w:tc>
        <w:tc>
          <w:tcPr>
            <w:tcW w:type="dxa" w:w="1336"/>
            <w:shd w:fill="064229"/>
            <w:tcMar>
              <w:top w:w="100" w:type="dxa"/>
              <w:bottom w:w="100" w:type="dxa"/>
              <w:left w:w="100" w:type="dxa"/>
              <w:right w:w="100" w:type="dxa"/>
            </w:tcMar>
          </w:tcPr>
          <w:p>
            <w:pPr>
              <w:spacing w:after="20"/>
            </w:pPr>
            <w:r>
              <w:rPr>
                <w:rFonts w:ascii="Jost" w:hAnsi="Jost"/>
                <w:b/>
                <w:color w:val="FFFFFF"/>
                <w:sz w:val="17"/>
              </w:rPr>
              <w:t>Measured</w:t>
            </w:r>
          </w:p>
        </w:tc>
        <w:tc>
          <w:tcPr>
            <w:tcW w:type="dxa" w:w="1336"/>
            <w:shd w:fill="064229"/>
            <w:tcMar>
              <w:top w:w="100" w:type="dxa"/>
              <w:bottom w:w="100" w:type="dxa"/>
              <w:left w:w="100" w:type="dxa"/>
              <w:right w:w="100" w:type="dxa"/>
            </w:tcMar>
          </w:tcPr>
          <w:p>
            <w:pPr>
              <w:spacing w:after="20"/>
            </w:pPr>
            <w:r>
              <w:rPr>
                <w:rFonts w:ascii="Jost" w:hAnsi="Jost"/>
                <w:b/>
                <w:color w:val="FFFFFF"/>
                <w:sz w:val="17"/>
              </w:rPr>
              <w:t>Pass / Fail</w:t>
            </w:r>
          </w:p>
        </w:tc>
        <w:tc>
          <w:tcPr>
            <w:tcW w:type="dxa" w:w="1336"/>
            <w:shd w:fill="064229"/>
            <w:tcMar>
              <w:top w:w="100" w:type="dxa"/>
              <w:bottom w:w="100" w:type="dxa"/>
              <w:left w:w="100" w:type="dxa"/>
              <w:right w:w="100" w:type="dxa"/>
            </w:tcMar>
          </w:tcPr>
          <w:p>
            <w:pPr>
              <w:spacing w:after="20"/>
            </w:pPr>
            <w:r>
              <w:rPr>
                <w:rFonts w:ascii="Jost" w:hAnsi="Jost"/>
                <w:b/>
                <w:color w:val="FFFFFF"/>
                <w:sz w:val="17"/>
              </w:rPr>
              <w:t>Inspector</w:t>
            </w:r>
          </w:p>
        </w:tc>
        <w:tc>
          <w:tcPr>
            <w:tcW w:type="dxa" w:w="1336"/>
            <w:shd w:fill="064229"/>
            <w:tcMar>
              <w:top w:w="100" w:type="dxa"/>
              <w:bottom w:w="100" w:type="dxa"/>
              <w:left w:w="100" w:type="dxa"/>
              <w:right w:w="100" w:type="dxa"/>
            </w:tcMar>
          </w:tcPr>
          <w:p>
            <w:pPr>
              <w:spacing w:after="20"/>
            </w:pPr>
            <w:r>
              <w:rPr>
                <w:rFonts w:ascii="Jost" w:hAnsi="Jost"/>
                <w:b/>
                <w:color w:val="FFFFFF"/>
                <w:sz w:val="17"/>
              </w:rPr>
              <w:t>Date</w:t>
            </w:r>
          </w:p>
        </w:tc>
      </w:tr>
      <w:tr>
        <w:tc>
          <w:tcPr>
            <w:tcW w:type="dxa" w:w="1336"/>
            <w:tcMar>
              <w:top w:w="80" w:type="dxa"/>
              <w:bottom w:w="80" w:type="dxa"/>
              <w:left w:w="100" w:type="dxa"/>
              <w:right w:w="100" w:type="dxa"/>
            </w:tcMar>
          </w:tcPr>
          <w:p>
            <w:pPr>
              <w:spacing w:after="20"/>
            </w:pPr>
            <w:r>
              <w:rPr>
                <w:rFonts w:ascii="IBM Plex Sans" w:hAnsi="IBM Plex Sans"/>
                <w:color w:val="404040"/>
                <w:sz w:val="16"/>
              </w:rPr>
              <w:t>1. 5V Supply Rail</w:t>
            </w:r>
          </w:p>
        </w:tc>
        <w:tc>
          <w:tcPr>
            <w:tcW w:type="dxa" w:w="1336"/>
            <w:tcMar>
              <w:top w:w="80" w:type="dxa"/>
              <w:bottom w:w="80" w:type="dxa"/>
              <w:left w:w="100" w:type="dxa"/>
              <w:right w:w="100" w:type="dxa"/>
            </w:tcMar>
          </w:tcPr>
          <w:p>
            <w:pPr>
              <w:spacing w:after="20"/>
            </w:pPr>
            <w:r>
              <w:rPr>
                <w:rFonts w:ascii="IBM Plex Sans" w:hAnsi="IBM Plex Sans"/>
                <w:color w:val="404040"/>
                <w:sz w:val="16"/>
              </w:rPr>
              <w:t>DMM at TP_5V</w:t>
            </w:r>
          </w:p>
        </w:tc>
        <w:tc>
          <w:tcPr>
            <w:tcW w:type="dxa" w:w="1336"/>
            <w:tcMar>
              <w:top w:w="80" w:type="dxa"/>
              <w:bottom w:w="80" w:type="dxa"/>
              <w:left w:w="100" w:type="dxa"/>
              <w:right w:w="100" w:type="dxa"/>
            </w:tcMar>
          </w:tcPr>
          <w:p>
            <w:pPr>
              <w:spacing w:after="20"/>
            </w:pPr>
            <w:r>
              <w:rPr>
                <w:rFonts w:ascii="IBM Plex Sans" w:hAnsi="IBM Plex Sans"/>
                <w:color w:val="404040"/>
                <w:sz w:val="16"/>
              </w:rPr>
              <w:t>4.75 V – 5.25 V</w:t>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r>
      <w:tr>
        <w:tc>
          <w:tcPr>
            <w:tcW w:type="dxa" w:w="1336"/>
            <w:shd w:fill="F4F7F5"/>
            <w:tcMar>
              <w:top w:w="80" w:type="dxa"/>
              <w:bottom w:w="80" w:type="dxa"/>
              <w:left w:w="100" w:type="dxa"/>
              <w:right w:w="100" w:type="dxa"/>
            </w:tcMar>
          </w:tcPr>
          <w:p>
            <w:pPr>
              <w:spacing w:after="20"/>
            </w:pPr>
            <w:r>
              <w:rPr>
                <w:rFonts w:ascii="IBM Plex Sans" w:hAnsi="IBM Plex Sans"/>
                <w:color w:val="404040"/>
                <w:sz w:val="16"/>
              </w:rPr>
              <w:t>2. 3.3V Supply Rail</w:t>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t>DMM at TP_3V3</w:t>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t>3.20 V – 3.40 V</w:t>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r>
      <w:tr>
        <w:tc>
          <w:tcPr>
            <w:tcW w:type="dxa" w:w="1336"/>
            <w:tcMar>
              <w:top w:w="80" w:type="dxa"/>
              <w:bottom w:w="80" w:type="dxa"/>
              <w:left w:w="100" w:type="dxa"/>
              <w:right w:w="100" w:type="dxa"/>
            </w:tcMar>
          </w:tcPr>
          <w:p>
            <w:pPr>
              <w:spacing w:after="20"/>
            </w:pPr>
            <w:r>
              <w:rPr>
                <w:rFonts w:ascii="IBM Plex Sans" w:hAnsi="IBM Plex Sans"/>
                <w:color w:val="404040"/>
                <w:sz w:val="16"/>
              </w:rPr>
              <w:t>3. SPI Communication</w:t>
            </w:r>
          </w:p>
        </w:tc>
        <w:tc>
          <w:tcPr>
            <w:tcW w:type="dxa" w:w="1336"/>
            <w:tcMar>
              <w:top w:w="80" w:type="dxa"/>
              <w:bottom w:w="80" w:type="dxa"/>
              <w:left w:w="100" w:type="dxa"/>
              <w:right w:w="100" w:type="dxa"/>
            </w:tcMar>
          </w:tcPr>
          <w:p>
            <w:pPr>
              <w:spacing w:after="20"/>
            </w:pPr>
            <w:r>
              <w:rPr>
                <w:rFonts w:ascii="IBM Plex Sans" w:hAnsi="IBM Plex Sans"/>
                <w:color w:val="404040"/>
                <w:sz w:val="16"/>
              </w:rPr>
              <w:t>Register Check via SW</w:t>
            </w:r>
          </w:p>
        </w:tc>
        <w:tc>
          <w:tcPr>
            <w:tcW w:type="dxa" w:w="1336"/>
            <w:tcMar>
              <w:top w:w="80" w:type="dxa"/>
              <w:bottom w:w="80" w:type="dxa"/>
              <w:left w:w="100" w:type="dxa"/>
              <w:right w:w="100" w:type="dxa"/>
            </w:tcMar>
          </w:tcPr>
          <w:p>
            <w:pPr>
              <w:spacing w:after="20"/>
            </w:pPr>
            <w:r>
              <w:rPr>
                <w:rFonts w:ascii="IBM Plex Sans" w:hAnsi="IBM Plex Sans"/>
                <w:color w:val="404040"/>
                <w:sz w:val="16"/>
              </w:rPr>
              <w:t>isChipConnected() == true</w:t>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r>
      <w:tr>
        <w:tc>
          <w:tcPr>
            <w:tcW w:type="dxa" w:w="1336"/>
            <w:shd w:fill="F4F7F5"/>
            <w:tcMar>
              <w:top w:w="80" w:type="dxa"/>
              <w:bottom w:w="80" w:type="dxa"/>
              <w:left w:w="100" w:type="dxa"/>
              <w:right w:w="100" w:type="dxa"/>
            </w:tcMar>
          </w:tcPr>
          <w:p>
            <w:pPr>
              <w:spacing w:after="20"/>
            </w:pPr>
            <w:r>
              <w:rPr>
                <w:rFonts w:ascii="IBM Plex Sans" w:hAnsi="IBM Plex Sans"/>
                <w:color w:val="404040"/>
                <w:sz w:val="16"/>
              </w:rPr>
              <w:t>4. PuTTY Serial Stream</w:t>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t>PuTTY @ 115200 Baud</w:t>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t>0% errors / 10 min stream</w:t>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c>
          <w:tcPr>
            <w:tcW w:type="dxa" w:w="1336"/>
            <w:shd w:fill="F4F7F5"/>
            <w:tcMar>
              <w:top w:w="80" w:type="dxa"/>
              <w:bottom w:w="80" w:type="dxa"/>
              <w:left w:w="100" w:type="dxa"/>
              <w:right w:w="100" w:type="dxa"/>
            </w:tcMar>
          </w:tcPr>
          <w:p>
            <w:pPr>
              <w:spacing w:after="20"/>
            </w:pPr>
            <w:r>
              <w:rPr>
                <w:rFonts w:ascii="IBM Plex Sans" w:hAnsi="IBM Plex Sans"/>
                <w:color w:val="404040"/>
                <w:sz w:val="16"/>
              </w:rPr>
            </w:r>
          </w:p>
        </w:tc>
      </w:tr>
      <w:tr>
        <w:tc>
          <w:tcPr>
            <w:tcW w:type="dxa" w:w="1336"/>
            <w:tcMar>
              <w:top w:w="80" w:type="dxa"/>
              <w:bottom w:w="80" w:type="dxa"/>
              <w:left w:w="100" w:type="dxa"/>
              <w:right w:w="100" w:type="dxa"/>
            </w:tcMar>
          </w:tcPr>
          <w:p>
            <w:pPr>
              <w:spacing w:after="20"/>
            </w:pPr>
            <w:r>
              <w:rPr>
                <w:rFonts w:ascii="IBM Plex Sans" w:hAnsi="IBM Plex Sans"/>
                <w:color w:val="404040"/>
                <w:sz w:val="16"/>
              </w:rPr>
              <w:t>5. Field Range Test</w:t>
            </w:r>
          </w:p>
        </w:tc>
        <w:tc>
          <w:tcPr>
            <w:tcW w:type="dxa" w:w="1336"/>
            <w:tcMar>
              <w:top w:w="80" w:type="dxa"/>
              <w:bottom w:w="80" w:type="dxa"/>
              <w:left w:w="100" w:type="dxa"/>
              <w:right w:w="100" w:type="dxa"/>
            </w:tcMar>
          </w:tcPr>
          <w:p>
            <w:pPr>
              <w:spacing w:after="20"/>
            </w:pPr>
            <w:r>
              <w:rPr>
                <w:rFonts w:ascii="IBM Plex Sans" w:hAnsi="IBM Plex Sans"/>
                <w:color w:val="404040"/>
                <w:sz w:val="16"/>
              </w:rPr>
              <w:t>Track test with car</w:t>
            </w:r>
          </w:p>
        </w:tc>
        <w:tc>
          <w:tcPr>
            <w:tcW w:type="dxa" w:w="1336"/>
            <w:tcMar>
              <w:top w:w="80" w:type="dxa"/>
              <w:bottom w:w="80" w:type="dxa"/>
              <w:left w:w="100" w:type="dxa"/>
              <w:right w:w="100" w:type="dxa"/>
            </w:tcMar>
          </w:tcPr>
          <w:p>
            <w:pPr>
              <w:spacing w:after="20"/>
            </w:pPr>
            <w:r>
              <w:rPr>
                <w:rFonts w:ascii="IBM Plex Sans" w:hAnsi="IBM Plex Sans"/>
                <w:color w:val="404040"/>
                <w:sz w:val="16"/>
              </w:rPr>
              <w:t>PRR ≥ 95% @ ≥ 300 m</w:t>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c>
          <w:tcPr>
            <w:tcW w:type="dxa" w:w="1336"/>
            <w:tcMar>
              <w:top w:w="80" w:type="dxa"/>
              <w:bottom w:w="80" w:type="dxa"/>
              <w:left w:w="100" w:type="dxa"/>
              <w:right w:w="100" w:type="dxa"/>
            </w:tcMar>
          </w:tcPr>
          <w:p>
            <w:pPr>
              <w:spacing w:after="20"/>
            </w:pPr>
            <w:r>
              <w:rPr>
                <w:rFonts w:ascii="IBM Plex Sans" w:hAnsi="IBM Plex Sans"/>
                <w:color w:val="404040"/>
                <w:sz w:val="16"/>
              </w:rPr>
            </w:r>
          </w:p>
        </w:tc>
      </w:tr>
    </w:tbl>
    <w:p>
      <w:pPr>
        <w:spacing w:after="80"/>
      </w:pPr>
    </w:p>
    <w:p>
      <w:pPr>
        <w:pStyle w:val="Heading1"/>
        <w:keepNext/>
        <w:spacing w:before="320" w:after="80"/>
      </w:pPr>
      <w:r>
        <w:rPr>
          <w:rFonts w:ascii="Jost" w:hAnsi="Jost"/>
          <w:color w:val="064229"/>
        </w:rPr>
        <w:t>6. Post-Design Requirement: Design Report</w:t>
      </w:r>
    </w:p>
    <w:p>
      <w:pPr>
        <w:spacing w:before="0" w:after="80" w:line="276" w:lineRule="auto"/>
      </w:pPr>
      <w:r>
        <w:rPr>
          <w:rFonts w:ascii="IBM Plex Sans" w:hAnsi="IBM Plex Sans"/>
          <w:i w:val="0"/>
          <w:color w:val="404040"/>
          <w:sz w:val="21"/>
        </w:rPr>
        <w:t>Upon completion of the PCB layout, hardware fabrication, and initial bench testing, a comprehensive Design Report document must be completed and submitted.</w:t>
      </w:r>
    </w:p>
    <w:p>
      <w:pPr>
        <w:spacing w:before="0" w:after="80" w:line="276" w:lineRule="auto"/>
      </w:pPr>
      <w:r>
        <w:rPr>
          <w:rFonts w:ascii="IBM Plex Sans" w:hAnsi="IBM Plex Sans"/>
          <w:i w:val="0"/>
          <w:color w:val="404040"/>
          <w:sz w:val="21"/>
        </w:rPr>
        <w:t>The Design Report must document:</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Schematic &amp; Layout Documentation:</w:t>
      </w:r>
      <w:r>
        <w:rPr>
          <w:rFonts w:ascii="IBM Plex Sans" w:hAnsi="IBM Plex Sans"/>
          <w:color w:val="404040"/>
          <w:sz w:val="21"/>
        </w:rPr>
        <w:t xml:space="preserve"> Detailed schematic diagrams, layer stack-up, trace routing, and RF ground plane implementation.</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Bill of Materials (BOM):</w:t>
      </w:r>
      <w:r>
        <w:rPr>
          <w:rFonts w:ascii="IBM Plex Sans" w:hAnsi="IBM Plex Sans"/>
          <w:color w:val="404040"/>
          <w:sz w:val="21"/>
        </w:rPr>
        <w:t xml:space="preserve"> Complete list of manufacturer part numbers, exact SMD/through-hole footprints, and supplier sourcing.</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3D Mechanical Integration:</w:t>
      </w:r>
      <w:r>
        <w:rPr>
          <w:rFonts w:ascii="IBM Plex Sans" w:hAnsi="IBM Plex Sans"/>
          <w:color w:val="404040"/>
          <w:sz w:val="21"/>
        </w:rPr>
        <w:t xml:space="preserve"> Enclosure CAD integration, connector port clearances, and M3 insert stress considerations.</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Validation Test Results:</w:t>
      </w:r>
      <w:r>
        <w:rPr>
          <w:rFonts w:ascii="IBM Plex Sans" w:hAnsi="IBM Plex Sans"/>
          <w:color w:val="404040"/>
          <w:sz w:val="21"/>
        </w:rPr>
        <w:t xml:space="preserve"> Oscilloscope captures, measured voltage rails, serial logs, and vehicle link budget telemetry graphs recorded using Section 5.</w:t>
      </w:r>
    </w:p>
    <w:p>
      <w:pPr>
        <w:pStyle w:val="ListParagraph"/>
        <w:spacing w:before="20" w:after="60" w:line="276" w:lineRule="auto"/>
        <w:ind w:left="360" w:hanging="216"/>
      </w:pPr>
      <w:r>
        <w:rPr>
          <w:rFonts w:ascii="Arial" w:hAnsi="Arial"/>
          <w:color w:val="064229"/>
          <w:sz w:val="16"/>
        </w:rPr>
        <w:t xml:space="preserve">▪  </w:t>
      </w:r>
      <w:r>
        <w:rPr>
          <w:rFonts w:ascii="IBM Plex Sans" w:hAnsi="IBM Plex Sans"/>
          <w:b/>
          <w:color w:val="064229"/>
          <w:sz w:val="21"/>
        </w:rPr>
        <w:t>Design Iterations &amp; Recommendations:</w:t>
      </w:r>
      <w:r>
        <w:rPr>
          <w:rFonts w:ascii="IBM Plex Sans" w:hAnsi="IBM Plex Sans"/>
          <w:color w:val="404040"/>
          <w:sz w:val="21"/>
        </w:rPr>
        <w:t xml:space="preserve"> Assembly issues encountered, thermal behavior, and proposed revisions for next-generation hardware.</w:t>
      </w:r>
    </w:p>
    <w:sectPr w:rsidR="00AF5C7F" w:rsidRPr="00241011" w:rsidSect="00AF5C7F">
      <w:headerReference w:type="default" r:id="rId13"/>
      <w:footerReference w:type="default" r:id="rId14"/>
      <w:pgSz w:w="11906" w:h="16838"/>
      <w:pgMar w:top="1418" w:right="1276" w:bottom="1418" w:left="1276" w:header="624"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595C8" w14:textId="77777777" w:rsidR="000B17FB" w:rsidRDefault="000B17FB" w:rsidP="007211AC">
      <w:pPr>
        <w:spacing w:after="0" w:line="240" w:lineRule="auto"/>
      </w:pPr>
      <w:r>
        <w:separator/>
      </w:r>
    </w:p>
  </w:endnote>
  <w:endnote w:type="continuationSeparator" w:id="0">
    <w:p w14:paraId="512DABD7" w14:textId="77777777" w:rsidR="000B17FB" w:rsidRDefault="000B17FB" w:rsidP="00721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BM Plex Sans">
    <w:panose1 w:val="020B0503050203000203"/>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ost">
    <w:panose1 w:val="00000000000000000000"/>
    <w:charset w:val="4D"/>
    <w:family w:val="auto"/>
    <w:pitch w:val="variable"/>
    <w:sig w:usb0="A00002EF" w:usb1="0000205B" w:usb2="00000010" w:usb3="00000000" w:csb0="00000097" w:csb1="00000000"/>
  </w:font>
  <w:font w:name="IBM Plex Mono">
    <w:panose1 w:val="020B0509050203000203"/>
    <w:charset w:val="4D"/>
    <w:family w:val="modern"/>
    <w:pitch w:val="fixed"/>
    <w:sig w:usb0="A000026F" w:usb1="5000207B" w:usb2="00000000" w:usb3="00000000" w:csb0="00000197"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B2C75" w14:textId="77777777" w:rsidR="00AF5C7F" w:rsidRDefault="00AF5C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79B6BC" w14:textId="77777777" w:rsidR="00AF5C7F" w:rsidRDefault="00AF5C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256ED" w14:textId="77777777" w:rsidR="00AF5C7F" w:rsidRDefault="00AF5C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00C168" w14:textId="1497A269" w:rsidR="00AF5C7F" w:rsidRDefault="00AF5C7F" w:rsidP="00AF5C7F">
    <w:pPr>
      <w:pStyle w:val="Footer"/>
    </w:pPr>
    <w:r>
      <w:t>ISC Formula Student Racing Team ©</w:t>
    </w:r>
    <w:r>
      <w:tab/>
    </w:r>
    <w:r>
      <w:tab/>
      <w:t xml:space="preserve">Page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65B48B" w14:textId="77777777" w:rsidR="000B17FB" w:rsidRDefault="000B17FB" w:rsidP="007211AC">
      <w:pPr>
        <w:spacing w:after="0" w:line="240" w:lineRule="auto"/>
      </w:pPr>
      <w:r>
        <w:separator/>
      </w:r>
    </w:p>
  </w:footnote>
  <w:footnote w:type="continuationSeparator" w:id="0">
    <w:p w14:paraId="3247C8B0" w14:textId="77777777" w:rsidR="000B17FB" w:rsidRDefault="000B17FB" w:rsidP="00721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82EA7" w14:textId="77777777" w:rsidR="00AF5C7F" w:rsidRDefault="00AF5C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E37" w14:textId="77777777" w:rsidR="00AF5C7F" w:rsidRDefault="00AF5C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62163" w14:textId="77777777" w:rsidR="00AF5C7F" w:rsidRDefault="00AF5C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B560D" w14:textId="77777777" w:rsidR="00AF5C7F" w:rsidRDefault="00AF5C7F">
    <w:pPr>
      <w:pStyle w:val="Header"/>
      <w:jc w:val="center"/>
    </w:pPr>
    <w:r>
      <w:rPr>
        <w:noProof/>
      </w:rPr>
      <w:drawing>
        <wp:anchor distT="0" distB="0" distL="114300" distR="114300" simplePos="0" relativeHeight="251658240" behindDoc="0" locked="0" layoutInCell="1" allowOverlap="1" wp14:anchorId="78BDFA6B" wp14:editId="2E8C8D42">
          <wp:simplePos x="0" y="0"/>
          <wp:positionH relativeFrom="column">
            <wp:posOffset>2461895</wp:posOffset>
          </wp:positionH>
          <wp:positionV relativeFrom="paragraph">
            <wp:posOffset>-153706</wp:posOffset>
          </wp:positionV>
          <wp:extent cx="1016000" cy="394410"/>
          <wp:effectExtent l="0" t="0" r="0" b="0"/>
          <wp:wrapNone/>
          <wp:docPr id="2" name="ISC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k.png"/>
                  <pic:cNvPicPr/>
                </pic:nvPicPr>
                <pic:blipFill>
                  <a:blip r:embed="rId1">
                    <a:extLst>
                      <a:ext uri="{28A0092B-C50C-407E-A947-70E740481C1C}">
                        <a14:useLocalDpi xmlns:a14="http://schemas.microsoft.com/office/drawing/2010/main" val="0"/>
                      </a:ext>
                    </a:extLst>
                  </a:blip>
                  <a:stretch>
                    <a:fillRect/>
                  </a:stretch>
                </pic:blipFill>
                <pic:spPr>
                  <a:xfrm>
                    <a:off x="0" y="0"/>
                    <a:ext cx="1016000" cy="39441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isplayBackgroundShap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01"/>
    <w:rsid w:val="000619A0"/>
    <w:rsid w:val="000B17FB"/>
    <w:rsid w:val="00241011"/>
    <w:rsid w:val="002748C3"/>
    <w:rsid w:val="00302C1E"/>
    <w:rsid w:val="00303091"/>
    <w:rsid w:val="00335A6C"/>
    <w:rsid w:val="00591F01"/>
    <w:rsid w:val="00696195"/>
    <w:rsid w:val="007211AC"/>
    <w:rsid w:val="007609CA"/>
    <w:rsid w:val="00786C53"/>
    <w:rsid w:val="00833AE7"/>
    <w:rsid w:val="00AF5C7F"/>
    <w:rsid w:val="00B14936"/>
    <w:rsid w:val="00C01C04"/>
    <w:rsid w:val="00C67160"/>
    <w:rsid w:val="00DB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228BD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C7F"/>
    <w:rPr>
      <w:rFonts w:ascii="IBM Plex Sans" w:eastAsia="Times New Roman" w:hAnsi="IBM Plex Sans" w:cs="IBM Plex Sans"/>
      <w:color w:val="404040"/>
      <w:kern w:val="0"/>
      <w:sz w:val="22"/>
      <w:szCs w:val="22"/>
      <w14:ligatures w14:val="none"/>
    </w:rPr>
  </w:style>
  <w:style w:type="paragraph" w:styleId="Heading1">
    <w:name w:val="heading 1"/>
    <w:basedOn w:val="Normal"/>
    <w:next w:val="Normal"/>
    <w:link w:val="Heading1Char"/>
    <w:uiPriority w:val="9"/>
    <w:qFormat/>
    <w:rsid w:val="00AF5C7F"/>
    <w:pPr>
      <w:keepNext/>
      <w:keepLines/>
      <w:spacing w:before="360" w:after="140" w:line="240" w:lineRule="auto"/>
      <w:outlineLvl w:val="0"/>
    </w:pPr>
    <w:rPr>
      <w:rFonts w:ascii="Jost" w:hAnsi="Jost" w:cs="Jost"/>
      <w:b/>
      <w:color w:val="064229"/>
      <w:sz w:val="40"/>
      <w:szCs w:val="40"/>
    </w:rPr>
  </w:style>
  <w:style w:type="paragraph" w:styleId="Heading2">
    <w:name w:val="heading 2"/>
    <w:basedOn w:val="Normal"/>
    <w:next w:val="Normal"/>
    <w:link w:val="Heading2Char"/>
    <w:uiPriority w:val="9"/>
    <w:unhideWhenUsed/>
    <w:qFormat/>
    <w:rsid w:val="00AF5C7F"/>
    <w:pPr>
      <w:keepNext/>
      <w:keepLines/>
      <w:spacing w:before="280" w:after="120" w:line="240" w:lineRule="auto"/>
      <w:outlineLvl w:val="1"/>
    </w:pPr>
    <w:rPr>
      <w:rFonts w:ascii="Jost" w:hAnsi="Jost" w:cs="Jost"/>
      <w:b/>
      <w:color w:val="064229"/>
      <w:sz w:val="30"/>
      <w:szCs w:val="30"/>
    </w:rPr>
  </w:style>
  <w:style w:type="paragraph" w:styleId="Heading3">
    <w:name w:val="heading 3"/>
    <w:basedOn w:val="Normal"/>
    <w:next w:val="Normal"/>
    <w:link w:val="Heading3Char"/>
    <w:uiPriority w:val="9"/>
    <w:unhideWhenUsed/>
    <w:qFormat/>
    <w:rsid w:val="00AF5C7F"/>
    <w:pPr>
      <w:keepNext/>
      <w:keepLines/>
      <w:spacing w:before="240" w:after="100" w:line="240" w:lineRule="auto"/>
      <w:outlineLvl w:val="2"/>
    </w:pPr>
    <w:rPr>
      <w:rFonts w:ascii="Jost" w:hAnsi="Jost" w:cs="Jost"/>
      <w:b/>
      <w:sz w:val="24"/>
      <w:szCs w:val="24"/>
    </w:rPr>
  </w:style>
  <w:style w:type="paragraph" w:styleId="Heading4">
    <w:name w:val="heading 4"/>
    <w:basedOn w:val="Normal"/>
    <w:next w:val="Normal"/>
    <w:link w:val="Heading4Char"/>
    <w:uiPriority w:val="9"/>
    <w:unhideWhenUsed/>
    <w:qFormat/>
    <w:rsid w:val="00AF5C7F"/>
    <w:pPr>
      <w:keepNext/>
      <w:keepLines/>
      <w:spacing w:before="240" w:after="120" w:line="240" w:lineRule="auto"/>
      <w:outlineLvl w:val="3"/>
    </w:pPr>
    <w:rPr>
      <w:rFonts w:ascii="Jost" w:hAnsi="Jost" w:cs="Jost"/>
      <w:b/>
      <w:caps/>
      <w:color w:val="C88A00"/>
      <w:sz w:val="20"/>
    </w:rPr>
  </w:style>
  <w:style w:type="paragraph" w:styleId="Heading5">
    <w:name w:val="heading 5"/>
    <w:basedOn w:val="Normal"/>
    <w:next w:val="Normal"/>
    <w:link w:val="Heading5Char"/>
    <w:uiPriority w:val="9"/>
    <w:semiHidden/>
    <w:unhideWhenUsed/>
    <w:qFormat/>
    <w:rsid w:val="00C01C04"/>
    <w:pPr>
      <w:keepNext/>
      <w:keepLines/>
      <w:spacing w:before="80" w:after="40"/>
      <w:outlineLvl w:val="4"/>
    </w:pPr>
    <w:rPr>
      <w:rFonts w:eastAsiaTheme="majorEastAsia" w:cstheme="majorBidi"/>
      <w:color w:val="04311E" w:themeColor="accent1" w:themeShade="BF"/>
    </w:rPr>
  </w:style>
  <w:style w:type="paragraph" w:styleId="Heading6">
    <w:name w:val="heading 6"/>
    <w:basedOn w:val="Normal"/>
    <w:next w:val="Normal"/>
    <w:link w:val="Heading6Char"/>
    <w:uiPriority w:val="9"/>
    <w:semiHidden/>
    <w:unhideWhenUsed/>
    <w:qFormat/>
    <w:rsid w:val="00C01C04"/>
    <w:pPr>
      <w:keepNext/>
      <w:keepLines/>
      <w:spacing w:before="40" w:after="0"/>
      <w:outlineLvl w:val="5"/>
    </w:pPr>
    <w:rPr>
      <w:rFonts w:eastAsiaTheme="majorEastAsia" w:cstheme="majorBidi"/>
      <w:i/>
      <w:iCs/>
      <w:color w:val="828282" w:themeColor="text1" w:themeTint="A6"/>
    </w:rPr>
  </w:style>
  <w:style w:type="paragraph" w:styleId="Heading7">
    <w:name w:val="heading 7"/>
    <w:basedOn w:val="Normal"/>
    <w:next w:val="Normal"/>
    <w:link w:val="Heading7Char"/>
    <w:uiPriority w:val="9"/>
    <w:semiHidden/>
    <w:unhideWhenUsed/>
    <w:qFormat/>
    <w:rsid w:val="00C01C04"/>
    <w:pPr>
      <w:keepNext/>
      <w:keepLines/>
      <w:spacing w:before="40" w:after="0"/>
      <w:outlineLvl w:val="6"/>
    </w:pPr>
    <w:rPr>
      <w:rFonts w:eastAsiaTheme="majorEastAsia" w:cstheme="majorBidi"/>
      <w:color w:val="828282" w:themeColor="text1" w:themeTint="A6"/>
    </w:rPr>
  </w:style>
  <w:style w:type="paragraph" w:styleId="Heading8">
    <w:name w:val="heading 8"/>
    <w:basedOn w:val="Normal"/>
    <w:next w:val="Normal"/>
    <w:link w:val="Heading8Char"/>
    <w:uiPriority w:val="9"/>
    <w:semiHidden/>
    <w:unhideWhenUsed/>
    <w:qFormat/>
    <w:rsid w:val="00C01C04"/>
    <w:pPr>
      <w:keepNext/>
      <w:keepLines/>
      <w:spacing w:after="0"/>
      <w:outlineLvl w:val="7"/>
    </w:pPr>
    <w:rPr>
      <w:rFonts w:eastAsiaTheme="majorEastAsia" w:cstheme="majorBidi"/>
      <w:i/>
      <w:iCs/>
      <w:color w:val="5D5D5D" w:themeColor="text1" w:themeTint="D8"/>
    </w:rPr>
  </w:style>
  <w:style w:type="paragraph" w:styleId="Heading9">
    <w:name w:val="heading 9"/>
    <w:basedOn w:val="Normal"/>
    <w:next w:val="Normal"/>
    <w:link w:val="Heading9Char"/>
    <w:uiPriority w:val="9"/>
    <w:semiHidden/>
    <w:unhideWhenUsed/>
    <w:qFormat/>
    <w:rsid w:val="00C01C04"/>
    <w:pPr>
      <w:keepNext/>
      <w:keepLines/>
      <w:spacing w:after="0"/>
      <w:outlineLvl w:val="8"/>
    </w:pPr>
    <w:rPr>
      <w:rFonts w:eastAsiaTheme="majorEastAsia" w:cstheme="majorBidi"/>
      <w:color w:val="5D5D5D" w:themeColor="text1" w:themeTint="D8"/>
    </w:rPr>
  </w:style>
  <w:style w:type="character" w:default="1" w:styleId="DefaultParagraphFont">
    <w:name w:val="Default Paragraph Font"/>
    <w:uiPriority w:val="1"/>
    <w:unhideWhenUsed/>
    <w:rsid w:val="00AF5C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C7F"/>
  </w:style>
  <w:style w:type="character" w:customStyle="1" w:styleId="Heading1Char">
    <w:name w:val="Heading 1 Char"/>
    <w:basedOn w:val="DefaultParagraphFont"/>
    <w:link w:val="Heading1"/>
    <w:uiPriority w:val="9"/>
    <w:rsid w:val="00C01C04"/>
    <w:rPr>
      <w:rFonts w:ascii="Jost" w:eastAsia="Times New Roman" w:hAnsi="Jost" w:cs="Jost"/>
      <w:b/>
      <w:color w:val="064229"/>
      <w:kern w:val="0"/>
      <w:sz w:val="40"/>
      <w:szCs w:val="40"/>
      <w14:ligatures w14:val="none"/>
    </w:rPr>
  </w:style>
  <w:style w:type="character" w:customStyle="1" w:styleId="Heading2Char">
    <w:name w:val="Heading 2 Char"/>
    <w:basedOn w:val="DefaultParagraphFont"/>
    <w:link w:val="Heading2"/>
    <w:uiPriority w:val="9"/>
    <w:rsid w:val="00C01C04"/>
    <w:rPr>
      <w:rFonts w:ascii="Jost" w:eastAsia="Times New Roman" w:hAnsi="Jost" w:cs="Jost"/>
      <w:b/>
      <w:color w:val="064229"/>
      <w:kern w:val="0"/>
      <w:sz w:val="30"/>
      <w:szCs w:val="30"/>
      <w14:ligatures w14:val="none"/>
    </w:rPr>
  </w:style>
  <w:style w:type="character" w:customStyle="1" w:styleId="Heading3Char">
    <w:name w:val="Heading 3 Char"/>
    <w:basedOn w:val="DefaultParagraphFont"/>
    <w:link w:val="Heading3"/>
    <w:uiPriority w:val="9"/>
    <w:rsid w:val="00C01C04"/>
    <w:rPr>
      <w:rFonts w:ascii="Jost" w:eastAsia="Times New Roman" w:hAnsi="Jost" w:cs="Jost"/>
      <w:b/>
      <w:color w:val="404040"/>
      <w:kern w:val="0"/>
      <w14:ligatures w14:val="none"/>
    </w:rPr>
  </w:style>
  <w:style w:type="character" w:customStyle="1" w:styleId="Heading4Char">
    <w:name w:val="Heading 4 Char"/>
    <w:basedOn w:val="DefaultParagraphFont"/>
    <w:link w:val="Heading4"/>
    <w:uiPriority w:val="9"/>
    <w:rsid w:val="00C01C04"/>
    <w:rPr>
      <w:rFonts w:ascii="Jost" w:eastAsia="Times New Roman" w:hAnsi="Jost" w:cs="Jost"/>
      <w:b/>
      <w:caps/>
      <w:color w:val="C88A00"/>
      <w:kern w:val="0"/>
      <w:sz w:val="20"/>
      <w:szCs w:val="22"/>
      <w14:ligatures w14:val="none"/>
    </w:rPr>
  </w:style>
  <w:style w:type="character" w:customStyle="1" w:styleId="Heading5Char">
    <w:name w:val="Heading 5 Char"/>
    <w:basedOn w:val="DefaultParagraphFont"/>
    <w:link w:val="Heading5"/>
    <w:uiPriority w:val="9"/>
    <w:semiHidden/>
    <w:rsid w:val="00C01C04"/>
    <w:rPr>
      <w:rFonts w:eastAsiaTheme="majorEastAsia" w:cstheme="majorBidi"/>
      <w:color w:val="04311E" w:themeColor="accent1" w:themeShade="BF"/>
    </w:rPr>
  </w:style>
  <w:style w:type="character" w:customStyle="1" w:styleId="Heading6Char">
    <w:name w:val="Heading 6 Char"/>
    <w:basedOn w:val="DefaultParagraphFont"/>
    <w:link w:val="Heading6"/>
    <w:uiPriority w:val="9"/>
    <w:semiHidden/>
    <w:rsid w:val="00C01C04"/>
    <w:rPr>
      <w:rFonts w:eastAsiaTheme="majorEastAsia" w:cstheme="majorBidi"/>
      <w:i/>
      <w:iCs/>
      <w:color w:val="828282" w:themeColor="text1" w:themeTint="A6"/>
    </w:rPr>
  </w:style>
  <w:style w:type="character" w:customStyle="1" w:styleId="Heading7Char">
    <w:name w:val="Heading 7 Char"/>
    <w:basedOn w:val="DefaultParagraphFont"/>
    <w:link w:val="Heading7"/>
    <w:uiPriority w:val="9"/>
    <w:semiHidden/>
    <w:rsid w:val="00C01C04"/>
    <w:rPr>
      <w:rFonts w:eastAsiaTheme="majorEastAsia" w:cstheme="majorBidi"/>
      <w:color w:val="828282" w:themeColor="text1" w:themeTint="A6"/>
    </w:rPr>
  </w:style>
  <w:style w:type="character" w:customStyle="1" w:styleId="Heading8Char">
    <w:name w:val="Heading 8 Char"/>
    <w:basedOn w:val="DefaultParagraphFont"/>
    <w:link w:val="Heading8"/>
    <w:uiPriority w:val="9"/>
    <w:semiHidden/>
    <w:rsid w:val="00C01C04"/>
    <w:rPr>
      <w:rFonts w:eastAsiaTheme="majorEastAsia" w:cstheme="majorBidi"/>
      <w:i/>
      <w:iCs/>
      <w:color w:val="5D5D5D" w:themeColor="text1" w:themeTint="D8"/>
    </w:rPr>
  </w:style>
  <w:style w:type="character" w:customStyle="1" w:styleId="Heading9Char">
    <w:name w:val="Heading 9 Char"/>
    <w:basedOn w:val="DefaultParagraphFont"/>
    <w:link w:val="Heading9"/>
    <w:uiPriority w:val="9"/>
    <w:semiHidden/>
    <w:rsid w:val="00C01C04"/>
    <w:rPr>
      <w:rFonts w:eastAsiaTheme="majorEastAsia" w:cstheme="majorBidi"/>
      <w:color w:val="5D5D5D" w:themeColor="text1" w:themeTint="D8"/>
    </w:rPr>
  </w:style>
  <w:style w:type="paragraph" w:styleId="Caption">
    <w:name w:val="caption"/>
    <w:basedOn w:val="Normal"/>
    <w:next w:val="Normal"/>
    <w:uiPriority w:val="35"/>
    <w:semiHidden/>
    <w:unhideWhenUsed/>
    <w:qFormat/>
    <w:rsid w:val="00C01C04"/>
    <w:pPr>
      <w:spacing w:line="240" w:lineRule="auto"/>
    </w:pPr>
    <w:rPr>
      <w:i/>
      <w:iCs/>
      <w:color w:val="064229" w:themeColor="text2"/>
      <w:sz w:val="18"/>
      <w:szCs w:val="18"/>
    </w:rPr>
  </w:style>
  <w:style w:type="paragraph" w:styleId="Title">
    <w:name w:val="Title"/>
    <w:basedOn w:val="Normal"/>
    <w:next w:val="Normal"/>
    <w:link w:val="TitleChar"/>
    <w:uiPriority w:val="10"/>
    <w:qFormat/>
    <w:rsid w:val="00AF5C7F"/>
    <w:pPr>
      <w:spacing w:after="120" w:line="240" w:lineRule="auto"/>
    </w:pPr>
    <w:rPr>
      <w:rFonts w:ascii="Jost" w:hAnsi="Jost" w:cs="Jost"/>
      <w:b/>
      <w:color w:val="064229"/>
      <w:sz w:val="64"/>
      <w:szCs w:val="64"/>
    </w:rPr>
  </w:style>
  <w:style w:type="character" w:customStyle="1" w:styleId="TitleChar">
    <w:name w:val="Title Char"/>
    <w:basedOn w:val="DefaultParagraphFont"/>
    <w:link w:val="Title"/>
    <w:uiPriority w:val="10"/>
    <w:rsid w:val="00C01C04"/>
    <w:rPr>
      <w:rFonts w:ascii="Jost" w:eastAsia="Times New Roman" w:hAnsi="Jost" w:cs="Jost"/>
      <w:b/>
      <w:color w:val="064229"/>
      <w:kern w:val="0"/>
      <w:sz w:val="64"/>
      <w:szCs w:val="64"/>
      <w14:ligatures w14:val="none"/>
    </w:rPr>
  </w:style>
  <w:style w:type="paragraph" w:styleId="Subtitle">
    <w:name w:val="Subtitle"/>
    <w:basedOn w:val="Normal"/>
    <w:next w:val="Normal"/>
    <w:link w:val="SubtitleChar"/>
    <w:uiPriority w:val="11"/>
    <w:qFormat/>
    <w:rsid w:val="00AF5C7F"/>
    <w:pPr>
      <w:spacing w:before="120" w:after="360"/>
    </w:pPr>
    <w:rPr>
      <w:rFonts w:ascii="Jost" w:hAnsi="Jost" w:cs="Jost"/>
      <w:color w:val="C88A00"/>
      <w:sz w:val="24"/>
    </w:rPr>
  </w:style>
  <w:style w:type="character" w:customStyle="1" w:styleId="SubtitleChar">
    <w:name w:val="Subtitle Char"/>
    <w:basedOn w:val="DefaultParagraphFont"/>
    <w:link w:val="Subtitle"/>
    <w:uiPriority w:val="11"/>
    <w:rsid w:val="00C01C04"/>
    <w:rPr>
      <w:rFonts w:ascii="Jost" w:eastAsia="Times New Roman" w:hAnsi="Jost" w:cs="Jost"/>
      <w:color w:val="C88A00"/>
      <w:kern w:val="0"/>
      <w:szCs w:val="22"/>
      <w14:ligatures w14:val="none"/>
    </w:rPr>
  </w:style>
  <w:style w:type="character" w:styleId="Strong">
    <w:name w:val="Strong"/>
    <w:uiPriority w:val="22"/>
    <w:qFormat/>
    <w:rsid w:val="00C01C04"/>
    <w:rPr>
      <w:b/>
      <w:bCs/>
    </w:rPr>
  </w:style>
  <w:style w:type="character" w:styleId="Emphasis">
    <w:name w:val="Emphasis"/>
    <w:uiPriority w:val="20"/>
    <w:qFormat/>
    <w:rsid w:val="00C01C04"/>
    <w:rPr>
      <w:i/>
      <w:iCs/>
    </w:rPr>
  </w:style>
  <w:style w:type="paragraph" w:styleId="NoSpacing">
    <w:name w:val="No Spacing"/>
    <w:basedOn w:val="Normal"/>
    <w:link w:val="NoSpacingChar"/>
    <w:uiPriority w:val="1"/>
    <w:qFormat/>
    <w:rsid w:val="00C01C04"/>
    <w:pPr>
      <w:spacing w:after="0" w:line="240" w:lineRule="auto"/>
    </w:pPr>
  </w:style>
  <w:style w:type="character" w:customStyle="1" w:styleId="NoSpacingChar">
    <w:name w:val="No Spacing Char"/>
    <w:basedOn w:val="DefaultParagraphFont"/>
    <w:link w:val="NoSpacing"/>
    <w:uiPriority w:val="1"/>
    <w:rsid w:val="00C01C04"/>
  </w:style>
  <w:style w:type="paragraph" w:styleId="ListParagraph">
    <w:name w:val="List Paragraph"/>
    <w:basedOn w:val="Normal"/>
    <w:uiPriority w:val="34"/>
    <w:qFormat/>
    <w:rsid w:val="00C01C04"/>
    <w:pPr>
      <w:ind w:left="720"/>
      <w:contextualSpacing/>
    </w:pPr>
  </w:style>
  <w:style w:type="paragraph" w:styleId="Quote">
    <w:name w:val="Quote"/>
    <w:basedOn w:val="Normal"/>
    <w:next w:val="Normal"/>
    <w:link w:val="QuoteChar"/>
    <w:uiPriority w:val="1"/>
    <w:qFormat/>
    <w:rsid w:val="00AF5C7F"/>
    <w:pPr>
      <w:spacing w:before="200" w:after="200"/>
      <w:ind w:right="284"/>
    </w:pPr>
    <w:rPr>
      <w:i/>
      <w:color w:val="0E6B41"/>
    </w:rPr>
  </w:style>
  <w:style w:type="character" w:customStyle="1" w:styleId="QuoteChar">
    <w:name w:val="Quote Char"/>
    <w:basedOn w:val="DefaultParagraphFont"/>
    <w:link w:val="Quote"/>
    <w:uiPriority w:val="1"/>
    <w:rsid w:val="00C01C04"/>
    <w:rPr>
      <w:rFonts w:ascii="IBM Plex Sans" w:eastAsia="Times New Roman" w:hAnsi="IBM Plex Sans" w:cs="IBM Plex Sans"/>
      <w:i/>
      <w:color w:val="0E6B41"/>
      <w:kern w:val="0"/>
      <w:sz w:val="22"/>
      <w:szCs w:val="22"/>
      <w14:ligatures w14:val="none"/>
    </w:rPr>
  </w:style>
  <w:style w:type="paragraph" w:styleId="IntenseQuote">
    <w:name w:val="Intense Quote"/>
    <w:basedOn w:val="Normal"/>
    <w:next w:val="Normal"/>
    <w:link w:val="IntenseQuoteChar"/>
    <w:uiPriority w:val="30"/>
    <w:qFormat/>
    <w:rsid w:val="00C01C04"/>
    <w:pPr>
      <w:pBdr>
        <w:top w:val="single" w:sz="4" w:space="10" w:color="04311E" w:themeColor="accent1" w:themeShade="BF"/>
        <w:bottom w:val="single" w:sz="4" w:space="10" w:color="04311E" w:themeColor="accent1" w:themeShade="BF"/>
      </w:pBdr>
      <w:spacing w:before="360" w:after="360"/>
      <w:ind w:left="864" w:right="864"/>
      <w:jc w:val="center"/>
    </w:pPr>
    <w:rPr>
      <w:i/>
      <w:iCs/>
      <w:color w:val="04311E" w:themeColor="accent1" w:themeShade="BF"/>
    </w:rPr>
  </w:style>
  <w:style w:type="character" w:customStyle="1" w:styleId="IntenseQuoteChar">
    <w:name w:val="Intense Quote Char"/>
    <w:basedOn w:val="DefaultParagraphFont"/>
    <w:link w:val="IntenseQuote"/>
    <w:uiPriority w:val="30"/>
    <w:rsid w:val="00C01C04"/>
    <w:rPr>
      <w:i/>
      <w:iCs/>
      <w:color w:val="04311E" w:themeColor="accent1" w:themeShade="BF"/>
    </w:rPr>
  </w:style>
  <w:style w:type="character" w:styleId="SubtleEmphasis">
    <w:name w:val="Subtle Emphasis"/>
    <w:uiPriority w:val="19"/>
    <w:qFormat/>
    <w:rsid w:val="00C01C04"/>
    <w:rPr>
      <w:i/>
      <w:iCs/>
      <w:color w:val="6F6F6F" w:themeColor="text1" w:themeTint="BF"/>
    </w:rPr>
  </w:style>
  <w:style w:type="character" w:styleId="IntenseEmphasis">
    <w:name w:val="Intense Emphasis"/>
    <w:uiPriority w:val="21"/>
    <w:qFormat/>
    <w:rsid w:val="00C01C04"/>
    <w:rPr>
      <w:i/>
      <w:iCs/>
      <w:color w:val="04311E" w:themeColor="accent1" w:themeShade="BF"/>
    </w:rPr>
  </w:style>
  <w:style w:type="character" w:styleId="SubtleReference">
    <w:name w:val="Subtle Reference"/>
    <w:uiPriority w:val="31"/>
    <w:qFormat/>
    <w:rsid w:val="00C01C04"/>
    <w:rPr>
      <w:smallCaps/>
      <w:color w:val="838383" w:themeColor="text1" w:themeTint="A5"/>
    </w:rPr>
  </w:style>
  <w:style w:type="character" w:styleId="IntenseReference">
    <w:name w:val="Intense Reference"/>
    <w:uiPriority w:val="32"/>
    <w:qFormat/>
    <w:rsid w:val="00C01C04"/>
    <w:rPr>
      <w:b/>
      <w:bCs/>
      <w:smallCaps/>
      <w:color w:val="04311E" w:themeColor="accent1" w:themeShade="BF"/>
      <w:spacing w:val="5"/>
    </w:rPr>
  </w:style>
  <w:style w:type="character" w:styleId="BookTitle">
    <w:name w:val="Book Title"/>
    <w:uiPriority w:val="33"/>
    <w:qFormat/>
    <w:rsid w:val="00C01C04"/>
    <w:rPr>
      <w:b/>
      <w:bCs/>
      <w:i/>
      <w:iCs/>
      <w:spacing w:val="5"/>
    </w:rPr>
  </w:style>
  <w:style w:type="paragraph" w:styleId="TOCHeading">
    <w:name w:val="TOC Heading"/>
    <w:basedOn w:val="Heading1"/>
    <w:next w:val="Normal"/>
    <w:uiPriority w:val="39"/>
    <w:semiHidden/>
    <w:unhideWhenUsed/>
    <w:qFormat/>
    <w:rsid w:val="00C01C04"/>
    <w:pPr>
      <w:spacing w:before="240" w:after="0"/>
      <w:outlineLvl w:val="9"/>
    </w:pPr>
    <w:rPr>
      <w:sz w:val="32"/>
      <w:szCs w:val="32"/>
    </w:rPr>
  </w:style>
  <w:style w:type="paragraph" w:styleId="Header">
    <w:name w:val="header"/>
    <w:basedOn w:val="Normal"/>
    <w:next w:val="Normal"/>
    <w:link w:val="HeaderChar"/>
    <w:uiPriority w:val="1"/>
    <w:rsid w:val="00AF5C7F"/>
    <w:pPr>
      <w:tabs>
        <w:tab w:val="center" w:pos="4677"/>
        <w:tab w:val="right" w:pos="9354"/>
      </w:tabs>
      <w:spacing w:after="0" w:line="240" w:lineRule="auto"/>
    </w:pPr>
    <w:rPr>
      <w:color w:val="7C8471"/>
      <w:sz w:val="16"/>
    </w:rPr>
  </w:style>
  <w:style w:type="character" w:customStyle="1" w:styleId="HeaderChar">
    <w:name w:val="Header Char"/>
    <w:basedOn w:val="DefaultParagraphFont"/>
    <w:link w:val="Header"/>
    <w:uiPriority w:val="1"/>
    <w:rsid w:val="007211AC"/>
    <w:rPr>
      <w:rFonts w:ascii="IBM Plex Sans" w:eastAsia="Times New Roman" w:hAnsi="IBM Plex Sans" w:cs="IBM Plex Sans"/>
      <w:color w:val="7C8471"/>
      <w:kern w:val="0"/>
      <w:sz w:val="16"/>
      <w:szCs w:val="22"/>
      <w14:ligatures w14:val="none"/>
    </w:rPr>
  </w:style>
  <w:style w:type="paragraph" w:styleId="Footer">
    <w:name w:val="footer"/>
    <w:basedOn w:val="Normal"/>
    <w:next w:val="Normal"/>
    <w:link w:val="FooterChar"/>
    <w:uiPriority w:val="1"/>
    <w:rsid w:val="00AF5C7F"/>
    <w:pPr>
      <w:tabs>
        <w:tab w:val="center" w:pos="4677"/>
        <w:tab w:val="right" w:pos="9354"/>
      </w:tabs>
      <w:spacing w:after="0" w:line="240" w:lineRule="auto"/>
    </w:pPr>
    <w:rPr>
      <w:color w:val="7C8471"/>
      <w:sz w:val="16"/>
    </w:rPr>
  </w:style>
  <w:style w:type="character" w:customStyle="1" w:styleId="FooterChar">
    <w:name w:val="Footer Char"/>
    <w:basedOn w:val="DefaultParagraphFont"/>
    <w:link w:val="Footer"/>
    <w:uiPriority w:val="1"/>
    <w:rsid w:val="007211AC"/>
    <w:rPr>
      <w:rFonts w:ascii="IBM Plex Sans" w:eastAsia="Times New Roman" w:hAnsi="IBM Plex Sans" w:cs="IBM Plex Sans"/>
      <w:color w:val="7C8471"/>
      <w:kern w:val="0"/>
      <w:sz w:val="16"/>
      <w:szCs w:val="22"/>
      <w14:ligatures w14:val="none"/>
    </w:rPr>
  </w:style>
  <w:style w:type="paragraph" w:customStyle="1" w:styleId="ISCLead">
    <w:name w:val="ISC Lead"/>
    <w:basedOn w:val="Normal"/>
    <w:next w:val="Normal"/>
    <w:uiPriority w:val="1"/>
    <w:qFormat/>
    <w:rsid w:val="00AF5C7F"/>
    <w:pPr>
      <w:spacing w:after="240"/>
    </w:pPr>
    <w:rPr>
      <w:color w:val="064229"/>
      <w:sz w:val="26"/>
    </w:rPr>
  </w:style>
  <w:style w:type="paragraph" w:customStyle="1" w:styleId="ISCLabel">
    <w:name w:val="ISC Label"/>
    <w:basedOn w:val="Normal"/>
    <w:next w:val="Normal"/>
    <w:uiPriority w:val="1"/>
    <w:qFormat/>
    <w:rsid w:val="00AF5C7F"/>
    <w:pPr>
      <w:spacing w:after="60"/>
    </w:pPr>
    <w:rPr>
      <w:rFonts w:ascii="Jost" w:hAnsi="Jost" w:cs="Jost"/>
      <w:b/>
      <w:caps/>
      <w:color w:val="C88A00"/>
      <w:sz w:val="18"/>
    </w:rPr>
  </w:style>
  <w:style w:type="paragraph" w:customStyle="1" w:styleId="ISCData">
    <w:name w:val="ISC Data"/>
    <w:basedOn w:val="Normal"/>
    <w:next w:val="Normal"/>
    <w:uiPriority w:val="1"/>
    <w:qFormat/>
    <w:rsid w:val="00AF5C7F"/>
    <w:pPr>
      <w:spacing w:after="80"/>
    </w:pPr>
    <w:rPr>
      <w:rFonts w:ascii="IBM Plex Mono" w:hAnsi="IBM Plex Mono" w:cs="IBM Plex Mono"/>
      <w:color w:val="064229"/>
      <w:sz w:val="20"/>
    </w:rPr>
  </w:style>
  <w:style w:type="paragraph" w:customStyle="1" w:styleId="ISCCaption">
    <w:name w:val="ISC Caption"/>
    <w:basedOn w:val="Normal"/>
    <w:next w:val="Normal"/>
    <w:uiPriority w:val="1"/>
    <w:qFormat/>
    <w:rsid w:val="00AF5C7F"/>
    <w:pPr>
      <w:spacing w:before="60" w:after="240"/>
    </w:pPr>
    <w:rPr>
      <w:i/>
      <w:color w:val="7C8471"/>
      <w:sz w:val="17"/>
    </w:rPr>
  </w:style>
  <w:style w:type="paragraph" w:customStyle="1" w:styleId="ISCCallout">
    <w:name w:val="ISC Callout"/>
    <w:basedOn w:val="Normal"/>
    <w:next w:val="Normal"/>
    <w:uiPriority w:val="1"/>
    <w:qFormat/>
    <w:rsid w:val="00AF5C7F"/>
    <w:pPr>
      <w:pBdr>
        <w:left w:val="single" w:sz="24" w:space="0" w:color="FFB81D"/>
      </w:pBdr>
      <w:shd w:val="clear" w:color="auto" w:fill="F2F0E9"/>
      <w:spacing w:before="200" w:after="200"/>
      <w:ind w:left="284" w:right="284"/>
    </w:pPr>
    <w:rPr>
      <w:color w:val="064229"/>
    </w:rPr>
  </w:style>
  <w:style w:type="character" w:customStyle="1" w:styleId="ISCMono">
    <w:name w:val="ISC Mono"/>
    <w:uiPriority w:val="1"/>
    <w:qFormat/>
    <w:rsid w:val="00AF5C7F"/>
    <w:rPr>
      <w:rFonts w:ascii="IBM Plex Mono" w:hAnsi="IBM Plex Mono" w:cs="IBM Plex Mono"/>
      <w:color w:val="064229"/>
    </w:rPr>
  </w:style>
  <w:style w:type="character" w:customStyle="1" w:styleId="ISCGoldEmphasis">
    <w:name w:val="ISC Gold Emphasis"/>
    <w:uiPriority w:val="1"/>
    <w:qFormat/>
    <w:rsid w:val="00AF5C7F"/>
    <w:rPr>
      <w:b/>
      <w:color w:val="C88A00"/>
    </w:rPr>
  </w:style>
  <w:style w:type="table" w:customStyle="1" w:styleId="ISCRacingTable">
    <w:name w:val="ISC Racing Table"/>
    <w:basedOn w:val="TableNormal"/>
    <w:uiPriority w:val="99"/>
    <w:qFormat/>
    <w:rsid w:val="00AF5C7F"/>
    <w:rPr>
      <w:rFonts w:ascii="IBM Plex Sans" w:eastAsia="Times New Roman" w:hAnsi="IBM Plex Sans" w:cs="IBM Plex Sans"/>
      <w:color w:val="404040"/>
      <w:kern w:val="0"/>
      <w:sz w:val="20"/>
      <w:szCs w:val="20"/>
      <w14:ligatures w14:val="none"/>
    </w:rPr>
    <w:tblPr>
      <w:tblStyleRowBandSize w:val="1"/>
      <w:tblStyleColBandSize w:val="1"/>
      <w:tblBorders>
        <w:top w:val="single" w:sz="8" w:space="0" w:color="064229"/>
        <w:bottom w:val="single" w:sz="8" w:space="0" w:color="064229"/>
        <w:insideH w:val="single" w:sz="4" w:space="0" w:color="C7D3CB"/>
      </w:tblBorders>
      <w:tblCellMar>
        <w:top w:w="70" w:type="dxa"/>
        <w:left w:w="115" w:type="dxa"/>
        <w:bottom w:w="70" w:type="dxa"/>
        <w:right w:w="115" w:type="dxa"/>
      </w:tblCellMar>
    </w:tblPr>
    <w:tblStylePr w:type="firstRow">
      <w:rPr>
        <w:rFonts w:ascii="Jost" w:hAnsi="Jost" w:cs="Jost"/>
        <w:b/>
        <w:color w:val="FFFFFF"/>
        <w:sz w:val="20"/>
      </w:rPr>
      <w:tblPr/>
      <w:tcPr>
        <w:tcBorders>
          <w:bottom w:val="single" w:sz="12" w:space="0" w:color="FFB81D"/>
        </w:tcBorders>
        <w:shd w:val="clear" w:color="auto" w:fill="064229"/>
      </w:tcPr>
    </w:tblStylePr>
    <w:tblStylePr w:type="lastRow">
      <w:rPr>
        <w:b/>
        <w:color w:val="064229"/>
      </w:rPr>
      <w:tblPr/>
      <w:tcPr>
        <w:tcBorders>
          <w:top w:val="single" w:sz="8" w:space="0" w:color="064229"/>
        </w:tcBorders>
      </w:tcPr>
    </w:tblStylePr>
    <w:tblStylePr w:type="firstCol">
      <w:rPr>
        <w:b/>
        <w:color w:val="064229"/>
      </w:rPr>
    </w:tblStylePr>
    <w:tblStylePr w:type="band1Horz">
      <w:tblPr/>
      <w:tcPr>
        <w:shd w:val="clear" w:color="auto" w:fill="F2F0E9"/>
      </w:tcPr>
    </w:tblStylePr>
  </w:style>
  <w:style w:type="table" w:customStyle="1" w:styleId="ISCGoldHeaderTable">
    <w:name w:val="ISC Gold Header Table"/>
    <w:basedOn w:val="TableNormal"/>
    <w:uiPriority w:val="99"/>
    <w:qFormat/>
    <w:rsid w:val="007211AC"/>
    <w:pPr>
      <w:spacing w:after="0" w:line="240" w:lineRule="atLeast"/>
    </w:pPr>
    <w:rPr>
      <w:rFonts w:ascii="IBM Plex Sans" w:eastAsia="Times New Roman" w:hAnsi="IBM Plex Sans" w:cs="IBM Plex Sans"/>
      <w:color w:val="404040"/>
      <w:kern w:val="0"/>
      <w:sz w:val="20"/>
      <w:szCs w:val="20"/>
      <w14:ligatures w14:val="none"/>
    </w:rPr>
    <w:tblPr>
      <w:tblStyleRowBandSize w:val="1"/>
      <w:tblStyleColBandSize w:val="1"/>
      <w:tblBorders>
        <w:top w:val="single" w:sz="8" w:space="0" w:color="404040"/>
        <w:bottom w:val="single" w:sz="8" w:space="0" w:color="404040"/>
        <w:insideH w:val="single" w:sz="4" w:space="0" w:color="D9D9D9"/>
        <w:insideV w:val="single" w:sz="4" w:space="0" w:color="D9D9D9"/>
      </w:tblBorders>
      <w:tblCellMar>
        <w:top w:w="85" w:type="dxa"/>
        <w:left w:w="115" w:type="dxa"/>
        <w:bottom w:w="85" w:type="dxa"/>
        <w:right w:w="115" w:type="dxa"/>
      </w:tblCellMar>
    </w:tblPr>
    <w:tblStylePr w:type="firstRow">
      <w:rPr>
        <w:rFonts w:ascii="Jost" w:hAnsi="Jost" w:cs="Jost"/>
        <w:b/>
        <w:color w:val="404040"/>
        <w:sz w:val="20"/>
      </w:rPr>
      <w:tblPr/>
      <w:tcPr>
        <w:tcBorders>
          <w:bottom w:val="single" w:sz="12" w:space="0" w:color="404040"/>
        </w:tcBorders>
        <w:shd w:val="clear" w:color="auto" w:fill="FFB81D"/>
      </w:tcPr>
    </w:tblStylePr>
    <w:tblStylePr w:type="firstCol">
      <w:rPr>
        <w:b/>
        <w:color w:val="404040"/>
      </w:rPr>
    </w:tblStylePr>
    <w:tblStylePr w:type="band1Horz">
      <w:tblPr/>
      <w:tcPr>
        <w:shd w:val="clear" w:color="auto" w:fill="FFF7E4"/>
      </w:tcPr>
    </w:tblStylePr>
  </w:style>
  <w:style w:type="table" w:customStyle="1" w:styleId="ISCSpecTable">
    <w:name w:val="ISC Spec Table"/>
    <w:basedOn w:val="TableNormal"/>
    <w:uiPriority w:val="99"/>
    <w:qFormat/>
    <w:rsid w:val="00AF5C7F"/>
    <w:rPr>
      <w:rFonts w:ascii="IBM Plex Sans" w:eastAsia="Times New Roman" w:hAnsi="IBM Plex Sans" w:cs="IBM Plex Sans"/>
      <w:color w:val="404040"/>
      <w:kern w:val="0"/>
      <w:sz w:val="20"/>
      <w:szCs w:val="20"/>
      <w14:ligatures w14:val="none"/>
    </w:rPr>
    <w:tblPr>
      <w:tblStyleRowBandSize w:val="1"/>
      <w:tblStyleColBandSize w:val="1"/>
      <w:tblBorders>
        <w:top w:val="single" w:sz="12" w:space="0" w:color="064229"/>
        <w:bottom w:val="single" w:sz="12" w:space="0" w:color="064229"/>
        <w:insideH w:val="single" w:sz="2" w:space="0" w:color="DDE3DE"/>
      </w:tblBorders>
      <w:tblCellMar>
        <w:top w:w="70" w:type="dxa"/>
        <w:left w:w="115" w:type="dxa"/>
        <w:bottom w:w="70" w:type="dxa"/>
        <w:right w:w="115" w:type="dxa"/>
      </w:tblCellMar>
    </w:tblPr>
    <w:tblStylePr w:type="firstRow">
      <w:rPr>
        <w:rFonts w:ascii="Jost" w:hAnsi="Jost" w:cs="Jost"/>
        <w:b/>
        <w:caps/>
        <w:color w:val="064229"/>
        <w:sz w:val="17"/>
      </w:rPr>
      <w:tblPr/>
      <w:tcPr>
        <w:tcBorders>
          <w:bottom w:val="single" w:sz="6" w:space="0" w:color="064229"/>
        </w:tcBorders>
      </w:tcPr>
    </w:tblStylePr>
    <w:tblStylePr w:type="lastCol">
      <w:rPr>
        <w:rFonts w:ascii="IBM Plex Mono" w:hAnsi="IBM Plex Mono" w:cs="IBM Plex Mono"/>
        <w:color w:val="064229"/>
      </w:rPr>
    </w:tblStylePr>
  </w:style>
  <w:style w:type="table" w:styleId="TableGrid">
    <w:name w:val="Table Grid"/>
    <w:basedOn w:val="TableNormal"/>
    <w:uiPriority w:val="39"/>
    <w:rsid w:val="00721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CTableText">
    <w:name w:val="ISC Table Text"/>
    <w:basedOn w:val="Normal"/>
    <w:uiPriority w:val="1"/>
    <w:qFormat/>
    <w:rsid w:val="00AF5C7F"/>
    <w:pPr>
      <w:spacing w:after="0" w:line="240" w:lineRule="auto"/>
    </w:pPr>
    <w:rPr>
      <w:sz w:val="20"/>
    </w:rPr>
  </w:style>
  <w:style w:type="paragraph" w:customStyle="1" w:styleId="ISCCoverMeta">
    <w:name w:val="ISC Cover Meta"/>
    <w:basedOn w:val="Normal"/>
    <w:uiPriority w:val="1"/>
    <w:qFormat/>
    <w:rsid w:val="00AF5C7F"/>
    <w:pPr>
      <w:tabs>
        <w:tab w:val="left" w:pos="3000"/>
      </w:tabs>
      <w:spacing w:after="60" w:line="240" w:lineRule="auto"/>
    </w:pPr>
    <w:rPr>
      <w:color w:val="F2F0E9"/>
      <w:sz w:val="21"/>
    </w:rPr>
  </w:style>
  <w:style w:type="paragraph" w:customStyle="1" w:styleId="ISCNotice">
    <w:name w:val="ISC Notice"/>
    <w:basedOn w:val="Normal"/>
    <w:uiPriority w:val="1"/>
    <w:rsid w:val="00AF5C7F"/>
    <w:pPr>
      <w:spacing w:after="0" w:line="240" w:lineRule="auto"/>
    </w:pPr>
    <w:rPr>
      <w:color w:val="C7D3CB"/>
      <w:sz w:val="15"/>
    </w:rPr>
  </w:style>
  <w:style w:type="table" w:customStyle="1" w:styleId="ISCLightTable">
    <w:name w:val="ISC Light Table"/>
    <w:basedOn w:val="TableNormal"/>
    <w:uiPriority w:val="99"/>
    <w:qFormat/>
    <w:rsid w:val="00AF5C7F"/>
    <w:rPr>
      <w:rFonts w:ascii="IBM Plex Sans" w:eastAsia="Times New Roman" w:hAnsi="IBM Plex Sans" w:cs="IBM Plex Sans"/>
      <w:color w:val="404040"/>
      <w:kern w:val="0"/>
      <w:sz w:val="20"/>
      <w:szCs w:val="20"/>
      <w14:ligatures w14:val="none"/>
    </w:rPr>
    <w:tblPr>
      <w:tblStyleRowBandSize w:val="1"/>
      <w:tblStyleColBandSize w:val="1"/>
      <w:tblBorders>
        <w:top w:val="single" w:sz="8" w:space="0" w:color="064229"/>
        <w:bottom w:val="single" w:sz="8" w:space="0" w:color="064229"/>
        <w:insideH w:val="single" w:sz="2" w:space="0" w:color="DCE0DA"/>
      </w:tblBorders>
      <w:tblCellMar>
        <w:top w:w="70" w:type="dxa"/>
        <w:left w:w="115" w:type="dxa"/>
        <w:bottom w:w="70" w:type="dxa"/>
        <w:right w:w="115" w:type="dxa"/>
      </w:tblCellMar>
    </w:tblPr>
    <w:tblStylePr w:type="firstRow">
      <w:rPr>
        <w:rFonts w:ascii="Jost" w:hAnsi="Jost" w:cs="Jost"/>
        <w:b/>
        <w:color w:val="064229"/>
        <w:sz w:val="19"/>
      </w:rPr>
      <w:tblPr/>
      <w:tcPr>
        <w:tcBorders>
          <w:bottom w:val="single" w:sz="8" w:space="0" w:color="FFB81D"/>
        </w:tcBorders>
      </w:tcPr>
    </w:tblStylePr>
    <w:tblStylePr w:type="lastRow">
      <w:tblPr/>
      <w:tcPr>
        <w:tcBorders>
          <w:top w:val="single" w:sz="4" w:space="0" w:color="DCE0DA"/>
        </w:tcBorders>
      </w:tcPr>
    </w:tblStylePr>
    <w:tblStylePr w:type="firstCol">
      <w:rPr>
        <w:b/>
        <w:color w:val="064229"/>
      </w:rPr>
    </w:tblStylePr>
  </w:style>
  <w:style w:type="character" w:styleId="LineNumber">
    <w:name w:val="line number"/>
    <w:basedOn w:val="DefaultParagraphFont"/>
    <w:uiPriority w:val="99"/>
    <w:semiHidden/>
    <w:unhideWhenUsed/>
    <w:rsid w:val="007211AC"/>
  </w:style>
  <w:style w:type="paragraph" w:customStyle="1" w:styleId="ISCCoverTitle">
    <w:name w:val="ISC Cover Title"/>
    <w:basedOn w:val="Normal"/>
    <w:next w:val="Normal"/>
    <w:qFormat/>
    <w:rsid w:val="00AF5C7F"/>
    <w:pPr>
      <w:spacing w:after="120" w:line="240" w:lineRule="auto"/>
    </w:pPr>
    <w:rPr>
      <w:rFonts w:ascii="Jost" w:hAnsi="Jost" w:cs="Jost"/>
      <w:b/>
      <w:color w:val="F2F0E9"/>
      <w:sz w:val="80"/>
      <w:szCs w:val="80"/>
    </w:rPr>
  </w:style>
  <w:style w:type="paragraph" w:customStyle="1" w:styleId="ISCCoverSubtitle">
    <w:name w:val="ISC Cover Subtitle"/>
    <w:basedOn w:val="Normal"/>
    <w:next w:val="Normal"/>
    <w:qFormat/>
    <w:rsid w:val="00AF5C7F"/>
    <w:pPr>
      <w:spacing w:before="120" w:after="360" w:line="240" w:lineRule="auto"/>
    </w:pPr>
    <w:rPr>
      <w:rFonts w:ascii="Jost" w:hAnsi="Jost" w:cs="Jost"/>
      <w:color w:val="FFB81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ISC Formula Student">
  <a:themeElements>
    <a:clrScheme name="ISC">
      <a:dk1>
        <a:srgbClr val="404040"/>
      </a:dk1>
      <a:lt1>
        <a:srgbClr val="FFFFFF"/>
      </a:lt1>
      <a:dk2>
        <a:srgbClr val="064229"/>
      </a:dk2>
      <a:lt2>
        <a:srgbClr val="F2F0E9"/>
      </a:lt2>
      <a:accent1>
        <a:srgbClr val="064229"/>
      </a:accent1>
      <a:accent2>
        <a:srgbClr val="FFB81D"/>
      </a:accent2>
      <a:accent3>
        <a:srgbClr val="404040"/>
      </a:accent3>
      <a:accent4>
        <a:srgbClr val="0E6B41"/>
      </a:accent4>
      <a:accent5>
        <a:srgbClr val="C88A00"/>
      </a:accent5>
      <a:accent6>
        <a:srgbClr val="7C8471"/>
      </a:accent6>
      <a:hlink>
        <a:srgbClr val="0E6B41"/>
      </a:hlink>
      <a:folHlink>
        <a:srgbClr val="8A6D1F"/>
      </a:folHlink>
    </a:clrScheme>
    <a:fontScheme name="ISC">
      <a:majorFont>
        <a:latin typeface="Jost"/>
        <a:ea typeface=""/>
        <a:cs typeface=""/>
      </a:majorFont>
      <a:minorFont>
        <a:latin typeface="IBM Plex Sans"/>
        <a:ea typeface=""/>
        <a:cs typeface=""/>
      </a:minorFont>
    </a:fontScheme>
    <a:fmtScheme name="ISC">
      <a:fillStyleLst>
        <a:solidFill>
          <a:schemeClr val="phClr"/>
        </a:solidFill>
        <a:solidFill>
          <a:schemeClr val="phClr">
            <a:tint val="60000"/>
          </a:schemeClr>
        </a:solidFill>
        <a:solidFill>
          <a:schemeClr val="phClr">
            <a:shade val="80000"/>
          </a:scheme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solidFill>
          <a:schemeClr val="phClr">
            <a:shade val="90000"/>
          </a:scheme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AB961E-8232-BC45-9370-81D77A1D8E43}">
  <we:reference id="WA200010453" version="1.0.0.1" store="Omex" storeType="OMEX"/>
  <we:alternateReferences>
    <we:reference id="WA200010453" version="1.0.0.1" store="WA200010453" storeType="OMEX"/>
  </we:alternateReferences>
  <we:properties>
    <we:property name="claude.fileId" value="&quot;4dfe70b2-8404-41bb-9717-bba911ee838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F2BC7D7789204786E3323CD1956AD4" ma:contentTypeVersion="15" ma:contentTypeDescription="Create a new document." ma:contentTypeScope="" ma:versionID="3acba364c3749b1dc1dbbcc3336737dd">
  <xsd:schema xmlns:xsd="http://www.w3.org/2001/XMLSchema" xmlns:xs="http://www.w3.org/2001/XMLSchema" xmlns:p="http://schemas.microsoft.com/office/2006/metadata/properties" xmlns:ns2="3e1eb669-454f-4d3a-b30d-abccb448f9ab" xmlns:ns3="491c2c03-cf4e-448a-a2b3-a048bc92c678" targetNamespace="http://schemas.microsoft.com/office/2006/metadata/properties" ma:root="true" ma:fieldsID="bd0cbfb7f56714370be20e69d74ac590" ns2:_="" ns3:_="">
    <xsd:import namespace="3e1eb669-454f-4d3a-b30d-abccb448f9ab"/>
    <xsd:import namespace="491c2c03-cf4e-448a-a2b3-a048bc92c6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eb669-454f-4d3a-b30d-abccb448f9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9a7d71-2540-4888-9211-9438fa20537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1c2c03-cf4e-448a-a2b3-a048bc92c67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eb669-454f-4d3a-b30d-abccb448f9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50076C-9929-43DF-992A-A538E57F671A}"/>
</file>

<file path=customXml/itemProps2.xml><?xml version="1.0" encoding="utf-8"?>
<ds:datastoreItem xmlns:ds="http://schemas.openxmlformats.org/officeDocument/2006/customXml" ds:itemID="{AD1CECD1-6CF2-4739-8349-770F34899E9C}"/>
</file>

<file path=customXml/itemProps3.xml><?xml version="1.0" encoding="utf-8"?>
<ds:datastoreItem xmlns:ds="http://schemas.openxmlformats.org/officeDocument/2006/customXml" ds:itemID="{AC4E2BE9-2313-4E5C-B738-770F9737624F}"/>
</file>

<file path=docProps/app.xml><?xml version="1.0" encoding="utf-8"?>
<Properties xmlns="http://schemas.openxmlformats.org/officeDocument/2006/extended-properties" xmlns:vt="http://schemas.openxmlformats.org/officeDocument/2006/docPropsVTypes">
  <Template>Normal.dotm</Template>
  <TotalTime>1</TotalTime>
  <Pages>2</Pages>
  <Words>18</Words>
  <Characters>137</Characters>
  <Application>Microsoft Office Word</Application>
  <DocSecurity>0</DocSecurity>
  <Lines>17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González Tabernero</dc:creator>
  <cp:keywords/>
  <dc:description/>
  <cp:lastModifiedBy>Álvaro González Tabernero</cp:lastModifiedBy>
  <cp:revision>2</cp:revision>
  <cp:lastPrinted>2026-08-29T16:18:00Z</cp:lastPrinted>
  <dcterms:created xsi:type="dcterms:W3CDTF">2026-08-29T16:24:00Z</dcterms:created>
  <dcterms:modified xsi:type="dcterms:W3CDTF">2026-08-29T16:24:00Z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0x010100F9F2BC7D7789204786E3323CD1956AD4</vt:lpwstr>
  </property>
</Properties>
</file>