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b74bbe0d5d5102dff183bda1685fbe78fb8089"/>
    <w:p>
      <w:pPr>
        <w:pStyle w:val="Heading1"/>
      </w:pPr>
      <w:r>
        <w:t xml:space="preserve">Setnayan Bridal Fair Boost Service Agreement · v1 (draft)</w:t>
      </w:r>
    </w:p>
    <w:p>
      <w:pPr>
        <w:pStyle w:val="BlockText"/>
      </w:pPr>
      <w:r>
        <w:t xml:space="preserve">The contract a</w:t>
      </w:r>
      <w:r>
        <w:t xml:space="preserve"> </w:t>
      </w:r>
      <w:r>
        <w:rPr>
          <w:b/>
          <w:bCs/>
        </w:rPr>
        <w:t xml:space="preserve">fair organizer</w:t>
      </w:r>
      <w:r>
        <w:t xml:space="preserve"> </w:t>
      </w:r>
      <w:r>
        <w:t xml:space="preserve">signs to have their bridal / wedding fair promoted to Setnayan’s couple and vendor audiences (</w:t>
      </w:r>
      <w:r>
        <w:t xml:space="preserve">“Boost”</w:t>
      </w:r>
      <w:r>
        <w:t xml:space="preserve">). Two value-exchange models are offered side-by-side:</w:t>
      </w:r>
      <w:r>
        <w:t xml:space="preserve"> </w:t>
      </w:r>
      <w:r>
        <w:rPr>
          <w:b/>
          <w:bCs/>
        </w:rPr>
        <w:t xml:space="preserve">Model A — Barter</w:t>
      </w:r>
      <w:r>
        <w:t xml:space="preserve"> </w:t>
      </w:r>
      <w:r>
        <w:t xml:space="preserve">(no cash; in-kind exchange) and</w:t>
      </w:r>
      <w:r>
        <w:t xml:space="preserve"> </w:t>
      </w:r>
      <w:r>
        <w:rPr>
          <w:b/>
          <w:bCs/>
        </w:rPr>
        <w:t xml:space="preserve">Model B — Cash</w:t>
      </w:r>
      <w:r>
        <w:t xml:space="preserve"> </w:t>
      </w:r>
      <w:r>
        <w:t xml:space="preserve">(paid sponsorship). The fair organizer picks one per fair cycle at signup. Drafted 2026-06-03 from SEO Playbook §11.7 + §11.7.1 and DECISION_LOG (2026-06-03</w:t>
      </w:r>
      <w:r>
        <w:t xml:space="preserve"> </w:t>
      </w:r>
      <w:r>
        <w:t xml:space="preserve">“Fair-to-couple boost SKU priced”</w:t>
      </w:r>
      <w:r>
        <w:t xml:space="preserve">). The offering is spec’d in</w:t>
      </w:r>
      <w:r>
        <w:t xml:space="preserve"> </w:t>
      </w:r>
      <w:r>
        <w:rPr>
          <w:b/>
          <w:bCs/>
        </w:rPr>
        <w:t xml:space="preserve">0042 §6.5</w:t>
      </w:r>
      <w:r>
        <w:t xml:space="preserve"> </w:t>
      </w:r>
      <w:r>
        <w:t xml:space="preserve">(SKUs) +</w:t>
      </w:r>
      <w:r>
        <w:t xml:space="preserve"> </w:t>
      </w:r>
      <w:r>
        <w:rPr>
          <w:b/>
          <w:bCs/>
        </w:rPr>
        <w:t xml:space="preserve">0023 §3.16 / surface #29</w:t>
      </w:r>
      <w:r>
        <w:t xml:space="preserve"> </w:t>
      </w:r>
      <w:r>
        <w:t xml:space="preserve">(admin slot management, override, broadcast). This document is what the fair organizer reads, accepts, and signs.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the ₱9,999 / ₱2,999 SKU prices are owner-locked to the charm-pricing ladder (2026-06-03). Several terms below (marked ⚠</w:t>
      </w:r>
      <w:r>
        <w:t xml:space="preserve"> </w:t>
      </w:r>
      <w:r>
        <w:rPr>
          <w:b/>
          <w:bCs/>
        </w:rPr>
        <w:t xml:space="preserve">OWNER-VALIDATE</w:t>
      </w:r>
      <w:r>
        <w:t xml:space="preserve">) remain starting recommendations pending real PH fair-operator conversations — do not publish or counter-sign with those bracketed figures hard-set until validated. See</w:t>
      </w:r>
      <w:r>
        <w:t xml:space="preserve"> </w:t>
      </w:r>
      <w:r>
        <w:rPr>
          <w:rStyle w:val="VerbatimChar"/>
        </w:rPr>
        <w:t xml:space="preserve">Cowork_Pending_Items.md</w:t>
      </w:r>
      <w:r>
        <w:t xml:space="preserve"> </w:t>
      </w:r>
      <w:r>
        <w:t xml:space="preserve">§D items #8–#16.</w:t>
      </w:r>
    </w:p>
    <w:p>
      <w:r>
        <w:pict>
          <v:rect style="width:0;height:1.5pt" o:hralign="center" o:hrstd="t" o:hr="t"/>
        </w:pict>
      </w:r>
    </w:p>
    <w:bookmarkStart w:id="9" w:name="parties-definitions"/>
    <w:p>
      <w:pPr>
        <w:pStyle w:val="Heading2"/>
      </w:pPr>
      <w:r>
        <w:t xml:space="preserve">1. Parties &amp; definitions</w:t>
      </w:r>
    </w:p>
    <w:p>
      <w:pPr>
        <w:pStyle w:val="FirstParagraph"/>
      </w:pPr>
      <w:r>
        <w:t xml:space="preserve">This Agreement is between</w:t>
      </w:r>
      <w:r>
        <w:t xml:space="preserve"> </w:t>
      </w:r>
      <w:r>
        <w:rPr>
          <w:b/>
          <w:bCs/>
        </w:rPr>
        <w:t xml:space="preserve">Setnayan</w:t>
      </w:r>
      <w:r>
        <w:t xml:space="preserve"> </w:t>
      </w:r>
      <w:r>
        <w:t xml:space="preserve">(the</w:t>
      </w:r>
      <w:r>
        <w:t xml:space="preserve"> </w:t>
      </w:r>
      <w:r>
        <w:t xml:space="preserve">“Platform”</w:t>
      </w:r>
      <w:r>
        <w:t xml:space="preserve">) and the</w:t>
      </w:r>
      <w:r>
        <w:t xml:space="preserve"> </w:t>
      </w:r>
      <w:r>
        <w:rPr>
          <w:b/>
          <w:bCs/>
        </w:rPr>
        <w:t xml:space="preserve">Fair Organizer</w:t>
      </w:r>
      <w:r>
        <w:t xml:space="preserve"> </w:t>
      </w:r>
      <w:r>
        <w:t xml:space="preserve">(the</w:t>
      </w:r>
      <w:r>
        <w:t xml:space="preserve"> </w:t>
      </w:r>
      <w:r>
        <w:t xml:space="preserve">“Organizer”</w:t>
      </w:r>
      <w:r>
        <w:t xml:space="preserve">) named in the signature block, for the promotion of the wedding / bridal fair (the</w:t>
      </w:r>
      <w:r>
        <w:t xml:space="preserve"> </w:t>
      </w:r>
      <w:r>
        <w:t xml:space="preserve">“Fair”</w:t>
      </w:r>
      <w:r>
        <w:t xml:space="preserve">) identified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The specific bridal / wedding fair event being boosted, with a fixed start date and venue.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 cycle</w:t>
            </w:r>
          </w:p>
        </w:tc>
        <w:tc>
          <w:tcPr/>
          <w:p>
            <w:pPr>
              <w:pStyle w:val="Compact"/>
            </w:pPr>
            <w:r>
              <w:t xml:space="preserve">The promotion window for one Fair — from listing go-live through the Fair’s start date. One signature = one Fair = one 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slot</w:t>
            </w:r>
          </w:p>
        </w:tc>
        <w:tc>
          <w:tcPr/>
          <w:p>
            <w:pPr>
              <w:pStyle w:val="Compact"/>
            </w:pPr>
            <w:r>
              <w:t xml:space="preserve">A homepage featured-fair card on</w:t>
            </w:r>
            <w:r>
              <w:t xml:space="preserve"> </w:t>
            </w:r>
            <w:r>
              <w:rPr>
                <w:rStyle w:val="VerbatimChar"/>
              </w:rPr>
              <w:t xml:space="preserve">www.setnayan.com</w:t>
            </w:r>
            <w:r>
              <w:t xml:space="preserve"> </w:t>
            </w:r>
            <w:r>
              <w:t xml:space="preserve">(max 3 active platform-wide per §11.3.1) + a dedicated</w:t>
            </w:r>
            <w:r>
              <w:t xml:space="preserve"> </w:t>
            </w:r>
            <w:r>
              <w:rPr>
                <w:rStyle w:val="VerbatimChar"/>
              </w:rPr>
              <w:t xml:space="preserve">/fairs/[fair-slug]</w:t>
            </w:r>
            <w:r>
              <w:t xml:space="preserve"> </w:t>
            </w:r>
            <w:r>
              <w:t xml:space="preserve">landing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blast</w:t>
            </w:r>
          </w:p>
        </w:tc>
        <w:tc>
          <w:tcPr/>
          <w:p>
            <w:pPr>
              <w:pStyle w:val="Compact"/>
            </w:pPr>
            <w:r>
              <w:t xml:space="preserve">A pre-Fair promotional email to subscribed Setnayan couples + vendors.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discount code</w:t>
            </w:r>
          </w:p>
        </w:tc>
        <w:tc>
          <w:tcPr/>
          <w:p>
            <w:pPr>
              <w:pStyle w:val="Compact"/>
            </w:pPr>
            <w:r>
              <w:t xml:space="preserve">A Setnayan-issued, Organizer-redeemed code that routes Setnayan users into the Fair (vendor booth discount / couple registration perk).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gate</w:t>
            </w:r>
          </w:p>
        </w:tc>
        <w:tc>
          <w:tcPr/>
          <w:p>
            <w:pPr>
              <w:pStyle w:val="Compact"/>
            </w:pPr>
            <w:r>
              <w:t xml:space="preserve">The platform-readiness threshold (§7) that must be met before Boost opens for signups.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ligibility-the-launch-gate"/>
    <w:p>
      <w:pPr>
        <w:pStyle w:val="Heading2"/>
      </w:pPr>
      <w:r>
        <w:t xml:space="preserve">2. Eligibility &amp; the launch gate</w:t>
      </w:r>
    </w:p>
    <w:bookmarkStart w:id="10" w:name="launch-gate-setnayan-side-readiness"/>
    <w:p>
      <w:pPr>
        <w:pStyle w:val="Heading3"/>
      </w:pPr>
      <w:r>
        <w:t xml:space="preserve">2.1 Launch gate (Setnayan-side readiness)</w:t>
      </w:r>
    </w:p>
    <w:p>
      <w:pPr>
        <w:pStyle w:val="FirstParagraph"/>
      </w:pPr>
      <w:r>
        <w:t xml:space="preserve">Boost does not open for signups until Setnayan reaches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(AND gate):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≥ 500 verified vendors</w:t>
      </w:r>
      <w:r>
        <w:t xml:space="preserve"> </w:t>
      </w:r>
      <w:r>
        <w:t xml:space="preserve">with public</w:t>
      </w:r>
      <w:r>
        <w:t xml:space="preserve"> </w:t>
      </w:r>
      <w:r>
        <w:rPr>
          <w:rStyle w:val="VerbatimChar"/>
        </w:rPr>
        <w:t xml:space="preserve">/v/[slug]</w:t>
      </w:r>
      <w:r>
        <w:t xml:space="preserve"> </w:t>
      </w:r>
      <w:r>
        <w:t xml:space="preserve">profiles,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≥ 10,000 active couple accounts</w:t>
      </w:r>
      <w:r>
        <w:t xml:space="preserve"> </w:t>
      </w:r>
      <w:r>
        <w:t xml:space="preserve">(active = a couple with a</w:t>
      </w:r>
      <w:r>
        <w:t xml:space="preserve"> </w:t>
      </w:r>
      <w:r>
        <w:rPr>
          <w:b/>
          <w:bCs/>
        </w:rPr>
        <w:t xml:space="preserve">live, non-expired event that has had activity in the last 90 days</w:t>
      </w:r>
      <w:r>
        <w:t xml:space="preserve"> </w:t>
      </w:r>
      <w:r>
        <w:t xml:space="preserve">— owner-locked 2026-06-04;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login-recency).</w:t>
      </w:r>
    </w:p>
    <w:p>
      <w:pPr>
        <w:pStyle w:val="FirstParagraph"/>
      </w:pPr>
      <w:r>
        <w:rPr>
          <w:b/>
          <w:bCs/>
        </w:rPr>
        <w:t xml:space="preserve">Admin manual override</w:t>
      </w:r>
      <w:r>
        <w:t xml:space="preserve"> </w:t>
      </w:r>
      <w:r>
        <w:t xml:space="preserve">(0023 § 3.16): Setnayan may open Boost to a strategic launch partner before the gate is met. Any pre-gate deal is logged in the admin audit trail with reason, and the Organizer is told in writing that audience numbers are still ramping (see §6 transparency clause).</w:t>
      </w:r>
    </w:p>
    <w:bookmarkEnd w:id="10"/>
    <w:bookmarkStart w:id="11" w:name="fair-eligibility-organizer-side"/>
    <w:p>
      <w:pPr>
        <w:pStyle w:val="Heading3"/>
      </w:pPr>
      <w:r>
        <w:t xml:space="preserve">2.2 Fair eligibility (Organizer-side)</w:t>
      </w:r>
    </w:p>
    <w:p>
      <w:pPr>
        <w:pStyle w:val="FirstParagraph"/>
      </w:pPr>
      <w:r>
        <w:t xml:space="preserve">To qualify, the Fair and Organizer must meet these minimum criteria (owner-locked 2026-06-04):</w:t>
      </w:r>
    </w:p>
    <w:p>
      <w:pPr>
        <w:pStyle w:val="Compact"/>
        <w:numPr>
          <w:ilvl w:val="0"/>
          <w:numId w:val="1002"/>
        </w:numPr>
      </w:pPr>
      <w:r>
        <w:t xml:space="preserve">Legitimate, identifiable organizer (registered business or established event brand);</w:t>
      </w:r>
    </w:p>
    <w:p>
      <w:pPr>
        <w:pStyle w:val="Compact"/>
        <w:numPr>
          <w:ilvl w:val="0"/>
          <w:numId w:val="1002"/>
        </w:numPr>
      </w:pPr>
      <w:r>
        <w:t xml:space="preserve">Minimum fair scale (e.g., 20+ vendor booths and/or 500+ expected couple attendance);</w:t>
      </w:r>
    </w:p>
    <w:p>
      <w:pPr>
        <w:pStyle w:val="Compact"/>
        <w:numPr>
          <w:ilvl w:val="0"/>
          <w:numId w:val="1002"/>
        </w:numPr>
      </w:pPr>
      <w:r>
        <w:t xml:space="preserve">Defined geographic coverage and a fixed, published Fair date and venue.</w:t>
      </w:r>
    </w:p>
    <w:p>
      <w:pPr>
        <w:pStyle w:val="FirstParagraph"/>
      </w:pPr>
      <w:r>
        <w:t xml:space="preserve">Setnayan reserves the right to decline or remove any Fair that misrepresents its scale, date, or legitimacy.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0239ac1eaa38be5da3df1310f2d1f94eec76be8"/>
    <w:p>
      <w:pPr>
        <w:pStyle w:val="Heading2"/>
      </w:pPr>
      <w:r>
        <w:t xml:space="preserve">3. The two models (Organizer picks one per cycle)</w:t>
      </w:r>
    </w:p>
    <w:p>
      <w:pPr>
        <w:pStyle w:val="FirstParagraph"/>
      </w:pPr>
      <w:r>
        <w:t xml:space="preserve">Both models are offered simultaneously. The Organizer selects the model that fits their budget and value-exchange preference at signup.</w:t>
      </w:r>
    </w:p>
    <w:bookmarkStart w:id="13" w:name="model-a-barter-no-cash-exchanged"/>
    <w:p>
      <w:pPr>
        <w:pStyle w:val="Heading3"/>
      </w:pPr>
      <w:r>
        <w:t xml:space="preserve">3.1 Model A — Barter (no cash exchanged)</w:t>
      </w:r>
    </w:p>
    <w:p>
      <w:pPr>
        <w:pStyle w:val="FirstParagraph"/>
      </w:pPr>
      <w:r>
        <w:rPr>
          <w:b/>
          <w:bCs/>
        </w:rPr>
        <w:t xml:space="preserve">Setnayan provides:</w:t>
      </w:r>
    </w:p>
    <w:p>
      <w:pPr>
        <w:pStyle w:val="Compact"/>
        <w:numPr>
          <w:ilvl w:val="0"/>
          <w:numId w:val="1003"/>
        </w:numPr>
      </w:pPr>
      <w:r>
        <w:t xml:space="preserve">Homepage featured-fair slot on</w:t>
      </w:r>
      <w:r>
        <w:t xml:space="preserve"> </w:t>
      </w:r>
      <w:r>
        <w:rPr>
          <w:rStyle w:val="VerbatimChar"/>
        </w:rPr>
        <w:t xml:space="preserve">www.setnayan.com</w:t>
      </w:r>
      <w:r>
        <w:t xml:space="preserve"> </w:t>
      </w:r>
      <w:r>
        <w:t xml:space="preserve">(subject to the 3-slot platform cap);</w:t>
      </w:r>
    </w:p>
    <w:p>
      <w:pPr>
        <w:pStyle w:val="Compact"/>
        <w:numPr>
          <w:ilvl w:val="0"/>
          <w:numId w:val="1003"/>
        </w:numPr>
      </w:pPr>
      <w:r>
        <w:t xml:space="preserve">Dedicated</w:t>
      </w:r>
      <w:r>
        <w:t xml:space="preserve"> </w:t>
      </w:r>
      <w:r>
        <w:rPr>
          <w:rStyle w:val="VerbatimChar"/>
        </w:rPr>
        <w:t xml:space="preserve">/fairs/[fair-slug]</w:t>
      </w:r>
      <w:r>
        <w:t xml:space="preserve"> </w:t>
      </w:r>
      <w:r>
        <w:t xml:space="preserve">landing page with dual-CTA (couples register / vendors book a booth);</w:t>
      </w:r>
    </w:p>
    <w:p>
      <w:pPr>
        <w:pStyle w:val="Compact"/>
        <w:numPr>
          <w:ilvl w:val="0"/>
          <w:numId w:val="1003"/>
        </w:numPr>
      </w:pPr>
      <w:r>
        <w:t xml:space="preserve">One pre-Fair email blast to subscribed Setnayan couples + vendors;</w:t>
      </w:r>
    </w:p>
    <w:p>
      <w:pPr>
        <w:pStyle w:val="Compact"/>
        <w:numPr>
          <w:ilvl w:val="0"/>
          <w:numId w:val="1003"/>
        </w:numPr>
      </w:pPr>
      <w:r>
        <w:t xml:space="preserve">SEO surface +</w:t>
      </w:r>
      <w:r>
        <w:t xml:space="preserve"> </w:t>
      </w:r>
      <w:r>
        <w:t xml:space="preserve">“Powered by Setnayan”</w:t>
      </w:r>
      <w:r>
        <w:t xml:space="preserve"> </w:t>
      </w:r>
      <w:r>
        <w:t xml:space="preserve">referral traffic during the promo cycle;</w:t>
      </w:r>
    </w:p>
    <w:p>
      <w:pPr>
        <w:pStyle w:val="Compact"/>
        <w:numPr>
          <w:ilvl w:val="0"/>
          <w:numId w:val="1003"/>
        </w:numPr>
      </w:pPr>
      <w:r>
        <w:t xml:space="preserve">On-site Setnayan team presence (a vendor + couple onboarding / redemption station).</w:t>
      </w:r>
    </w:p>
    <w:p>
      <w:pPr>
        <w:pStyle w:val="FirstParagraph"/>
      </w:pPr>
      <w:r>
        <w:rPr>
          <w:b/>
          <w:bCs/>
        </w:rPr>
        <w:t xml:space="preserve">Organizer provides (in-kind):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Major-sponsor billing</w:t>
      </w:r>
      <w:r>
        <w:t xml:space="preserve"> </w:t>
      </w:r>
      <w:r>
        <w:t xml:space="preserve">for Setnayan on all Fair marketing collateral (printed banners, programs, social collaterals, press releases) — at minimum, logo placement equivalent to a Major Sponsor tier;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free booth</w:t>
      </w:r>
      <w:r>
        <w:t xml:space="preserve"> </w:t>
      </w:r>
      <w:r>
        <w:t xml:space="preserve">at the Fair (single 3×3m or equivalent) for Setnayan to demo, onboard, and run the discount-code redemption desk;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announcements</w:t>
      </w:r>
      <w:r>
        <w:t xml:space="preserve"> </w:t>
      </w:r>
      <w:r>
        <w:t xml:space="preserve">— 1–3 minutes during opening + one additional mid-event spot (Setnayan supplies the script);</w:t>
      </w:r>
    </w:p>
    <w:p>
      <w:pPr>
        <w:pStyle w:val="Compact"/>
        <w:numPr>
          <w:ilvl w:val="0"/>
          <w:numId w:val="1004"/>
        </w:numPr>
      </w:pPr>
      <w:r>
        <w:t xml:space="preserve">Honoring the</w:t>
      </w:r>
      <w:r>
        <w:t xml:space="preserve"> </w:t>
      </w:r>
      <w:r>
        <w:rPr>
          <w:b/>
          <w:bCs/>
        </w:rPr>
        <w:t xml:space="preserve">funnel discount codes</w:t>
      </w:r>
      <w:r>
        <w:t xml:space="preserve"> </w:t>
      </w:r>
      <w:r>
        <w:t xml:space="preserve">in §4</w:t>
      </w:r>
      <w:r>
        <w:t xml:space="preserve"> </w:t>
      </w:r>
      <w:r>
        <w:rPr>
          <w:b/>
          <w:bCs/>
        </w:rPr>
        <w:t xml:space="preserve">where the Fair elects to extend a booth discount</w:t>
      </w:r>
      <w:r>
        <w:t xml:space="preserve"> </w:t>
      </w:r>
      <w:r>
        <w:t xml:space="preserve">(fair-offered; see §4).</w:t>
      </w:r>
    </w:p>
    <w:p>
      <w:pPr>
        <w:pStyle w:val="FirstParagraph"/>
      </w:pPr>
      <w:r>
        <w:t xml:space="preserve">No money flows in either direction under Model A. Where the Fair extends a booth discount, that discount is the Fair’s customer-acquisition expense; Setnayan is paid in funnel attribution + brand exposure + free booth + sponsor billing. A Fair that offers no discount still qualifies for Model A.</w:t>
      </w:r>
    </w:p>
    <w:bookmarkEnd w:id="13"/>
    <w:bookmarkStart w:id="14" w:name="model-b-cash-paid-sponsorship"/>
    <w:p>
      <w:pPr>
        <w:pStyle w:val="Heading3"/>
      </w:pPr>
      <w:r>
        <w:t xml:space="preserve">3.2 Model B — Cash (paid sponsorship)</w:t>
      </w:r>
    </w:p>
    <w:p>
      <w:pPr>
        <w:pStyle w:val="FirstParagraph"/>
      </w:pPr>
      <w:r>
        <w:t xml:space="preserve">A clean transactional alternative for Organizers who prefer not to trade booth space, stage time, or sponsor billing. Two SKUs (owner-locked 2026-06-03; ID home: 0042 §6.5):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What Setnayan provides</w:t>
            </w:r>
          </w:p>
        </w:tc>
        <w:tc>
          <w:tcPr/>
          <w:p>
            <w:pPr>
              <w:pStyle w:val="Compact"/>
            </w:pPr>
            <w:r>
              <w:t xml:space="preserve">Price (per Fair cycle)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boost_featured_plus_email</w:t>
            </w:r>
          </w:p>
        </w:tc>
        <w:tc>
          <w:tcPr/>
          <w:p>
            <w:pPr>
              <w:pStyle w:val="Compact"/>
            </w:pPr>
            <w:r>
              <w:t xml:space="preserve">Homepage featured slot +</w:t>
            </w:r>
            <w:r>
              <w:t xml:space="preserve"> </w:t>
            </w:r>
            <w:r>
              <w:rPr>
                <w:rStyle w:val="VerbatimChar"/>
              </w:rPr>
              <w:t xml:space="preserve">/fairs/[slug]</w:t>
            </w:r>
            <w:r>
              <w:t xml:space="preserve"> </w:t>
            </w:r>
            <w:r>
              <w:t xml:space="preserve">page + dedicated email blast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₱9,999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boost_featured_only</w:t>
            </w:r>
          </w:p>
        </w:tc>
        <w:tc>
          <w:tcPr/>
          <w:p>
            <w:pPr>
              <w:pStyle w:val="Compact"/>
            </w:pPr>
            <w:r>
              <w:t xml:space="preserve">Homepage featured slot +</w:t>
            </w:r>
            <w:r>
              <w:t xml:space="preserve"> </w:t>
            </w:r>
            <w:r>
              <w:rPr>
                <w:rStyle w:val="VerbatimChar"/>
              </w:rPr>
              <w:t xml:space="preserve">/fairs/[slug]</w:t>
            </w:r>
            <w:r>
              <w:t xml:space="preserve"> </w:t>
            </w:r>
            <w:r>
              <w:t xml:space="preserve">page + sitemap inclusion (no email blast)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₱2,999</w:t>
            </w:r>
          </w:p>
        </w:tc>
      </w:tr>
    </w:tbl>
    <w:p>
      <w:pPr>
        <w:pStyle w:val="BodyText"/>
      </w:pPr>
      <w:r>
        <w:t xml:space="preserve">Funnel discount codes (§4)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under Model B — the Organizer may run them to deepen the funnel but is not required to.</w:t>
      </w:r>
    </w:p>
    <w:p>
      <w:pPr>
        <w:pStyle w:val="BodyText"/>
      </w:pPr>
      <w:r>
        <w:rPr>
          <w:b/>
          <w:bCs/>
        </w:rPr>
        <w:t xml:space="preserve">Pre-leverage transparency:</w:t>
      </w:r>
      <w:r>
        <w:t xml:space="preserve"> </w:t>
      </w:r>
      <w:r>
        <w:t xml:space="preserve">until Setnayan has audience leverage (~10K active couples + ~500 verified vendors), Model B buys early-mover access to a growing surface, not proven reach. This is disclosed at signup (§6). Prices follow the charm-pricing ladder; round-number quotes are not used.</w:t>
      </w:r>
    </w:p>
    <w:bookmarkEnd w:id="14"/>
    <w:bookmarkStart w:id="15" w:name="payment-reconciliation-model-b-only"/>
    <w:p>
      <w:pPr>
        <w:pStyle w:val="Heading3"/>
      </w:pPr>
      <w:r>
        <w:t xml:space="preserve">3.3 Payment &amp; reconciliation (Model B only)</w:t>
      </w:r>
    </w:p>
    <w:p>
      <w:pPr>
        <w:pStyle w:val="FirstParagraph"/>
      </w:pPr>
      <w:r>
        <w:t xml:space="preserve">Model B follows Setnayan’s standard apply-then-pay rail (0034): the Organizer receives a unique reference code + BDO / GCash instructions, pays externally, and Setnayan reconciles within the 24-hour SLA before the Featured slot activates. Reference codes expire 7 days after issue if unpaid.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unnel-discount-codes"/>
    <w:p>
      <w:pPr>
        <w:pStyle w:val="Heading2"/>
      </w:pPr>
      <w:r>
        <w:t xml:space="preserve">4. Funnel discount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who register for the Fair via Setnayan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booth discount — only where the Fair elects to offer one</w:t>
            </w:r>
            <w:r>
              <w:t xml:space="preserve"> </w:t>
            </w:r>
            <w:r>
              <w:t xml:space="preserve">(owner-locked 2026-06-04). The Fair sets the rate and bears the cost; Setnayan neither sets nor funds it. No discount applies when the Fair offers none.</w:t>
            </w:r>
          </w:p>
        </w:tc>
        <w:tc>
          <w:tcPr/>
          <w:p>
            <w:pPr>
              <w:pStyle w:val="Compact"/>
            </w:pPr>
            <w:r>
              <w:t xml:space="preserve">Setnayan-issued unique code, redeemed at the Organizer’s vendor-booking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Couples who register for the Fair via Setnayan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of: free welcome kit / fast-track entry / first-100-arrivals giveaway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Fair picks one</w:t>
            </w:r>
            <w:r>
              <w:t xml:space="preserve"> </w:t>
            </w:r>
            <w:r>
              <w:t xml:space="preserve">(owner-locked 2026-06-04; min. one)</w:t>
            </w:r>
          </w:p>
        </w:tc>
        <w:tc>
          <w:tcPr/>
          <w:p>
            <w:pPr>
              <w:pStyle w:val="Compact"/>
            </w:pPr>
            <w:r>
              <w:t xml:space="preserve">Setnayan-issued QR / badge presented at Fair entrance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Mechanics (binding where codes are used):</w:t>
      </w:r>
    </w:p>
    <w:p>
      <w:pPr>
        <w:pStyle w:val="Compact"/>
        <w:numPr>
          <w:ilvl w:val="0"/>
          <w:numId w:val="1005"/>
        </w:numPr>
      </w:pPr>
      <w:r>
        <w:t xml:space="preserve">Codes are</w:t>
      </w:r>
      <w:r>
        <w:t xml:space="preserve"> </w:t>
      </w:r>
      <w:r>
        <w:rPr>
          <w:b/>
          <w:bCs/>
        </w:rPr>
        <w:t xml:space="preserve">Setnayan-issued, Organizer-redeemed</w:t>
      </w:r>
      <w:r>
        <w:t xml:space="preserve">. Setnayan generates a unique alphanumeric code per Fair (e.g.,</w:t>
      </w:r>
      <w:r>
        <w:t xml:space="preserve"> </w:t>
      </w:r>
      <w:r>
        <w:rPr>
          <w:rStyle w:val="VerbatimChar"/>
        </w:rPr>
        <w:t xml:space="preserve">SETNAYAN-WEX2026-V15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 code is shown on</w:t>
      </w:r>
      <w:r>
        <w:t xml:space="preserve"> </w:t>
      </w:r>
      <w:r>
        <w:rPr>
          <w:rStyle w:val="VerbatimChar"/>
        </w:rPr>
        <w:t xml:space="preserve">/fairs/[fair-slug]</w:t>
      </w:r>
      <w:r>
        <w:t xml:space="preserve"> </w:t>
      </w:r>
      <w:r>
        <w:t xml:space="preserve">only to authenticated Setnayan users who clicked the Fair’s</w:t>
      </w:r>
      <w:r>
        <w:t xml:space="preserve"> </w:t>
      </w:r>
      <w:r>
        <w:t xml:space="preserve">“Apply for a booth”</w:t>
      </w:r>
      <w:r>
        <w:t xml:space="preserve"> </w:t>
      </w:r>
      <w:r>
        <w:t xml:space="preserve">/</w:t>
      </w:r>
      <w:r>
        <w:t xml:space="preserve"> </w:t>
      </w:r>
      <w:r>
        <w:t xml:space="preserve">“Register to attend”</w:t>
      </w:r>
      <w:r>
        <w:t xml:space="preserve"> </w:t>
      </w:r>
      <w:r>
        <w:t xml:space="preserve">CTA.</w:t>
      </w:r>
    </w:p>
    <w:p>
      <w:pPr>
        <w:pStyle w:val="Compact"/>
        <w:numPr>
          <w:ilvl w:val="0"/>
          <w:numId w:val="1005"/>
        </w:numPr>
      </w:pPr>
      <w:r>
        <w:t xml:space="preserve">Redemption happens in the</w:t>
      </w:r>
      <w:r>
        <w:t xml:space="preserve"> </w:t>
      </w:r>
      <w:r>
        <w:rPr>
          <w:b/>
          <w:bCs/>
        </w:rPr>
        <w:t xml:space="preserve">Organizer’s own</w:t>
      </w:r>
      <w:r>
        <w:t xml:space="preserve"> </w:t>
      </w:r>
      <w:r>
        <w:t xml:space="preserve">booth-booking / registration checkout; the Organizer applies the discount and reports redemptions back to Setnayan (webhook or end-of-event reconciliation report).</w:t>
      </w:r>
    </w:p>
    <w:p>
      <w:pPr>
        <w:pStyle w:val="Compact"/>
        <w:numPr>
          <w:ilvl w:val="0"/>
          <w:numId w:val="1005"/>
        </w:numPr>
      </w:pPr>
      <w:r>
        <w:t xml:space="preserve">Codes</w:t>
      </w:r>
      <w:r>
        <w:t xml:space="preserve"> </w:t>
      </w:r>
      <w:r>
        <w:rPr>
          <w:b/>
          <w:bCs/>
        </w:rPr>
        <w:t xml:space="preserve">expire at the Fair’s start date</w:t>
      </w:r>
      <w:r>
        <w:t xml:space="preserve">. One code per user per Fair; non-transferable.</w:t>
      </w:r>
    </w:p>
    <w:p>
      <w:pPr>
        <w:pStyle w:val="Compact"/>
        <w:numPr>
          <w:ilvl w:val="0"/>
          <w:numId w:val="1005"/>
        </w:numPr>
      </w:pPr>
      <w:r>
        <w:t xml:space="preserve">The booth discount is</w:t>
      </w:r>
      <w:r>
        <w:t xml:space="preserve"> </w:t>
      </w:r>
      <w:r>
        <w:rPr>
          <w:b/>
          <w:bCs/>
        </w:rPr>
        <w:t xml:space="preserve">fair-offered in both models</w:t>
      </w:r>
      <w:r>
        <w:t xml:space="preserve"> </w:t>
      </w:r>
      <w:r>
        <w:t xml:space="preserve">(owner-locked 2026-06-04): the Fair chooses whether to extend one and sets the rate. Under</w:t>
      </w:r>
      <w:r>
        <w:t xml:space="preserve"> </w:t>
      </w:r>
      <w:r>
        <w:rPr>
          <w:b/>
          <w:bCs/>
        </w:rPr>
        <w:t xml:space="preserve">Model A</w:t>
      </w:r>
      <w:r>
        <w:t xml:space="preserve"> </w:t>
      </w:r>
      <w:r>
        <w:t xml:space="preserve">Setnayan negotiates for it as part of the in-kind exchange where the Fair offers it; under</w:t>
      </w:r>
      <w:r>
        <w:t xml:space="preserve"> </w:t>
      </w:r>
      <w:r>
        <w:rPr>
          <w:b/>
          <w:bCs/>
        </w:rPr>
        <w:t xml:space="preserve">Model B</w:t>
      </w:r>
      <w:r>
        <w:t xml:space="preserve"> </w:t>
      </w:r>
      <w:r>
        <w:t xml:space="preserve">it’s optional. Either way the discount is the Fair’s cost, never Setnayan’s — and a Fair offering none still qualifies.</w:t>
      </w:r>
    </w:p>
    <w:p>
      <w:r>
        <w:pict>
          <v:rect style="width:0;height:1.5pt" o:hralign="center" o:hrstd="t" o:hr="t"/>
        </w:pict>
      </w:r>
    </w:p>
    <w:bookmarkEnd w:id="17"/>
    <w:bookmarkStart w:id="18" w:name="term-cancellation-exclusivity"/>
    <w:p>
      <w:pPr>
        <w:pStyle w:val="Heading2"/>
      </w:pPr>
      <w:r>
        <w:t xml:space="preserve">5. Term, cancellation &amp; exclusivity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one Boost cycle = one Fair, ending at that Fair’s start date. Not a standing subscription; the Organizer re-signs per Fair.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Cancellation by Organizer: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Model A</w:t>
      </w:r>
      <w:r>
        <w:t xml:space="preserve"> </w:t>
      </w:r>
      <w:r>
        <w:t xml:space="preserve">— either party may withdraw up to</w:t>
      </w:r>
      <w:r>
        <w:t xml:space="preserve"> </w:t>
      </w:r>
      <w:r>
        <w:rPr>
          <w:b/>
          <w:bCs/>
        </w:rPr>
        <w:t xml:space="preserve">14 days before the Fair</w:t>
      </w:r>
      <w:r>
        <w:t xml:space="preserve">; after that, in-kind commitments (collateral already printed, slot already promoted) stand.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Model B</w:t>
      </w:r>
      <w:r>
        <w:t xml:space="preserve"> </w:t>
      </w:r>
      <w:r>
        <w:t xml:space="preserve">— refundable in full if cancelled</w:t>
      </w:r>
      <w:r>
        <w:t xml:space="preserve"> </w:t>
      </w:r>
      <w:r>
        <w:rPr>
          <w:b/>
          <w:bCs/>
        </w:rPr>
        <w:t xml:space="preserve">before the Featured slot goes live</w:t>
      </w:r>
      <w:r>
        <w:t xml:space="preserve">;</w:t>
      </w:r>
      <w:r>
        <w:t xml:space="preserve"> </w:t>
      </w:r>
      <w:r>
        <w:rPr>
          <w:b/>
          <w:bCs/>
        </w:rPr>
        <w:t xml:space="preserve">50% refundable</w:t>
      </w:r>
      <w:r>
        <w:t xml:space="preserve"> </w:t>
      </w:r>
      <w:r>
        <w:t xml:space="preserve">⚠</w:t>
      </w:r>
      <w:r>
        <w:t xml:space="preserve"> </w:t>
      </w:r>
      <w:r>
        <w:rPr>
          <w:b/>
          <w:bCs/>
        </w:rPr>
        <w:t xml:space="preserve">OWNER-VALIDATE</w:t>
      </w:r>
      <w:r>
        <w:t xml:space="preserve"> </w:t>
      </w:r>
      <w:r>
        <w:t xml:space="preserve">once live but more than 14 days pre-Fair;</w:t>
      </w:r>
      <w:r>
        <w:t xml:space="preserve"> </w:t>
      </w:r>
      <w:r>
        <w:rPr>
          <w:b/>
          <w:bCs/>
        </w:rPr>
        <w:t xml:space="preserve">non-refundable</w:t>
      </w:r>
      <w:r>
        <w:t xml:space="preserve"> </w:t>
      </w:r>
      <w:r>
        <w:t xml:space="preserve">within 14 days of the Fair (production + email already committed).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Cancellation by Setnayan:</w:t>
      </w:r>
      <w:r>
        <w:t xml:space="preserve"> </w:t>
      </w:r>
      <w:r>
        <w:t xml:space="preserve">Setnayan may pull a Boost (with pro-rata Model B refund) if the Fair is cancelled, misrepresented, or the Organizer breaches §6 / §8.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Exclusivity:</w:t>
      </w:r>
      <w:r>
        <w:t xml:space="preserve"> </w:t>
      </w:r>
      <w:r>
        <w:rPr>
          <w:b/>
          <w:bCs/>
        </w:rPr>
        <w:t xml:space="preserve">none in V1</w:t>
      </w:r>
      <w:r>
        <w:t xml:space="preserve"> </w:t>
      </w:r>
      <w:r>
        <w:t xml:space="preserve">(owner-locked 2026-06-04). Setnayan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 category or geographic exclusivity and may boost more than one Fair, including in the same city/month, subject to the 3-slot homepage cap. (Exclusivity may be offered as a paid premium in a later version.) Any specially-negotiated exclusivity must be written into the signature block.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A volume cap:</w:t>
      </w:r>
      <w:r>
        <w:t xml:space="preserve"> </w:t>
      </w:r>
      <w:r>
        <w:rPr>
          <w:b/>
          <w:bCs/>
        </w:rPr>
        <w:t xml:space="preserve">2–4 free Model A deals per quarter at pilot</w:t>
      </w:r>
      <w:r>
        <w:t xml:space="preserve"> </w:t>
      </w:r>
      <w:r>
        <w:t xml:space="preserve">(owner-locked 2026-06-04; tied to Setnayan’s on-site-staffing bandwidth — physical presence has real cost). Beyond the cap, only Model B (cash) is offered.</w:t>
      </w:r>
    </w:p>
    <w:p>
      <w:r>
        <w:pict>
          <v:rect style="width:0;height:1.5pt" o:hralign="center" o:hrstd="t" o:hr="t"/>
        </w:pict>
      </w:r>
    </w:p>
    <w:bookmarkEnd w:id="18"/>
    <w:bookmarkStart w:id="19" w:name="representations-transparency"/>
    <w:p>
      <w:pPr>
        <w:pStyle w:val="Heading2"/>
      </w:pPr>
      <w:r>
        <w:t xml:space="preserve">6. Representations &amp; transparency</w:t>
      </w:r>
    </w:p>
    <w:p>
      <w:pPr>
        <w:pStyle w:val="Compact"/>
        <w:numPr>
          <w:ilvl w:val="0"/>
          <w:numId w:val="1008"/>
        </w:numPr>
      </w:pPr>
      <w:r>
        <w:t xml:space="preserve">Setnayan represents that Featured slots, the</w:t>
      </w:r>
      <w:r>
        <w:t xml:space="preserve"> </w:t>
      </w:r>
      <w:r>
        <w:rPr>
          <w:rStyle w:val="VerbatimChar"/>
        </w:rPr>
        <w:t xml:space="preserve">/fairs/[slug]</w:t>
      </w:r>
      <w:r>
        <w:t xml:space="preserve"> </w:t>
      </w:r>
      <w:r>
        <w:t xml:space="preserve">page, and the email blast will be delivered as described for the cycle paid/bartered for, subject to the 3-slot cap and the launch-gate state disclosed at signup.</w:t>
      </w:r>
    </w:p>
    <w:p>
      <w:pPr>
        <w:pStyle w:val="Compact"/>
        <w:numPr>
          <w:ilvl w:val="0"/>
          <w:numId w:val="1008"/>
        </w:numPr>
      </w:pPr>
      <w:r>
        <w:t xml:space="preserve">Where Boost is opened pre-gate (admin override, §2.1), Setnayan discloses current audience numbers in writing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signature, so the Organizer’s decision is informed.</w:t>
      </w:r>
    </w:p>
    <w:p>
      <w:pPr>
        <w:pStyle w:val="Compact"/>
        <w:numPr>
          <w:ilvl w:val="0"/>
          <w:numId w:val="1008"/>
        </w:numPr>
      </w:pPr>
      <w:r>
        <w:t xml:space="preserve">The Organizer represents that the Fair is real, the stated date/venue/scale are accurate, and the Organizer has authority to grant the in-kind benefits (Model A) it commits to.</w:t>
      </w:r>
    </w:p>
    <w:p>
      <w:r>
        <w:pict>
          <v:rect style="width:0;height:1.5pt" o:hralign="center" o:hrstd="t" o:hr="t"/>
        </w:pict>
      </w:r>
    </w:p>
    <w:bookmarkEnd w:id="19"/>
    <w:bookmarkStart w:id="20" w:name="intellectual-property-use-of-marks"/>
    <w:p>
      <w:pPr>
        <w:pStyle w:val="Heading2"/>
      </w:pPr>
      <w:r>
        <w:t xml:space="preserve">7. Intellectual property &amp; use of marks</w:t>
      </w:r>
    </w:p>
    <w:p>
      <w:pPr>
        <w:pStyle w:val="Compact"/>
        <w:numPr>
          <w:ilvl w:val="0"/>
          <w:numId w:val="1009"/>
        </w:numPr>
      </w:pPr>
      <w:r>
        <w:t xml:space="preserve">Each party grants the other a</w:t>
      </w:r>
      <w:r>
        <w:t xml:space="preserve"> </w:t>
      </w:r>
      <w:r>
        <w:rPr>
          <w:b/>
          <w:bCs/>
        </w:rPr>
        <w:t xml:space="preserve">limited, non-exclusive, cycle-scoped license</w:t>
      </w:r>
      <w:r>
        <w:t xml:space="preserve"> </w:t>
      </w:r>
      <w:r>
        <w:t xml:space="preserve">to use its name, logo, and marks solely to promote the Fair (Setnayan on the Organizer’s collateral; the Fair’s marks on Setnayan’s surfaces).</w:t>
      </w:r>
    </w:p>
    <w:p>
      <w:pPr>
        <w:pStyle w:val="Compact"/>
        <w:numPr>
          <w:ilvl w:val="0"/>
          <w:numId w:val="1009"/>
        </w:numPr>
      </w:pPr>
      <w:r>
        <w:t xml:space="preserve">Neither party acquires ownership of the other’s marks. All goodwill inures to the mark owner.</w:t>
      </w:r>
    </w:p>
    <w:p>
      <w:pPr>
        <w:pStyle w:val="Compact"/>
        <w:numPr>
          <w:ilvl w:val="0"/>
          <w:numId w:val="1009"/>
        </w:numPr>
      </w:pPr>
      <w:r>
        <w:t xml:space="preserve">The license terminates at the end of the Boost cycle. Setnayan may retain the</w:t>
      </w:r>
      <w:r>
        <w:t xml:space="preserve"> </w:t>
      </w:r>
      <w:r>
        <w:rPr>
          <w:rStyle w:val="VerbatimChar"/>
        </w:rPr>
        <w:t xml:space="preserve">/fairs/[slug]</w:t>
      </w:r>
      <w:r>
        <w:t xml:space="preserve"> </w:t>
      </w:r>
      <w:r>
        <w:t xml:space="preserve">page in an archived/past-event state with the Fair’s marks for historical and SEO continuity unless the Organizer objects in writing.</w:t>
      </w:r>
    </w:p>
    <w:p>
      <w:pPr>
        <w:pStyle w:val="Compact"/>
        <w:numPr>
          <w:ilvl w:val="0"/>
          <w:numId w:val="1009"/>
        </w:numPr>
      </w:pPr>
      <w:r>
        <w:t xml:space="preserve">Photos, copy, and creative supplied by either party may be used by the other only for promoting that Fair, not for unrelated marketing, without separate written consent.</w:t>
      </w:r>
    </w:p>
    <w:p>
      <w:r>
        <w:pict>
          <v:rect style="width:0;height:1.5pt" o:hralign="center" o:hrstd="t" o:hr="t"/>
        </w:pict>
      </w:r>
    </w:p>
    <w:bookmarkEnd w:id="20"/>
    <w:bookmarkStart w:id="21" w:name="data-privacy-compliance"/>
    <w:p>
      <w:pPr>
        <w:pStyle w:val="Heading2"/>
      </w:pPr>
      <w:r>
        <w:t xml:space="preserve">8. Data, privacy &amp; compliance</w:t>
      </w:r>
    </w:p>
    <w:p>
      <w:pPr>
        <w:pStyle w:val="Compact"/>
        <w:numPr>
          <w:ilvl w:val="0"/>
          <w:numId w:val="1010"/>
        </w:numPr>
      </w:pPr>
      <w:r>
        <w:t xml:space="preserve">Funnel attribution data (Setnayan-attributed vendor bookings + couple registrations) flows to Setnayan for negotiation leverage and is handled per the</w:t>
      </w:r>
      <w:r>
        <w:t xml:space="preserve"> </w:t>
      </w:r>
      <w:r>
        <w:rPr>
          <w:b/>
          <w:bCs/>
        </w:rPr>
        <w:t xml:space="preserve">Setnayan Privacy &amp; Security Policy</w:t>
      </w:r>
      <w:r>
        <w:t xml:space="preserve"> </w:t>
      </w:r>
      <w:r>
        <w:t xml:space="preserve">(RA 10173 compliant).</w:t>
      </w:r>
    </w:p>
    <w:p>
      <w:pPr>
        <w:pStyle w:val="Compact"/>
        <w:numPr>
          <w:ilvl w:val="0"/>
          <w:numId w:val="1010"/>
        </w:numPr>
      </w:pPr>
      <w:r>
        <w:t xml:space="preserve">The Organizer must handle any Setnayan-referred user data it receives (booth applicants, couple registrants) in compliance with RA 10173, and must not resell or repurpose it.</w:t>
      </w:r>
    </w:p>
    <w:p>
      <w:pPr>
        <w:pStyle w:val="Compact"/>
        <w:numPr>
          <w:ilvl w:val="0"/>
          <w:numId w:val="1010"/>
        </w:numPr>
      </w:pPr>
      <w:r>
        <w:t xml:space="preserve">Neither party sells the other’s referred personal data to third parties.</w:t>
      </w:r>
    </w:p>
    <w:p>
      <w:r>
        <w:pict>
          <v:rect style="width:0;height:1.5pt" o:hralign="center" o:hrstd="t" o:hr="t"/>
        </w:pict>
      </w:r>
    </w:p>
    <w:bookmarkEnd w:id="21"/>
    <w:bookmarkStart w:id="22" w:name="signing-mechanics-manual-in-v1"/>
    <w:p>
      <w:pPr>
        <w:pStyle w:val="Heading2"/>
      </w:pPr>
      <w:r>
        <w:t xml:space="preserve">9. Signing mechanics — manual in V1</w:t>
      </w:r>
    </w:p>
    <w:p>
      <w:pPr>
        <w:pStyle w:val="FirstParagraph"/>
      </w:pPr>
      <w:r>
        <w:t xml:space="preserve">Mirrors the Vendor Agreement § 12.1 path:</w:t>
      </w:r>
    </w:p>
    <w:p>
      <w:pPr>
        <w:pStyle w:val="Compact"/>
        <w:numPr>
          <w:ilvl w:val="0"/>
          <w:numId w:val="1011"/>
        </w:numPr>
      </w:pPr>
      <w:r>
        <w:t xml:space="preserve">At signup, Setnayan emails the Organizer a PDF of this Agreement (model + Fair details + any negotiated terms filled into the signature block), signed by Setnayan Team.</w:t>
      </w:r>
    </w:p>
    <w:p>
      <w:pPr>
        <w:pStyle w:val="Compact"/>
        <w:numPr>
          <w:ilvl w:val="0"/>
          <w:numId w:val="1011"/>
        </w:numPr>
      </w:pPr>
      <w:r>
        <w:t xml:space="preserve">Organizer prints, signs, scans/photographs, and returns the signed PDF to</w:t>
      </w:r>
      <w:r>
        <w:t xml:space="preserve"> </w:t>
      </w:r>
      <w:r>
        <w:rPr>
          <w:b/>
          <w:bCs/>
        </w:rPr>
        <w:t xml:space="preserve">partnerships@setnayan.com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Setnayan stores the signed PDF in R2 bucket</w:t>
      </w:r>
      <w:r>
        <w:t xml:space="preserve"> </w:t>
      </w:r>
      <w:r>
        <w:rPr>
          <w:rStyle w:val="VerbatimChar"/>
        </w:rPr>
        <w:t xml:space="preserve">setnayan-fair-contracts</w:t>
      </w:r>
      <w:r>
        <w:t xml:space="preserve"> </w:t>
      </w:r>
      <w:r>
        <w:t xml:space="preserve">under key</w:t>
      </w:r>
      <w:r>
        <w:t xml:space="preserve"> </w:t>
      </w:r>
      <w:r>
        <w:rPr>
          <w:rStyle w:val="VerbatimChar"/>
        </w:rPr>
        <w:t xml:space="preserve">fairs/{fair_id}/signed_boost_agreement_{date}.pdf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 Model B, the Featured slot activates only after both the signed PDF is filed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payment is reconciled (§3.3).</w:t>
      </w:r>
    </w:p>
    <w:p>
      <w:pPr>
        <w:pStyle w:val="Compact"/>
        <w:numPr>
          <w:ilvl w:val="0"/>
          <w:numId w:val="1011"/>
        </w:numPr>
      </w:pPr>
      <w:r>
        <w:t xml:space="preserve">The Setnayan-signed copy sent in step 1 is the binding document; counter-signature is optional in V1.</w:t>
      </w:r>
    </w:p>
    <w:p>
      <w:pPr>
        <w:pStyle w:val="FirstParagraph"/>
      </w:pPr>
      <w:r>
        <w:rPr>
          <w:b/>
          <w:bCs/>
        </w:rPr>
        <w:t xml:space="preserve">V1.5:</w:t>
      </w:r>
      <w:r>
        <w:t xml:space="preserve"> </w:t>
      </w:r>
      <w:r>
        <w:t xml:space="preserve">migrate to in-app e-signature (same provider path as the Vendor Agreement) — non-breaking.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Setnayan reserves the right to update this Agreement. Material changes require written notice to active Organizers before their next cycle.</w:t>
      </w:r>
    </w:p>
    <w:p>
      <w:pPr>
        <w:pStyle w:val="BodyText"/>
      </w:pPr>
      <w:r>
        <w:rPr>
          <w:i/>
          <w:iCs/>
        </w:rPr>
        <w:t xml:space="preserve">Filipino-language translation will be made available; in case of conflict, the English version governs.</w:t>
      </w:r>
    </w:p>
    <w:p>
      <w:pPr>
        <w:pStyle w:val="BodyText"/>
      </w:pPr>
      <w:r>
        <w:rPr>
          <w:i/>
          <w:iCs/>
        </w:rPr>
        <w:t xml:space="preserve">Questions: partnerships@setnayan.com · legal@setnayan.com</w:t>
      </w:r>
    </w:p>
    <w:p>
      <w:r>
        <w:pict>
          <v:rect style="width:0;height:1.5pt" o:hralign="center" o:hrstd="t" o:hr="t"/>
        </w:pict>
      </w:r>
    </w:p>
    <w:bookmarkEnd w:id="22"/>
    <w:bookmarkStart w:id="23" w:name="signature-block"/>
    <w:p>
      <w:pPr>
        <w:pStyle w:val="Heading2"/>
      </w:pPr>
      <w:r>
        <w:t xml:space="preserve">Signature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name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date &amp; venue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slug (</w:t>
            </w:r>
            <w:r>
              <w:rPr>
                <w:rStyle w:val="VerbatimChar"/>
              </w:rPr>
              <w:t xml:space="preserve">/fairs/______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selected</w:t>
            </w:r>
          </w:p>
        </w:tc>
        <w:tc>
          <w:tcPr/>
          <w:p>
            <w:pPr>
              <w:pStyle w:val="Compact"/>
            </w:pPr>
            <w:r>
              <w:t xml:space="preserve">☐ A — Barter ☐ B —</w:t>
            </w:r>
            <w:r>
              <w:t xml:space="preserve"> </w:t>
            </w:r>
            <w:r>
              <w:rPr>
                <w:rStyle w:val="VerbatimChar"/>
              </w:rPr>
              <w:t xml:space="preserve">boost_featured_plus_email</w:t>
            </w:r>
            <w:r>
              <w:t xml:space="preserve"> </w:t>
            </w:r>
            <w:r>
              <w:t xml:space="preserve">(₱9,999) ☐ B —</w:t>
            </w:r>
            <w:r>
              <w:t xml:space="preserve"> </w:t>
            </w:r>
            <w:r>
              <w:rPr>
                <w:rStyle w:val="VerbatimChar"/>
              </w:rPr>
              <w:t xml:space="preserve">boost_featured_only</w:t>
            </w:r>
            <w:r>
              <w:t xml:space="preserve"> </w:t>
            </w:r>
            <w:r>
              <w:t xml:space="preserve">(₱2,999)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Funnel codes? (Model A: required · Model B: optional)</w:t>
            </w:r>
          </w:p>
        </w:tc>
        <w:tc>
          <w:tcPr/>
          <w:p>
            <w:pPr>
              <w:pStyle w:val="Compact"/>
            </w:pPr>
            <w:r>
              <w:t xml:space="preserve">☐ Yes ☐ No · Vendor %: ____ · Couple perk: 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Negotiated exclusivity (if any)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Pre-gate disclosure acknowledged (if applicable)</w:t>
            </w:r>
          </w:p>
        </w:tc>
        <w:tc>
          <w:tcPr/>
          <w:p>
            <w:pPr>
              <w:pStyle w:val="Compact"/>
            </w:pPr>
            <w:r>
              <w:t xml:space="preserve">☐ N/A ☐ Acknowledged — vendors: ____ couples: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Organizer — name / title / signature / date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 Team — name / signature / date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pendix-a-linked-iterations-sources"/>
    <w:p>
      <w:pPr>
        <w:pStyle w:val="Heading2"/>
      </w:pPr>
      <w:r>
        <w:t xml:space="preserve">Appendix A — Linked iterations &amp; sources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0042 Industry Events (B2B)</w:t>
      </w:r>
      <w:r>
        <w:t xml:space="preserve"> </w:t>
      </w:r>
      <w:r>
        <w:t xml:space="preserve">§6.5 — Boost SKUs (</w:t>
      </w:r>
      <w:r>
        <w:rPr>
          <w:rStyle w:val="VerbatimChar"/>
        </w:rPr>
        <w:t xml:space="preserve">boost_featured_plus_email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boost_featured_only</w:t>
      </w:r>
      <w:r>
        <w:t xml:space="preserve">), fairs data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0023 Admin Console</w:t>
      </w:r>
      <w:r>
        <w:t xml:space="preserve"> </w:t>
      </w:r>
      <w:r>
        <w:t xml:space="preserve">§3.16 / surface #29 — Promoted Events &amp; Broadcast: slot management, admin override, email broadcast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0015 Main Website</w:t>
      </w:r>
      <w:r>
        <w:t xml:space="preserve"> </w:t>
      </w:r>
      <w:r>
        <w:t xml:space="preserve">— homepage featured-fairs strip +</w:t>
      </w:r>
      <w:r>
        <w:t xml:space="preserve"> </w:t>
      </w:r>
      <w:r>
        <w:rPr>
          <w:rStyle w:val="VerbatimChar"/>
        </w:rPr>
        <w:t xml:space="preserve">/fairs</w:t>
      </w:r>
      <w:r>
        <w:t xml:space="preserve"> </w:t>
      </w:r>
      <w:r>
        <w:t xml:space="preserve">index +</w:t>
      </w:r>
      <w:r>
        <w:t xml:space="preserve"> </w:t>
      </w:r>
      <w:r>
        <w:rPr>
          <w:rStyle w:val="VerbatimChar"/>
        </w:rPr>
        <w:t xml:space="preserve">/fairs/[fair-slug]</w:t>
      </w:r>
      <w:r>
        <w:t xml:space="preserve"> </w:t>
      </w:r>
      <w:r>
        <w:t xml:space="preserve">templates (templates still unbuilt — see</w:t>
      </w:r>
      <w:r>
        <w:t xml:space="preserve"> </w:t>
      </w:r>
      <w:r>
        <w:rPr>
          <w:rStyle w:val="VerbatimChar"/>
        </w:rPr>
        <w:t xml:space="preserve">Cowork_Pending_Items.md</w:t>
      </w:r>
      <w:r>
        <w:t xml:space="preserve"> </w:t>
      </w:r>
      <w:r>
        <w:t xml:space="preserve">items #3, #4)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0034 Payments &amp; Cart</w:t>
      </w:r>
      <w:r>
        <w:t xml:space="preserve"> </w:t>
      </w:r>
      <w:r>
        <w:t xml:space="preserve">— Model B apply-then-pay reconciliation rail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SEO &amp; AI Discoverability Playbook</w:t>
      </w:r>
      <w:r>
        <w:t xml:space="preserve"> </w:t>
      </w:r>
      <w:r>
        <w:t xml:space="preserve">§11.2 / §11.3.1 / §11.7 / §11.7.1 — pricing framework + launch gate (source for this contract)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Setnayan Privacy &amp; Security Policy</w:t>
      </w:r>
      <w:r>
        <w:t xml:space="preserve"> </w:t>
      </w:r>
      <w:r>
        <w:t xml:space="preserve">— RA 10173 data handling (§8)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DECISION_LOG</w:t>
      </w:r>
      <w:r>
        <w:t xml:space="preserve"> </w:t>
      </w:r>
      <w:r>
        <w:t xml:space="preserve">2026-06-03 —</w:t>
      </w:r>
      <w:r>
        <w:t xml:space="preserve"> </w:t>
      </w:r>
      <w:r>
        <w:t xml:space="preserve">“Fair-to-couple boost SKU priced”</w:t>
      </w:r>
      <w:r>
        <w:t xml:space="preserve"> </w:t>
      </w:r>
      <w:r>
        <w:t xml:space="preserve">· ₱4,999 → ₱9,999 lock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2026-06-04T05:30:39Z</dcterms:created>
  <dcterms:modified xsi:type="dcterms:W3CDTF">2026-06-04T05:30:39Z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