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c8a18a30cf23dd5632c0a01be5512fac4019f7"/>
    <w:p>
      <w:pPr>
        <w:pStyle w:val="Heading1"/>
      </w:pPr>
      <w:r>
        <w:t xml:space="preserve">Setnayan — Records of Processing Activities (RoPA) / Data Inventory</w:t>
      </w:r>
    </w:p>
    <w:p>
      <w:pPr>
        <w:pStyle w:val="BlockText"/>
      </w:pPr>
      <w:r>
        <w:rPr>
          <w:b/>
          <w:bCs/>
        </w:rPr>
        <w:t xml:space="preserve">DRAFT — for DPO (Indalecio Sacdalan Casasola II) + PH counsel finalization and NPC filing; not yet adopted. · 2026-07-05</w:t>
      </w:r>
    </w:p>
    <w:p>
      <w:pPr>
        <w:pStyle w:val="FirstParagraph"/>
      </w:pPr>
      <w:r>
        <w:t xml:space="preserve">The accountability record RA 10173 (Data Privacy Act of 2012) and its IRR require a Personal Information Controller (PIC) to maintain: a register of the Data Processing Systems (DPS) it operates. Each row below is</w:t>
      </w:r>
      <w:r>
        <w:t xml:space="preserve"> </w:t>
      </w:r>
      <w:r>
        <w:rPr>
          <w:b/>
          <w:bCs/>
        </w:rPr>
        <w:t xml:space="preserve">one DPS</w:t>
      </w:r>
      <w:r>
        <w:t xml:space="preserve">. Sourced from</w:t>
      </w:r>
      <w:r>
        <w:t xml:space="preserve"> </w:t>
      </w:r>
      <w:r>
        <w:rPr>
          <w:rStyle w:val="VerbatimChar"/>
        </w:rPr>
        <w:t xml:space="preserve">01_Contracts/Setnayan_Privacy_and_Security_Policy.md</w:t>
      </w:r>
      <w:r>
        <w:t xml:space="preserve"> </w:t>
      </w:r>
      <w:r>
        <w:t xml:space="preserve">(§1 data collected, §3 where data lives, §4 retention, §6 consent, §10 sub-processors) and</w:t>
      </w:r>
      <w:r>
        <w:t xml:space="preserve"> </w:t>
      </w:r>
      <w:r>
        <w:rPr>
          <w:rStyle w:val="VerbatimChar"/>
        </w:rPr>
        <w:t xml:space="preserve">03_Strategy/Compliance_Pack_PersonGraph_DRAFT_2026-07-05.md</w:t>
      </w:r>
      <w:r>
        <w:t xml:space="preserve">. Facts not established in those sources are marked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 </w:t>
      </w:r>
      <w:r>
        <w:t xml:space="preserve">— none invented.</w:t>
      </w:r>
    </w:p>
    <w:p>
      <w:r>
        <w:pict>
          <v:rect style="width:0;height:1.5pt" o:hralign="center" o:hrstd="t" o:hr="t"/>
        </w:pict>
      </w:r>
    </w:p>
    <w:bookmarkStart w:id="10" w:name="controller-governance-identification"/>
    <w:p>
      <w:pPr>
        <w:pStyle w:val="Heading2"/>
      </w:pPr>
      <w:r>
        <w:t xml:space="preserve">0. Controller &amp; governance identification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Information Controller (PIC)</w:t>
            </w:r>
          </w:p>
        </w:tc>
        <w:tc>
          <w:tcPr/>
          <w:p>
            <w:pPr>
              <w:pStyle w:val="Compact"/>
            </w:pPr>
            <w:r>
              <w:t xml:space="preserve">SETNAYAN SOFTWARE DEVELOPMENT SERVICE — sole proprietorship of Indalecio Sacdalan Casasola 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DTI Business Name Registration</w:t>
            </w:r>
          </w:p>
        </w:tc>
        <w:tc>
          <w:tcPr/>
          <w:p>
            <w:pPr>
              <w:pStyle w:val="Compact"/>
            </w:pPr>
            <w:r>
              <w:t xml:space="preserve">BN 8297508 · valid 25 Jun 2026 – 25 Jun 2031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Brand / trade name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domains</w:t>
            </w:r>
          </w:p>
        </w:tc>
        <w:tc>
          <w:tcPr/>
          <w:p>
            <w:pPr>
              <w:pStyle w:val="Compact"/>
            </w:pPr>
            <w:r>
              <w:t xml:space="preserve">setnayan.com · setnayan.ph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Registered business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headcount / employees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NPC registration number (if already registered)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Protection Officer (DPO)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 · [TO CONFIRM — DPO email] (registered with the NPC per policy 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DPO response SLA</w:t>
            </w:r>
          </w:p>
        </w:tc>
        <w:tc>
          <w:tcPr/>
          <w:p>
            <w:pPr>
              <w:pStyle w:val="Compact"/>
            </w:pPr>
            <w:r>
              <w:t xml:space="preserve">7 business days (non-urgent); immediate for breach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Breach notification</w:t>
            </w:r>
          </w:p>
        </w:tc>
        <w:tc>
          <w:tcPr/>
          <w:p>
            <w:pPr>
              <w:pStyle w:val="Compact"/>
            </w:pPr>
            <w:r>
              <w:t xml:space="preserve">NPC + affected users within 72 hours of confirmation (policy 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data-subject counts (customers / vendors / guests)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</w:p>
        </w:tc>
      </w:tr>
    </w:tbl>
    <w:bookmarkStart w:id="9" w:name="X6e08beab3a80e9d9885d7bcb470caf16f9b64c3"/>
    <w:p>
      <w:pPr>
        <w:pStyle w:val="Heading3"/>
      </w:pPr>
      <w:r>
        <w:t xml:space="preserve">Shared infrastructure (applies across DPS’s unless a row narrows it)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application hosting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(edge)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database (PII + transactional)</w:t>
            </w:r>
          </w:p>
        </w:tc>
        <w:tc>
          <w:tcPr/>
          <w:p>
            <w:pPr>
              <w:pStyle w:val="Compact"/>
            </w:pPr>
            <w:r>
              <w:t xml:space="preserve">Supabase / Postgres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Singapore</w:t>
            </w:r>
          </w:p>
        </w:tc>
        <w:tc>
          <w:tcPr/>
          <w:p>
            <w:pPr>
              <w:pStyle w:val="Compact"/>
            </w:pPr>
            <w:r>
              <w:t xml:space="preserve">Processor · AES-256 at rest · 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(photos / video / face vectors)</w:t>
            </w:r>
          </w:p>
        </w:tc>
        <w:tc>
          <w:tcPr/>
          <w:p>
            <w:pPr>
              <w:pStyle w:val="Compact"/>
            </w:pPr>
            <w:r>
              <w:t xml:space="preserve">Cloudflare 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APAC / PH region</w:t>
            </w:r>
          </w:p>
        </w:tc>
        <w:tc>
          <w:tcPr/>
          <w:p>
            <w:pPr>
              <w:pStyle w:val="Compact"/>
            </w:pPr>
            <w:r>
              <w:t xml:space="preserve">Processor · signed-URL access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Transactional 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(US-based likely)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ID verification</w:t>
            </w:r>
          </w:p>
        </w:tc>
        <w:tc>
          <w:tcPr/>
          <w:p>
            <w:pPr>
              <w:pStyle w:val="Compact"/>
            </w:pPr>
            <w:r>
              <w:t xml:space="preserve">Persona / Veriff / Onfido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Processor (batch-call, no ongoing 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text/contract analysis</w:t>
            </w:r>
          </w:p>
        </w:tc>
        <w:tc>
          <w:tcPr/>
          <w:p>
            <w:pPr>
              <w:pStyle w:val="Compact"/>
            </w:pPr>
            <w:r>
              <w:t xml:space="preserve">Anthropic (Claude) · OpenAI (V1.5 fallback)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Processor · zero-retention API mode (Anthropic)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generation</w:t>
            </w:r>
          </w:p>
        </w:tc>
        <w:tc>
          <w:tcPr/>
          <w:p>
            <w:pPr>
              <w:pStyle w:val="Compact"/>
            </w:pPr>
            <w:r>
              <w:t xml:space="preserve">Suno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</w:p>
        </w:tc>
        <w:tc>
          <w:tcPr/>
          <w:p>
            <w:pPr>
              <w:pStyle w:val="Compact"/>
            </w:pPr>
            <w:r>
              <w:t xml:space="preserve">Processor —</w:t>
            </w:r>
            <w:r>
              <w:t xml:space="preserve"> </w:t>
            </w:r>
            <w:r>
              <w:rPr>
                <w:b/>
                <w:bCs/>
              </w:rPr>
              <w:t xml:space="preserve">no PII processed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Cross-border baseline:</w:t>
      </w:r>
      <w:r>
        <w:t xml:space="preserve"> </w:t>
      </w:r>
      <w:r>
        <w:t xml:space="preserve">routine operation crosses the SG↔PH border; encrypted in transit (TLS 1.3), governed by Cloudflare’s and Supabase’s PH-compliant DPAs, subject to NPC oversight (policy §10). US sub-processors are bound by Standard Contractual Clauses (SCCs) or equivalent (policy §10).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3" w:name="Xdc7bbefe365b46566c5b0030e1b360164d5b76f"/>
    <w:p>
      <w:pPr>
        <w:pStyle w:val="Heading2"/>
      </w:pPr>
      <w:r>
        <w:t xml:space="preserve">1. Records of Processing Activities — one record per Data Processing System</w:t>
      </w:r>
    </w:p>
    <w:p>
      <w:pPr>
        <w:pStyle w:val="FirstParagraph"/>
      </w:pPr>
      <w:r>
        <w:t xml:space="preserve">Legend — Legal basis per RA 10173 §12 (personal info) / §13 (sensitive personal info):</w:t>
      </w:r>
      <w:r>
        <w:t xml:space="preserve"> </w:t>
      </w:r>
      <w:r>
        <w:rPr>
          <w:b/>
          <w:bCs/>
        </w:rPr>
        <w:t xml:space="preserve">Contract</w:t>
      </w:r>
      <w:r>
        <w:t xml:space="preserve"> </w:t>
      </w:r>
      <w:r>
        <w:t xml:space="preserve">= §12(b) performance of contract;</w:t>
      </w:r>
      <w:r>
        <w:t xml:space="preserve"> </w:t>
      </w:r>
      <w:r>
        <w:rPr>
          <w:b/>
          <w:bCs/>
        </w:rPr>
        <w:t xml:space="preserve">Consent</w:t>
      </w:r>
      <w:r>
        <w:t xml:space="preserve"> </w:t>
      </w:r>
      <w:r>
        <w:t xml:space="preserve">= §12(a)/§13(a);</w:t>
      </w:r>
      <w:r>
        <w:t xml:space="preserve"> </w:t>
      </w:r>
      <w:r>
        <w:rPr>
          <w:b/>
          <w:bCs/>
        </w:rPr>
        <w:t xml:space="preserve">Legitimate interest</w:t>
      </w:r>
      <w:r>
        <w:t xml:space="preserve"> </w:t>
      </w:r>
      <w:r>
        <w:t xml:space="preserve">= §12(f);</w:t>
      </w:r>
      <w:r>
        <w:t xml:space="preserve"> </w:t>
      </w:r>
      <w:r>
        <w:rPr>
          <w:b/>
          <w:bCs/>
        </w:rPr>
        <w:t xml:space="preserve">Legal obligation</w:t>
      </w:r>
      <w:r>
        <w:t xml:space="preserve"> </w:t>
      </w:r>
      <w:r>
        <w:t xml:space="preserve">= §12(c)/§13(b)/§13(f). SPI = Sensitive Personal Information per RA 10173 §3(l).</w:t>
      </w:r>
    </w:p>
    <w:bookmarkStart w:id="11" w:name="X9f40eb0f102005d2dce5f7ab333b55323ac515f"/>
    <w:p>
      <w:pPr>
        <w:pStyle w:val="Heading3"/>
      </w:pPr>
      <w:r>
        <w:t xml:space="preserve">DPS-01 · Customer / Couple Account &amp; Event Planning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Provide the contracted planning platform: account, event setup, vendor matching (Guided + DIY), seating, save-the-date, in-app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Contract (§12(b)) — service delivery; Consent (§12(a)) for marketing-sample opt-in (policy §6.2)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Customers (couples / organizers)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Full name, mobile, email, optional profile photo; event data (date, venue, target pax, role); behavioral/in-app activity, Guided-mode decisions, search queries; uploaded content (Save-the-Date photos, invitation customizations)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  <w:r>
              <w:t xml:space="preserve"> </w:t>
            </w:r>
            <w:r>
              <w:t xml:space="preserve">(no SPI in the core account record)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Supabase (DB), Vercel (hosting), Cloudflare R2 (content); Setnayan Team on mediation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SG (Supabase); APAC/PH (R2)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Account profile: active + 30-day grace on deletion, then purge. Event data: 5 years post-event, auto-purge T+5y; earlier on request (policy 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AES-256 at rest; RLS per-user isolation; TLS 1.3; bcrypt passwords; optional 2FA; signed URLs for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</w:tr>
    </w:tbl>
    <w:bookmarkEnd w:id="11"/>
    <w:bookmarkStart w:id="12" w:name="X24dbfec6fe295e1c80dd03cf55e47b6ca3819e3"/>
    <w:p>
      <w:pPr>
        <w:pStyle w:val="Heading3"/>
      </w:pPr>
      <w:r>
        <w:t xml:space="preserve">DPS-02 · Vendor Account, Profile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Vendor onboarding, business profile, and the 12-document identity/business verification checklist (policy §3.4)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Contract (§12(b)); Legitimate interest (§12(f)) — DTI lookup, portfolio reverse-image, reference calls;</w:t>
            </w:r>
            <w:r>
              <w:t xml:space="preserve"> </w:t>
            </w:r>
            <w:r>
              <w:rPr>
                <w:b/>
                <w:bCs/>
              </w:rPr>
              <w:t xml:space="preserve">Legal obligation</w:t>
            </w:r>
            <w:r>
              <w:t xml:space="preserve"> </w:t>
            </w:r>
            <w:r>
              <w:t xml:space="preserve">(§13(f) / §12(c)) — AMLC sanctions/PEP screening per PH AMLA; Consent captured at registration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Vendors (business owners / primary representatives)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Business identity (DTI Business Name Cert, BIR Form 2303, Mayor’s Permit, business address, name+slug); service profile; financial (bank/e-wallet payout account, transaction history); behavioral (response times, conversion)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government-issued ID</w:t>
            </w:r>
            <w:r>
              <w:t xml:space="preserve"> </w:t>
            </w:r>
            <w:r>
              <w:t xml:space="preserve">of the primary representative (RA 10173 §3(l) SPI); selfie + ID liveness video (biometric-adjacent). DTI/BIR/tax documents are legally-mandated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Persona / Veriff / Onfido (ID + liveness); AMLC API / ComplyAdvantage (sanctions/PEP); DTI Database (BN validation); Supabase; Cloudflare R2 bucket</w:t>
            </w:r>
            <w:r>
              <w:t xml:space="preserve"> </w:t>
            </w:r>
            <w:r>
              <w:rPr>
                <w:rStyle w:val="VerbatimChar"/>
              </w:rPr>
              <w:t xml:space="preserve">setnayan-vendor-verification</w:t>
            </w:r>
            <w:r>
              <w:t xml:space="preserve"> </w:t>
            </w:r>
            <w:r>
              <w:t xml:space="preserve">(Verification Handler role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US (Persona/Veriff/Onfido); UK (ComplyAdvantage); PH (AMLC, DTI); SG (Supabase); APAC/PH (R2)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Raw uploads (ID, selfie+liveness, bank micro-deposit, portfolio): 90 days hot, purged after approve/reject unless audit hold. Verification audit trail (Persona/AMLC results + admin rationale): 90 days hot +</w:t>
            </w:r>
            <w:r>
              <w:t xml:space="preserve"> </w:t>
            </w:r>
            <w:r>
              <w:rPr>
                <w:b/>
                <w:bCs/>
              </w:rPr>
              <w:t xml:space="preserve">7 years cold</w:t>
            </w:r>
            <w:r>
              <w:t xml:space="preserve"> </w:t>
            </w:r>
            <w:r>
              <w:t xml:space="preserve">(BIR §235 + AMLC AML/CTF). DTI/BIR 2303/Mayor’s Permit: 90 days hot +</w:t>
            </w:r>
            <w:r>
              <w:t xml:space="preserve"> </w:t>
            </w:r>
            <w:r>
              <w:rPr>
                <w:b/>
                <w:bCs/>
              </w:rPr>
              <w:t xml:space="preserve">7 years cold</w:t>
            </w:r>
            <w:r>
              <w:t xml:space="preserve">. Transaction history: 5 years (policy 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Extra-restricted R2 bucket (single admin role); batch-call verification (no ongoing sub-processor storage); AES-256; RLS; audit log on all admin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(SPI: gov ID + biometric liveness)</w:t>
            </w:r>
          </w:p>
        </w:tc>
      </w:tr>
    </w:tbl>
    <w:bookmarkEnd w:id="12"/>
    <w:bookmarkStart w:id="13" w:name="dps-03-guest-list-rsvp"/>
    <w:p>
      <w:pPr>
        <w:pStyle w:val="Heading3"/>
      </w:pPr>
      <w:r>
        <w:t xml:space="preserve">DPS-03 · Guest List &amp; RSVP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Manage the couple’s guest list, RSVP status, roles, table assignment, and special requests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Contract (§12(b)) — organizer’s event service; Consent (§12(a)) for guest-provided data / photo consent at RSVP (policy §6.1)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Guests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Full name, mobile, email, optional profile photo; event linkage + role (principal/secondary sponsor, family, friend), RSVP status, table assignment; behavioral (reels built, re-shares)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Potentially Y</w:t>
            </w:r>
            <w:r>
              <w:t xml:space="preserve"> </w:t>
            </w:r>
            <w:r>
              <w:t xml:space="preserve">— dietary restrictions / special-needs data collected at RSVP may reveal</w:t>
            </w:r>
            <w:r>
              <w:t xml:space="preserve"> </w:t>
            </w:r>
            <w:r>
              <w:rPr>
                <w:b/>
                <w:bCs/>
              </w:rPr>
              <w:t xml:space="preserve">health or religious</w:t>
            </w:r>
            <w:r>
              <w:t xml:space="preserve"> </w:t>
            </w:r>
            <w:r>
              <w:t xml:space="preserve">SPI (RA 10173 §3(l)).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exact special-data fields captured in the RSVP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Supabase; event organizer (couple); coordinator within join-permission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SG (Supabase)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Aligned with event retention: 5 years post-event; deletion cascades on guest account deletion (subject to shared-gallery organizer-consent exception, policy 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RLS event-scoping; TLS 1.3; guest opt-out toggles; AES-256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  <w:r>
              <w:t xml:space="preserve"> </w:t>
            </w:r>
            <w:r>
              <w:t xml:space="preserve">(High if dietary/health SPI confirmed)</w:t>
            </w:r>
          </w:p>
        </w:tc>
      </w:tr>
    </w:tbl>
    <w:bookmarkEnd w:id="13"/>
    <w:bookmarkStart w:id="14" w:name="X48d84727bc8b6d4dd83ca9e3e657962dd307285"/>
    <w:p>
      <w:pPr>
        <w:pStyle w:val="Heading3"/>
      </w:pPr>
      <w:r>
        <w:t xml:space="preserve">DPS-04 · Face Vectors / Auto-Tagging (per-event, consented)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Auto-tag guests in an event’s photo gallery via face matching (couple-scoped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Consent (§13(a)) — guest opts in by uploading RSVP profile photo for this purpose; revocable via</w:t>
            </w:r>
            <w:r>
              <w:t xml:space="preserve"> </w:t>
            </w:r>
            <w:r>
              <w:t xml:space="preserve">“Delete my face data”</w:t>
            </w:r>
            <w:r>
              <w:t xml:space="preserve"> </w:t>
            </w:r>
            <w:r>
              <w:t xml:space="preserve">/ Photo Consent toggle (policy §6.1)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Guests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128-dimension</w:t>
            </w:r>
            <w:r>
              <w:t xml:space="preserve"> </w:t>
            </w:r>
            <w:r>
              <w:rPr>
                <w:b/>
                <w:bCs/>
              </w:rPr>
              <w:t xml:space="preserve">face vectors</w:t>
            </w:r>
            <w:r>
              <w:t xml:space="preserve"> </w:t>
            </w:r>
            <w:r>
              <w:t xml:space="preserve">derived from RSVP photo + optional portal upload + on-the-day check-in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 — BIOMETRIC</w:t>
            </w:r>
            <w:r>
              <w:t xml:space="preserve"> </w:t>
            </w:r>
            <w:r>
              <w:t xml:space="preserve">data (RA 10173 §3(l)). Highest-sensitivity category in the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Cloudflare R2 per-event encrypted vector index; Supabase (linkage). No cross-border AI sub-processor for the vectors themselves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(matching engine location)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APAC/PH (R2 vector index)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Per-event lifetime + 5 years; auto-purge with event data. Guest revocation propagates within the next 5-minute refresh cycle (policy §1.4, 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Per-event scoped — vectors never reused across events</w:t>
            </w:r>
            <w:r>
              <w:t xml:space="preserve">; encrypted at rest; no cross-event face recognition (design lock, Person Graph DPIA #6); confidence-gated auto-tag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(biometric SPI)</w:t>
            </w:r>
          </w:p>
        </w:tc>
      </w:tr>
    </w:tbl>
    <w:bookmarkEnd w:id="14"/>
    <w:bookmarkStart w:id="15" w:name="X23030b124ae9f496a69c441062e469ded717e45"/>
    <w:p>
      <w:pPr>
        <w:pStyle w:val="Heading3"/>
      </w:pPr>
      <w:r>
        <w:t xml:space="preserve">DPS-05 · Papic / Photo &amp; Video Capture &amp;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Capture, store, tag, and deliver event photos/clips to couples and guests; Personal Reel rendering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Contract (§12(b)) — paid capture/delivery service; Consent (§6.1) for likeness/photo participation; opt-out → face-blur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Guests, customers (couples); incidental non-account attendees appearing in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Photos and video clips; likeness; capture metadata (</w:t>
            </w:r>
            <w:r>
              <w:rPr>
                <w:rStyle w:val="VerbatimChar"/>
              </w:rPr>
              <w:t xml:space="preserve">captured_at</w:t>
            </w:r>
            <w:r>
              <w:t xml:space="preserve">, geo when available, device model, paired camera brand/model); tag associations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  <w:r>
              <w:t xml:space="preserve"> </w:t>
            </w:r>
            <w:r>
              <w:t xml:space="preserve">in the general case (images of persons are personal info, not per-se SPI), but images can incidentally reveal SPI (health, religion). Treat as elevated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Cloudflare R2 (originals, signed-URL only); Supabase (tags/metadata); hierarchical read: organizer / coordinator / guest (tagged + global) / vendor (booking-relevant)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APAC/PH (R2)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Originals: 90 days hot R2 +</w:t>
            </w:r>
            <w:r>
              <w:t xml:space="preserve"> </w:t>
            </w:r>
            <w:r>
              <w:rPr>
                <w:b/>
                <w:bCs/>
              </w:rPr>
              <w:t xml:space="preserve">5 years</w:t>
            </w:r>
            <w:r>
              <w:t xml:space="preserve"> </w:t>
            </w:r>
            <w:r>
              <w:t xml:space="preserve">IA cold R2 (30-day-post-download compression rule + 5-year hard limit). Geo stripped on outbound shares; original on R2 retains it (policy §4, CLAUDE.md constraint)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Signed URLs (5-min for sensitive media); no public reads; NSFW filter on-by-default (non-disableable); untagged-still-delivered; opt-out face-blur; couple review window before public unlock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Medium–High</w:t>
            </w:r>
          </w:p>
        </w:tc>
      </w:tr>
    </w:tbl>
    <w:bookmarkEnd w:id="15"/>
    <w:bookmarkStart w:id="16" w:name="X5e9020772ec4c3982f657547d710731da182e29"/>
    <w:p>
      <w:pPr>
        <w:pStyle w:val="Heading3"/>
      </w:pPr>
      <w:r>
        <w:t xml:space="preserve">DPS-06 · Person Graph — Connections, Life Stories &amp; Trusted-Circle (adults-only)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Durable person node; mutually-confirmed relationship connections; per-person life-story references; aggregate trusted-circle vendor signal (Person Graph pack)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Consent (§12(a)) —</w:t>
            </w:r>
            <w:r>
              <w:t xml:space="preserve"> </w:t>
            </w:r>
            <w:r>
              <w:rPr>
                <w:b/>
                <w:bCs/>
              </w:rPr>
              <w:t xml:space="preserve">mutual, opt-in confirmation</w:t>
            </w:r>
            <w:r>
              <w:t xml:space="preserve"> </w:t>
            </w:r>
            <w:r>
              <w:t xml:space="preserve">required for every edge; life stories rely on existing RSVP photo consent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Customers, guests (</w:t>
            </w:r>
            <w:r>
              <w:rPr>
                <w:b/>
                <w:bCs/>
              </w:rPr>
              <w:t xml:space="preserve">adults only</w:t>
            </w:r>
            <w:r>
              <w:t xml:space="preserve"> </w:t>
            </w:r>
            <w:r>
              <w:t xml:space="preserve">— minors NOT processed)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Person node (name, optional photo, events participated); first-degree connection edges (type + confirmed/pending state); life-story items =</w:t>
            </w:r>
            <w:r>
              <w:t xml:space="preserve"> </w:t>
            </w:r>
            <w:r>
              <w:rPr>
                <w:b/>
                <w:bCs/>
              </w:rPr>
              <w:t xml:space="preserve">references (pointers), not copies</w:t>
            </w:r>
            <w:r>
              <w:t xml:space="preserve">; trusted-circle signal =</w:t>
            </w:r>
            <w:r>
              <w:t xml:space="preserve"> </w:t>
            </w:r>
            <w:r>
              <w:rPr>
                <w:b/>
                <w:bCs/>
              </w:rPr>
              <w:t xml:space="preserve">computed on read, not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Potentially Y</w:t>
            </w:r>
            <w:r>
              <w:t xml:space="preserve"> </w:t>
            </w:r>
            <w:r>
              <w:t xml:space="preserve">— relationship data can infer SPI (e.g., civil status, family/religious ties). Mitigated: extended kin</w:t>
            </w:r>
            <w:r>
              <w:t xml:space="preserve"> </w:t>
            </w:r>
            <w:r>
              <w:rPr>
                <w:b/>
                <w:bCs/>
              </w:rPr>
              <w:t xml:space="preserve">derived not stored</w:t>
            </w:r>
            <w:r>
              <w:t xml:space="preserve">; min-N ≥5 on aggregates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Supabase (edges + references); no third-party sharing; connections never broadcast/browsable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SG (Supabase)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Edges + references follow event/account retention (policy §4 / Compliance Pack §3); declined/hidden/opted-out suppressed immediately; reference dies with source media; trusted-circle not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Mutual-confirmation gate; name-only + confirmed-only cross-person visibility; participant-scoped deny-by-default RLS; no</w:t>
            </w:r>
            <w:r>
              <w:t xml:space="preserve"> </w:t>
            </w:r>
            <w:r>
              <w:t xml:space="preserve">“people you may know”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no cross-event face recognition</w:t>
            </w:r>
            <w:r>
              <w:t xml:space="preserve">; DPIA completed (Compliance Pack §2, residual 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Status: DRAFT, live behind flags; pending DPO/counsel sign-off.</w:t>
            </w:r>
            <w:r>
              <w:t xml:space="preserve"> </w:t>
            </w:r>
            <w:r>
              <w:t xml:space="preserve">Minors/legacy (Phase 3) counsel-first, DPIA scoped-not-complete,</w:t>
            </w:r>
            <w:r>
              <w:t xml:space="preserve"> </w:t>
            </w:r>
            <w:r>
              <w:rPr>
                <w:b/>
                <w:bCs/>
              </w:rPr>
              <w:t xml:space="preserve">not processed</w:t>
            </w:r>
          </w:p>
        </w:tc>
      </w:tr>
    </w:tbl>
    <w:bookmarkEnd w:id="16"/>
    <w:bookmarkStart w:id="17" w:name="dps-07-in-app-communications-chat-0019"/>
    <w:p>
      <w:pPr>
        <w:pStyle w:val="Heading3"/>
      </w:pPr>
      <w:r>
        <w:t xml:space="preserve">DPS-07 · In-App Communications / Chat (0019)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Text chat between couples ↔ vendors ↔ coordinators; document/sheet/PDF/image sharing on threads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Contract (§12(b)) — coordination is core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Customers, vendors, coordinators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Chat message content; attached files (doc/sheet/PDF/image); pasted external meeting links (plain text). Vendor identity masked (company logo, not personal photo)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  <w:r>
              <w:t xml:space="preserve"> </w:t>
            </w:r>
            <w:r>
              <w:t xml:space="preserve">structurally, but free-text/attachments may contain SPI — treat as elevated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Supabase Realtime (ephemeral) + Postgres (history); Cloudflare R2 thread-files bucket.</w:t>
            </w:r>
            <w:r>
              <w:t xml:space="preserve"> </w:t>
            </w:r>
            <w:r>
              <w:rPr>
                <w:b/>
                <w:bCs/>
              </w:rPr>
              <w:t xml:space="preserve">Video meetings RETIRED 2026-05-16 — no video data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SG (Supabase); APAC/PH (R2)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Messages: 5 years (aligned to event retention). Pasted meeting links follow parent message (policy §3.3, 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RLS thread-scoping; per-thread coordinator join permission; vendor-identity masking; TLS 1.3; AES-256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</w:tr>
    </w:tbl>
    <w:bookmarkEnd w:id="17"/>
    <w:bookmarkStart w:id="18" w:name="X2a07a0ea4d44aaf11d7681701792aa9da30abb2"/>
    <w:p>
      <w:pPr>
        <w:pStyle w:val="Heading3"/>
      </w:pPr>
      <w:r>
        <w:t xml:space="preserve">DPS-08 · Payments &amp; Reconciliation (apply-then-pay)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Process PHP-direct service orders: BDO/GCash apply-then-pay, reference codes, manual reconciliation of proof-of-payment against orders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Contract (§12(b));</w:t>
            </w:r>
            <w:r>
              <w:t xml:space="preserve"> </w:t>
            </w:r>
            <w:r>
              <w:rPr>
                <w:b/>
                <w:bCs/>
              </w:rPr>
              <w:t xml:space="preserve">Legal obligation</w:t>
            </w:r>
            <w:r>
              <w:t xml:space="preserve"> </w:t>
            </w:r>
            <w:r>
              <w:t xml:space="preserve">(§12(c)) — PH tax/BIR record retention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Customers, vendors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Payment receipts, transaction references,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bank/e-wallet details for receipts/refunds; payment-proof screenshots; reconciliation inbox messages.</w:t>
            </w:r>
            <w:r>
              <w:t xml:space="preserve"> </w:t>
            </w:r>
            <w:r>
              <w:rPr>
                <w:b/>
                <w:bCs/>
              </w:rPr>
              <w:t xml:space="preserve">No complete card numbers, CVVs, or full bank account numbers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Supabase (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payment_inbox_messages</w:t>
            </w:r>
            <w:r>
              <w:t xml:space="preserve">); Setnayan Team (manual reconciliation); Maya Business (V1.5+ gateway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not active)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SG (Supabase)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Transaction/receipt records: 5 years (tax compliance). Pending orders expire 7 days (policy §4, CLAUDE.md)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No card/full-account storage; two-admin approval for refunds &gt;₱10K; append-only audit log; RLS; reference codes 8-char Crockford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</w:tr>
    </w:tbl>
    <w:bookmarkEnd w:id="18"/>
    <w:bookmarkStart w:id="19" w:name="X272219e0069e4fede333f9f72cbc145a80cee60"/>
    <w:p>
      <w:pPr>
        <w:pStyle w:val="Heading3"/>
      </w:pPr>
      <w:r>
        <w:t xml:space="preserve">DPS-09 · In-App Behavioral / Product Analytics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Platform analytics for Setnayan admins (aggregated); platform improvement + ML model training (anonymized)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Legitimate interest (§12(f)) for aggregated operational analytics; Consent (§12(a)) for the secondary anonymized-training purpose (policy §2.1, §2.2)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Customers, vendors, guests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In-app activity, surfaces visited, services purchased, vendor interactions, search queries, response/conversion metrics.</w:t>
            </w:r>
            <w:r>
              <w:t xml:space="preserve"> </w:t>
            </w:r>
            <w:r>
              <w:rPr>
                <w:b/>
                <w:bCs/>
              </w:rPr>
              <w:t xml:space="preserve">Aggregated — never individually identified to admins outside dispute-mediation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Supabase; PostHog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(referenced in repo/iteration 0035; not named in this policy) — no PII per observability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SG (Supabase); PostHog host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Anonymized aggregate: indefinite (no PII). Underlying behavioral rows follow account/event retention (policy 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Aggregation + de-identification for admin views; no PII in logs; opt-out toggle (per observability design)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Low–Medium</w:t>
            </w:r>
          </w:p>
        </w:tc>
      </w:tr>
    </w:tbl>
    <w:bookmarkEnd w:id="19"/>
    <w:bookmarkStart w:id="20" w:name="dps-10-email-notifications-resend"/>
    <w:p>
      <w:pPr>
        <w:pStyle w:val="Heading3"/>
      </w:pPr>
      <w:r>
        <w:t xml:space="preserve">DPS-10 · Email Notifications (Resend)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Transactional + milestone email: payment instructions/confirmation, refunds, vendor messages/status, RSVP received, wedding-day reminder, save-the-date, security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Contract (§12(b)) for transactional mail; Consent (§12(a)) for promotional/marketing mail (revocable; RFC 8058 one-click unsubscribe)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Customers, vendors, guests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Email address, recipient name, event/order context embedded in the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Resend (delivery); SendGrid fallback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US-based email provider likely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(Resend jurisdiction)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Follows the underlying record; delivery logs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retention at 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TLS in transit; one-click unsubscribe; RA 10173 + CAN-SPAM compliant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</w:tbl>
    <w:bookmarkEnd w:id="20"/>
    <w:bookmarkStart w:id="21" w:name="dps-11-marketing-site-cookies-consent"/>
    <w:p>
      <w:pPr>
        <w:pStyle w:val="Heading3"/>
      </w:pPr>
      <w:r>
        <w:t xml:space="preserve">DPS-11 · Marketing Site / Cookies &amp; Consent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Public marketing site (setnayan.com); analytics/consent management on public surfaces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Legitimate interest (§12(f)) for essential/first-party operation;</w:t>
            </w:r>
            <w:r>
              <w:t xml:space="preserve"> </w:t>
            </w:r>
            <w:r>
              <w:rPr>
                <w:b/>
                <w:bCs/>
              </w:rPr>
              <w:t xml:space="preserve">Consent</w:t>
            </w:r>
            <w:r>
              <w:t xml:space="preserve"> </w:t>
            </w:r>
            <w:r>
              <w:t xml:space="preserve">(§12(a)) for analytics/advertising cookies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Website visitors (prospective customers/vendors), guests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Cookie/consent state, IP, user-agent (policy acceptance is logged with timestamp + IP + user-agent), first-party analytics identifiers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Vercel (hosting); analytics processor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third-party display ads (AdSense) were</w:t>
            </w:r>
            <w:r>
              <w:t xml:space="preserve"> </w:t>
            </w:r>
            <w:r>
              <w:rPr>
                <w:b/>
                <w:bCs/>
              </w:rPr>
              <w:t xml:space="preserve">RETIRED 2026-05-19</w:t>
            </w:r>
            <w:r>
              <w:t xml:space="preserve"> </w:t>
            </w:r>
            <w:r>
              <w:t xml:space="preserve">— no third-party ad cookies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(edge/analytics host)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Consent state persistence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(design referenced 12-month persistence); policy-acceptance log per user retained with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First-party cookie model; consent categories (essential / analytics / advertising); TLS 1.3; HSTS; CSP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</w:tbl>
    <w:bookmarkEnd w:id="21"/>
    <w:bookmarkStart w:id="22" w:name="Xe323f981344e13d15a6a4f7766593e3a06af6cf"/>
    <w:p>
      <w:pPr>
        <w:pStyle w:val="Heading3"/>
      </w:pPr>
      <w:r>
        <w:t xml:space="preserve">DPS-12 · Anti-Fraud &amp; Trust Integrity (identity clustering · fraud scoring · enforcement)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Protect marketplace trust signals from manipulation: cluster likely-same-person/household accounts by shared strong signals; de-duplicate vendor review/rating/booking stats per cluster with arm’s-length exclusion; score per-vendor fraud anomalies; two-stage enforcement (reversible auto-suspend + human four-eyes wipe/ban). Spec</w:t>
            </w:r>
            <w:r>
              <w:t xml:space="preserve"> </w:t>
            </w:r>
            <w:r>
              <w:rPr>
                <w:rStyle w:val="VerbatimChar"/>
              </w:rPr>
              <w:t xml:space="preserve">03_Strategy/Anti_Fraud_Trust_Integrity_2026-07-05.md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Legitimate interest (§12(f))</w:t>
            </w:r>
            <w:r>
              <w:t xml:space="preserve"> </w:t>
            </w:r>
            <w:r>
              <w:t xml:space="preserve">— fraud prevention / marketplace integrity.</w:t>
            </w:r>
            <w:r>
              <w:t xml:space="preserve"> </w:t>
            </w:r>
            <w:r>
              <w:rPr>
                <w:b/>
                <w:bCs/>
              </w:rPr>
              <w:t xml:space="preserve">Requires</w:t>
            </w:r>
            <w:r>
              <w:t xml:space="preserve"> </w:t>
            </w:r>
            <w:r>
              <w:t xml:space="preserve">a documented legitimate-interest balancing +</w:t>
            </w:r>
            <w:r>
              <w:t xml:space="preserve"> </w:t>
            </w:r>
            <w:r>
              <w:rPr>
                <w:b/>
                <w:bCs/>
              </w:rPr>
              <w:t xml:space="preserve">disclosure</w:t>
            </w:r>
            <w:r>
              <w:t xml:space="preserve"> </w:t>
            </w:r>
            <w:r>
              <w:t xml:space="preserve">(both outstanding — DPIA R-08 §6). Automated-suspension effect engages §16(c) (right to object) + §34 (automated processing)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counsel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Couples / guests (whose device/address/payment signals are clustered —</w:t>
            </w:r>
            <w:r>
              <w:t xml:space="preserve"> </w:t>
            </w:r>
            <w:r>
              <w:rPr>
                <w:b/>
                <w:bCs/>
              </w:rPr>
              <w:t xml:space="preserve">they never see cluster membership</w:t>
            </w:r>
            <w:r>
              <w:t xml:space="preserve">) + vendors (scored, and subject to auto-suspend / ban)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Repurposed inputs (no new collection):</w:t>
            </w:r>
            <w:r>
              <w:t xml:space="preserve"> </w:t>
            </w:r>
            <w:r>
              <w:t xml:space="preserve">device fingerprint (</w:t>
            </w:r>
            <w:r>
              <w:rPr>
                <w:rStyle w:val="VerbatimChar"/>
              </w:rPr>
              <w:t xml:space="preserve">user_devices.device_hash</w:t>
            </w:r>
            <w:r>
              <w:t xml:space="preserve">), normalized home address (</w:t>
            </w:r>
            <w:r>
              <w:rPr>
                <w:rStyle w:val="VerbatimChar"/>
              </w:rPr>
              <w:t xml:space="preserve">users.address_normalized</w:t>
            </w:r>
            <w:r>
              <w:t xml:space="preserve">), payment-sender identity (</w:t>
            </w:r>
            <w:r>
              <w:rPr>
                <w:rStyle w:val="VerbatimChar"/>
              </w:rPr>
              <w:t xml:space="preserve">payments.reference_number</w:t>
            </w:r>
            <w:r>
              <w:t xml:space="preserve">→paying user).</w:t>
            </w:r>
            <w:r>
              <w:t xml:space="preserve"> </w:t>
            </w:r>
            <w:r>
              <w:rPr>
                <w:b/>
                <w:bCs/>
              </w:rPr>
              <w:t xml:space="preserve">Derived:</w:t>
            </w:r>
            <w:r>
              <w:t xml:space="preserve"> </w:t>
            </w:r>
            <w:r>
              <w:t xml:space="preserve">identity</w:t>
            </w:r>
            <w:r>
              <w:t xml:space="preserve"> </w:t>
            </w:r>
            <w:r>
              <w:rPr>
                <w:rStyle w:val="VerbatimChar"/>
              </w:rPr>
              <w:t xml:space="preserve">cluster_id</w:t>
            </w:r>
            <w:r>
              <w:t xml:space="preserve">; per-vendor fraud signals + 0–100 scores with</w:t>
            </w:r>
            <w:r>
              <w:t xml:space="preserve"> </w:t>
            </w:r>
            <w:r>
              <w:rPr>
                <w:b/>
                <w:bCs/>
              </w:rPr>
              <w:t xml:space="preserve">non-PII</w:t>
            </w:r>
            <w:r>
              <w:t xml:space="preserve"> </w:t>
            </w:r>
            <w:r>
              <w:t xml:space="preserve">evidence (counts/ratios/opaque labels); enforcement state + append-only audit.</w:t>
            </w:r>
            <w:r>
              <w:t xml:space="preserve"> </w:t>
            </w:r>
            <w:r>
              <w:rPr>
                <w:b/>
                <w:bCs/>
              </w:rPr>
              <w:t xml:space="preserve">IP deliberately NOT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  <w:r>
              <w:t xml:space="preserve"> </w:t>
            </w:r>
            <w:r>
              <w:t xml:space="preserve">— inputs are personal information, not §3(l) SPI. Elevated because it is</w:t>
            </w:r>
            <w:r>
              <w:t xml:space="preserve"> </w:t>
            </w:r>
            <w:r>
              <w:rPr>
                <w:b/>
                <w:bCs/>
              </w:rPr>
              <w:t xml:space="preserve">involuntary profiling with an automated decision that has a significant effect</w:t>
            </w:r>
            <w:r>
              <w:t xml:space="preserve"> </w:t>
            </w:r>
            <w:r>
              <w:t xml:space="preserve">(vendor livelihood)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Supabase (Postgres, Singapore) only — no third-party/AI sub-processor.</w:t>
            </w:r>
            <w:r>
              <w:t xml:space="preserve"> </w:t>
            </w:r>
            <w:r>
              <w:rPr>
                <w:b/>
                <w:bCs/>
              </w:rPr>
              <w:t xml:space="preserve">Service-role / admin 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REVOKE ALL FROM anon, authenticated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is_admin()</w:t>
            </w:r>
            <w:r>
              <w:t xml:space="preserve"> </w:t>
            </w:r>
            <w:r>
              <w:t xml:space="preserve">RLS at CREATE); Setnayan admins via</w:t>
            </w:r>
            <w:r>
              <w:t xml:space="preserve"> </w:t>
            </w:r>
            <w:r>
              <w:rPr>
                <w:rStyle w:val="VerbatimChar"/>
              </w:rPr>
              <w:t xml:space="preserve">/admin/fraud</w:t>
            </w:r>
            <w:r>
              <w:t xml:space="preserve"> </w:t>
            </w:r>
            <w:r>
              <w:t xml:space="preserve">+ two-admin approval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SG (Supabase)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identity_clusters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vendor_fraud_scores</w:t>
            </w:r>
            <w:r>
              <w:t xml:space="preserve"> </w:t>
            </w:r>
            <w:r>
              <w:t xml:space="preserve">= recomputed matviews (no history).</w:t>
            </w:r>
            <w:r>
              <w:t xml:space="preserve"> </w:t>
            </w:r>
            <w:r>
              <w:rPr>
                <w:rStyle w:val="VerbatimChar"/>
              </w:rPr>
              <w:t xml:space="preserve">fraud_signals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fraud_enforcement_audit</w:t>
            </w:r>
            <w:r>
              <w:t xml:space="preserve"> </w:t>
            </w:r>
            <w:r>
              <w:t xml:space="preserve">persist —</w:t>
            </w:r>
            <w:r>
              <w:t xml:space="preserve"> </w:t>
            </w:r>
            <w:r>
              <w:rPr>
                <w:b/>
                <w:bCs/>
              </w:rPr>
              <w:t xml:space="preserve">explicit retention rule not yet defined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[TO CONFIRM]</w:t>
            </w:r>
            <w:r>
              <w:t xml:space="preserve">. Signal inputs follow their source systems (device/address = account retention; payment = 5-yr tax, DPS-08)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Service-role/admin-only + deny-by-default RLS at CREATE; non-PII evidence; reversible auto-suspend at high threshold (score ≥90);</w:t>
            </w:r>
            <w:r>
              <w:t xml:space="preserve"> </w:t>
            </w:r>
            <w:r>
              <w:rPr>
                <w:b/>
                <w:bCs/>
              </w:rPr>
              <w:t xml:space="preserve">irreversible ban never automated</w:t>
            </w:r>
            <w:r>
              <w:t xml:space="preserve"> </w:t>
            </w:r>
            <w:r>
              <w:t xml:space="preserve">— four-eyes gate + typed confirmation; append-only audit; help-center appeal path; AES-256; TLS 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Status: LIVE in production since 2026-07-07, ahead of counsel sign-off (owner-elected).</w:t>
            </w:r>
            <w:r>
              <w:t xml:space="preserve"> </w:t>
            </w:r>
            <w:r>
              <w:t xml:space="preserve">DPIA R-08 drafted (</w:t>
            </w:r>
            <w:r>
              <w:rPr>
                <w:rStyle w:val="VerbatimChar"/>
              </w:rPr>
              <w:t xml:space="preserve">08_DPIA_AntiFraud_Trust_Integrity_2026-07-07.md</w:t>
            </w:r>
            <w:r>
              <w:t xml:space="preserve">); Privacy Policy Anti-Fraud disclosure + LIA + formal contest path outstanding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X2661a29595e8b9abbe290f04b624568d19ea274"/>
    <w:p>
      <w:pPr>
        <w:pStyle w:val="Heading2"/>
      </w:pPr>
      <w:r>
        <w:t xml:space="preserve">2. Threshold analysis — mandatory NPC registration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b/>
          <w:bCs/>
        </w:rPr>
        <w:t xml:space="preserve">RA 10173 and NPC Circular 17-01</w:t>
      </w:r>
      <w:r>
        <w:t xml:space="preserve"> </w:t>
      </w:r>
      <w:r>
        <w:t xml:space="preserve">(as amended), a PIC/PIP must register its DPS and DPO with the NPC when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of the following triggers is met. Assessment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Registration trigger (Circular 17-01 §4 / related issuances)</w:t>
            </w:r>
          </w:p>
        </w:tc>
        <w:tc>
          <w:tcPr/>
          <w:p>
            <w:pPr>
              <w:pStyle w:val="Compact"/>
            </w:pPr>
            <w:r>
              <w:t xml:space="preserve">Setnayan assessment</w:t>
            </w:r>
          </w:p>
        </w:tc>
        <w:tc>
          <w:tcPr/>
          <w:p>
            <w:pPr>
              <w:pStyle w:val="Compact"/>
            </w:pPr>
            <w:r>
              <w:t xml:space="preserve">Met?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Processing</w:t>
            </w:r>
            <w:r>
              <w:t xml:space="preserve"> </w:t>
            </w:r>
            <w:r>
              <w:rPr>
                <w:b/>
                <w:bCs/>
              </w:rPr>
              <w:t xml:space="preserve">sensitive personal information of ≥ 1,000 individuals</w:t>
            </w:r>
          </w:p>
        </w:tc>
        <w:tc>
          <w:tcPr/>
          <w:p>
            <w:pPr>
              <w:pStyle w:val="Compact"/>
            </w:pPr>
            <w:r>
              <w:t xml:space="preserve">Setnayan processes SPI:</w:t>
            </w:r>
            <w:r>
              <w:t xml:space="preserve"> </w:t>
            </w:r>
            <w:r>
              <w:rPr>
                <w:b/>
                <w:bCs/>
              </w:rPr>
              <w:t xml:space="preserve">biometric face vectors</w:t>
            </w:r>
            <w:r>
              <w:t xml:space="preserve"> </w:t>
            </w:r>
            <w:r>
              <w:t xml:space="preserve">(DPS-04),</w:t>
            </w:r>
            <w:r>
              <w:t xml:space="preserve"> </w:t>
            </w:r>
            <w:r>
              <w:rPr>
                <w:b/>
                <w:bCs/>
              </w:rPr>
              <w:t xml:space="preserve">government ID + liveness</w:t>
            </w:r>
            <w:r>
              <w:t xml:space="preserve"> </w:t>
            </w:r>
            <w:r>
              <w:t xml:space="preserve">for vendors (DPS-02), and potential</w:t>
            </w:r>
            <w:r>
              <w:t xml:space="preserve"> </w:t>
            </w:r>
            <w:r>
              <w:rPr>
                <w:b/>
                <w:bCs/>
              </w:rPr>
              <w:t xml:space="preserve">health/religious</w:t>
            </w:r>
            <w:r>
              <w:t xml:space="preserve"> </w:t>
            </w:r>
            <w:r>
              <w:t xml:space="preserve">data via RSVP dietary/special needs (DPS-03). Actual count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, but a weddings/events platform at scale is very likely to reach ≥1,000 SPI subjects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Likely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PIC/PIP with</w:t>
            </w:r>
            <w:r>
              <w:t xml:space="preserve"> </w:t>
            </w:r>
            <w:r>
              <w:rPr>
                <w:b/>
                <w:bCs/>
              </w:rPr>
              <w:t xml:space="preserve">≥ 250 employees</w:t>
            </w:r>
          </w:p>
        </w:tc>
        <w:tc>
          <w:tcPr/>
          <w:p>
            <w:pPr>
              <w:pStyle w:val="Compact"/>
            </w:pPr>
            <w:r>
              <w:t xml:space="preserve">Sole proprietorship; headcount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but almost certainly</w:t>
            </w:r>
            <w:r>
              <w:t xml:space="preserve"> </w:t>
            </w:r>
            <w:r>
              <w:rPr>
                <w:b/>
                <w:bCs/>
              </w:rPr>
              <w:t xml:space="preserve">&lt; 250</w:t>
            </w:r>
          </w:p>
        </w:tc>
        <w:tc>
          <w:tcPr/>
          <w:p>
            <w:pPr>
              <w:pStyle w:val="Compact"/>
            </w:pPr>
            <w:r>
              <w:t xml:space="preserve">No (assumed)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Processing is</w:t>
            </w:r>
            <w:r>
              <w:t xml:space="preserve"> </w:t>
            </w:r>
            <w:r>
              <w:rPr>
                <w:b/>
                <w:bCs/>
              </w:rPr>
              <w:t xml:space="preserve">likely to pose a risk to the rights and freedoms</w:t>
            </w:r>
            <w:r>
              <w:t xml:space="preserve"> </w:t>
            </w:r>
            <w:r>
              <w:t xml:space="preserve">of data subjects</w:t>
            </w:r>
          </w:p>
        </w:tc>
        <w:tc>
          <w:tcPr/>
          <w:p>
            <w:pPr>
              <w:pStyle w:val="Compact"/>
            </w:pPr>
            <w:r>
              <w:t xml:space="preserve">Yes — biometric processing, gov-ID + AML screening, guest likeness/media at scale, relationship graph, minors/legacy roadmap,</w:t>
            </w:r>
            <w:r>
              <w:t xml:space="preserve"> </w:t>
            </w:r>
            <w:r>
              <w:rPr>
                <w:b/>
                <w:bCs/>
              </w:rPr>
              <w:t xml:space="preserve">and (DPS-12) involuntary identity-profiling with an automated decision that has a significant effect (auto-suspend/ban of a vendor’s livelihood)</w:t>
            </w:r>
            <w:r>
              <w:t xml:space="preserve">. This is high-risk processing by nature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Processing is</w:t>
            </w:r>
            <w:r>
              <w:t xml:space="preserve"> </w:t>
            </w:r>
            <w:r>
              <w:rPr>
                <w:b/>
                <w:bCs/>
              </w:rPr>
              <w:t xml:space="preserve">not occasional</w:t>
            </w:r>
            <w:r>
              <w:t xml:space="preserve"> </w:t>
            </w:r>
            <w:r>
              <w:t xml:space="preserve">(i.e., regular/systematic core-business processing)</w:t>
            </w:r>
          </w:p>
        </w:tc>
        <w:tc>
          <w:tcPr/>
          <w:p>
            <w:pPr>
              <w:pStyle w:val="Compact"/>
            </w:pPr>
            <w:r>
              <w:t xml:space="preserve">Yes — data processing is the platform’s core, continuous business function, not incidental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Registration triggers</w:t>
      </w:r>
      <w:r>
        <w:t xml:space="preserve"> </w:t>
      </w:r>
      <w:r>
        <w:rPr>
          <w:b/>
          <w:bCs/>
        </w:rPr>
        <w:t xml:space="preserve">#1 (likely), #3, and #4 are met.</w:t>
      </w:r>
      <w:r>
        <w:t xml:space="preserve"> </w:t>
      </w:r>
      <w:r>
        <w:t xml:space="preserve">Trigger #2 is not (sole prop, sub-250 headcount). Under Circular 17-01 the criteria are</w:t>
      </w:r>
      <w:r>
        <w:t xml:space="preserve"> </w:t>
      </w:r>
      <w:r>
        <w:rPr>
          <w:b/>
          <w:bCs/>
        </w:rPr>
        <w:t xml:space="preserve">disjunctive</w:t>
      </w:r>
      <w:r>
        <w:t xml:space="preserve"> </w:t>
      </w:r>
      <w:r>
        <w:t xml:space="preserve">— meeting even one obligates registration, and Setnayan meets at least two independently (risk-to-rights + not-occasional), with the SPI-volume trigger also likely once counts are confirmed.</w:t>
      </w:r>
    </w:p>
    <w:p>
      <w:pPr>
        <w:pStyle w:val="Block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b/>
          <w:bCs/>
        </w:rPr>
        <w:t xml:space="preserve">Setnayan should register its DPO and Data Processing Systems with the National Privacy Commission</w:t>
      </w:r>
      <w:r>
        <w:t xml:space="preserve"> </w:t>
      </w:r>
      <w:r>
        <w:t xml:space="preserve">(NPC registration system), and appoint/confirm Indalecio Sacdalan Casasola II as the registered DPO. Registration is advisable on the risk-to-rights and not-occasional grounds alone; the SPI-volume trigger reinforces it. Confirm exact SPI data-subject counts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 </w:t>
      </w:r>
      <w:r>
        <w:t xml:space="preserve">and current NPC registration number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 </w:t>
      </w:r>
      <w:r>
        <w:t xml:space="preserve">before filing to determine whether this is an initial registration or an amendment.</w:t>
      </w:r>
    </w:p>
    <w:p>
      <w:r>
        <w:pict>
          <v:rect style="width:0;height:1.5pt" o:hralign="center" o:hrstd="t" o:hr="t"/>
        </w:pict>
      </w:r>
    </w:p>
    <w:bookmarkEnd w:id="24"/>
    <w:bookmarkStart w:id="25" w:name="open-items-for-dpocounsel-before-filing"/>
    <w:p>
      <w:pPr>
        <w:pStyle w:val="Heading2"/>
      </w:pPr>
      <w:r>
        <w:t xml:space="preserve">3. Open items for DPO/counsel before filing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[TO CONFIRM]</w:t>
      </w:r>
      <w:r>
        <w:t xml:space="preserve"> </w:t>
      </w:r>
      <w:r>
        <w:t xml:space="preserve">Registered business address; headcount; SPI + total data-subject counts; existing NPC registration number.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[TO CONFIRM]</w:t>
      </w:r>
      <w:r>
        <w:t xml:space="preserve"> </w:t>
      </w:r>
      <w:r>
        <w:t xml:space="preserve">Exact RSVP special-data fields (dietary/health/religious) — determines whether DPS-03 is a formal SPI system.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[TO CONFIRM]</w:t>
      </w:r>
      <w:r>
        <w:t xml:space="preserve"> </w:t>
      </w:r>
      <w:r>
        <w:t xml:space="preserve">Jurisdictions/retention for Resend, PostHog (analytics), Vercel edge, Suno, and the face-matching engine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[TO CONFIRM]</w:t>
      </w:r>
      <w:r>
        <w:t xml:space="preserve"> </w:t>
      </w:r>
      <w:r>
        <w:t xml:space="preserve">Whether Maya Business (V1.5 payment gateway) is contracted; keep DPS-08 marked</w:t>
      </w:r>
      <w:r>
        <w:t xml:space="preserve"> </w:t>
      </w:r>
      <w:r>
        <w:t xml:space="preserve">“not active”</w:t>
      </w:r>
      <w:r>
        <w:t xml:space="preserve"> </w:t>
      </w:r>
      <w:r>
        <w:t xml:space="preserve">until then.</w:t>
      </w:r>
    </w:p>
    <w:p>
      <w:pPr>
        <w:pStyle w:val="Compact"/>
        <w:numPr>
          <w:ilvl w:val="0"/>
          <w:numId w:val="1001"/>
        </w:numPr>
      </w:pPr>
      <w:r>
        <w:t xml:space="preserve">DPS-06 (Person Graph) and the Person Graph amendment publish</w:t>
      </w:r>
      <w:r>
        <w:t xml:space="preserve"> </w:t>
      </w:r>
      <w:r>
        <w:rPr>
          <w:b/>
          <w:bCs/>
        </w:rPr>
        <w:t xml:space="preserve">only after</w:t>
      </w:r>
      <w:r>
        <w:t xml:space="preserve"> </w:t>
      </w:r>
      <w:r>
        <w:t xml:space="preserve">DPO/counsel sign-off; minors/legacy (Phase 3) require their own DPIA + NPC consultation before any build-to-live.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Draft compliance artifact prepared to a compliant baseline ahead of counsel. To be finalized with Indalecio Sacdalan Casasola II (DPO) and PH counsel; this document is not a substitute for legal review and is not yet adopted for NPC filing.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2026-07-07T15:40:27Z</dcterms:created>
  <dcterms:modified xsi:type="dcterms:W3CDTF">2026-07-07T15:40:27Z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