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mpliance-facts-register-setnayan"/>
    <w:p>
      <w:pPr>
        <w:pStyle w:val="Heading1"/>
      </w:pPr>
      <w:r>
        <w:t xml:space="preserve">Compliance Facts Register — Setnayan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The single source for every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value across the NPC pack. Owner-supplied facts + values I could derive (live DB / code / known infra). Finalize with the DPO (the owner/proprietor) + PH counsel, then thread into the pack (or maintain via the admin Compliance page — see note at end).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 BIR TIN has been REDACTED from this file</w:t>
      </w:r>
      <w:r>
        <w:t xml:space="preserve"> </w:t>
      </w:r>
      <w:r>
        <w:t xml:space="preserve">(2026-07-05) — the sensitive government ID now lives only in the access-controlled</w:t>
      </w:r>
      <w:r>
        <w:t xml:space="preserve"> </w:t>
      </w:r>
      <w:r>
        <w:rPr>
          <w:b/>
          <w:bCs/>
        </w:rPr>
        <w:t xml:space="preserve">admin → Compliance</w:t>
      </w:r>
      <w:r>
        <w:t xml:space="preserve"> </w:t>
      </w:r>
      <w:r>
        <w:t xml:space="preserve">page (PR #2848), never in a repo. This file remains a working reference for the non-sensitive facts; still keep it out of any public repository.</w:t>
      </w:r>
    </w:p>
    <w:p>
      <w:r>
        <w:pict>
          <v:rect style="width:0;height:1.5pt" o:hralign="center" o:hrstd="t" o:hr="t"/>
        </w:pict>
      </w:r>
    </w:p>
    <w:bookmarkStart w:id="9" w:name="business-identity-supplied"/>
    <w:p>
      <w:pPr>
        <w:pStyle w:val="Heading2"/>
      </w:pPr>
      <w:r>
        <w:t xml:space="preserve">1. Business identity — ✅ supplied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 (legal)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SOFTWARE DEVELOPMENT SERVICE</w:t>
            </w:r>
            <w:r>
              <w:t xml:space="preserve"> </w:t>
            </w:r>
            <w:r>
              <w:t xml:space="preserve">(sole proprietorship)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Proprietor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DTI Business Name No.</w:t>
            </w:r>
          </w:p>
        </w:tc>
        <w:tc>
          <w:tcPr/>
          <w:p>
            <w:pPr>
              <w:pStyle w:val="Compact"/>
            </w:pPr>
            <w:r>
              <w:t xml:space="preserve">8297508 (national · valid 25 Jun 2026 – 25 Jun 2031)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 TIN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 — held by owner; entered in admin → Compliance]</w:t>
            </w:r>
            <w:r>
              <w:t xml:space="preserve"> </w:t>
            </w:r>
            <w:r>
              <w:rPr>
                <w:i/>
                <w:iCs/>
              </w:rPr>
              <w:t xml:space="preserve">(sensitive government ID; deliberately not stored in this file / any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/ principal 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 Sampaguita Avenue, Quezon City</w:t>
            </w:r>
            <w:r>
              <w:t xml:space="preserve"> </w:t>
            </w:r>
            <w:r>
              <w:rPr>
                <w:i/>
                <w:iCs/>
              </w:rPr>
              <w:t xml:space="preserve">(barangay + ZIP — add if NPC form requires)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registration no.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(blank until filed)</w:t>
            </w:r>
          </w:p>
        </w:tc>
      </w:tr>
    </w:tbl>
    <w:bookmarkEnd w:id="9"/>
    <w:bookmarkStart w:id="10" w:name="dpo-team-supplied"/>
    <w:p>
      <w:pPr>
        <w:pStyle w:val="Heading2"/>
      </w:pPr>
      <w:r>
        <w:t xml:space="preserve">2. DPO &amp; team — ✅ supplied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Indalecio Sacdalan Casasola II</w:t>
            </w:r>
            <w:r>
              <w:t xml:space="preserve"> </w:t>
            </w:r>
            <w:r>
              <w:t xml:space="preserve">(the proprietor/PIC also serves as DPO) · [TO CONFIRM — DPO email] ·</w:t>
            </w:r>
            <w:r>
              <w:t xml:space="preserve"> </w:t>
            </w:r>
            <w:r>
              <w:rPr>
                <w:b/>
                <w:bCs/>
              </w:rPr>
              <w:t xml:space="preserve">already registered on the NPC DPO system (2026-07-07)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employment basis</w:t>
            </w:r>
          </w:p>
        </w:tc>
        <w:tc>
          <w:tcPr/>
          <w:p>
            <w:pPr>
              <w:pStyle w:val="Compact"/>
            </w:pPr>
            <w:r>
              <w:t xml:space="preserve">Internal — the proprietor/PIC also acts as DPO (2-person founding team). ⚠</w:t>
            </w:r>
            <w:r>
              <w:t xml:space="preserve"> </w:t>
            </w:r>
            <w:r>
              <w:rPr>
                <w:b/>
                <w:bCs/>
              </w:rPr>
              <w:t xml:space="preserve">PIC = DPO:</w:t>
            </w:r>
            <w:r>
              <w:t xml:space="preserve"> </w:t>
            </w:r>
            <w:r>
              <w:t xml:space="preserve">NPC generally prefers a DPO with autonomy from the controller; for a 2-person sole proprietorship this is commonly accepted — counsel to confirm and, if kept, note a short independence rationale in the designation sheet (doc 03).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phone / designation 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set — recommend stamping the date the manual is adopted)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headcount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— Indalecio S. Casasola II (proprietor + DPO) + Claire E. Buanhog (VP, co-founder)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with personal-data access</w:t>
            </w:r>
          </w:p>
        </w:tc>
        <w:tc>
          <w:tcPr/>
          <w:p>
            <w:pPr>
              <w:pStyle w:val="Compact"/>
            </w:pPr>
            <w:r>
              <w:t xml:space="preserve">Both (2 of 2)</w:t>
            </w:r>
          </w:p>
        </w:tc>
      </w:tr>
    </w:tbl>
    <w:bookmarkEnd w:id="10"/>
    <w:bookmarkStart w:id="11" w:name="X89669da5dfc61991ad26bd2c65af7bfae566c38"/>
    <w:p>
      <w:pPr>
        <w:pStyle w:val="Heading2"/>
      </w:pPr>
      <w:r>
        <w:t xml:space="preserve">3. Scale — ✅ read from live DB (2026-07-05, early/pre-launch — will grow)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accounts (</w:t>
            </w:r>
            <w:r>
              <w:rPr>
                <w:rStyle w:val="VerbatimChar"/>
              </w:rPr>
              <w:t xml:space="preserve">users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</w:t>
            </w:r>
            <w:r>
              <w:rPr>
                <w:rStyle w:val="VerbatimChar"/>
              </w:rPr>
              <w:t xml:space="preserve">vendor_profiles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 (</w:t>
            </w:r>
            <w:r>
              <w:rPr>
                <w:rStyle w:val="VerbatimChar"/>
              </w:rPr>
              <w:t xml:space="preserve">guests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biometric face vectors</w:t>
            </w:r>
            <w:r>
              <w:t xml:space="preserve"> </w:t>
            </w:r>
            <w:r>
              <w:t xml:space="preserve">(sensitive)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Sensitive-data holders today:</w:t>
      </w:r>
      <w:r>
        <w:t xml:space="preserve"> </w:t>
      </w:r>
      <w:r>
        <w:t xml:space="preserve">0 biometric (no active face vectors); vendors submit government IDs during verification (a subset of the 50); guest</w:t>
      </w:r>
      <w:r>
        <w:t xml:space="preserve"> </w:t>
      </w:r>
      <w:r>
        <w:rPr>
          <w:rStyle w:val="VerbatimChar"/>
        </w:rPr>
        <w:t xml:space="preserve">dietary_restrictions</w:t>
      </w:r>
      <w:r>
        <w:t xml:space="preserve"> </w:t>
      </w:r>
      <w:r>
        <w:t xml:space="preserve">may reveal health/religion (special category). Counts are small + pre-launch — but per the RoPA,</w:t>
      </w:r>
      <w:r>
        <w:t xml:space="preserve"> </w:t>
      </w:r>
      <w:r>
        <w:rPr>
          <w:b/>
          <w:bCs/>
        </w:rPr>
        <w:t xml:space="preserve">NPC registration is still advised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risk-to-rights + not-occasional</w:t>
      </w:r>
      <w:r>
        <w:t xml:space="preserve"> </w:t>
      </w:r>
      <w:r>
        <w:t xml:space="preserve">grounds, independent of volume.</w:t>
      </w:r>
    </w:p>
    <w:bookmarkEnd w:id="11"/>
    <w:bookmarkStart w:id="12" w:name="X42a6306e693629a042d6e5270610e7d9a0dc180"/>
    <w:p>
      <w:pPr>
        <w:pStyle w:val="Heading2"/>
      </w:pPr>
      <w:r>
        <w:t xml:space="preserve">4. Breach response team — ⚠ currently the 2-person team</w:t>
      </w:r>
    </w:p>
    <w:p>
      <w:pPr>
        <w:pStyle w:val="Compact"/>
        <w:numPr>
          <w:ilvl w:val="0"/>
          <w:numId w:val="1002"/>
        </w:numPr>
      </w:pPr>
      <w:r>
        <w:t xml:space="preserve">No external DBRT members yet. Document the 2-person structure:</w:t>
      </w:r>
      <w:r>
        <w:t xml:space="preserve"> </w:t>
      </w:r>
      <w:r>
        <w:rPr>
          <w:b/>
          <w:bCs/>
        </w:rPr>
        <w:t xml:space="preserve">DPO = the proprietor (owner)</w:t>
      </w:r>
      <w:r>
        <w:t xml:space="preserve"> </w:t>
      </w:r>
      <w:r>
        <w:t xml:space="preserve">leads;</w:t>
      </w:r>
      <w:r>
        <w:t xml:space="preserve"> </w:t>
      </w:r>
      <w:r>
        <w:rPr>
          <w:b/>
          <w:bCs/>
        </w:rPr>
        <w:t xml:space="preserve">VP (Claire E. Buanhog)</w:t>
      </w:r>
      <w:r>
        <w:t xml:space="preserve"> </w:t>
      </w:r>
      <w:r>
        <w:t xml:space="preserve">supports. Add an external PH counsel liaison when engaged.</w:t>
      </w:r>
    </w:p>
    <w:p>
      <w:pPr>
        <w:pStyle w:val="Compact"/>
        <w:numPr>
          <w:ilvl w:val="0"/>
          <w:numId w:val="1002"/>
        </w:numPr>
      </w:pPr>
      <w:r>
        <w:t xml:space="preserve">24/7 escalation contacts + DPO breach hotline:</w:t>
      </w:r>
      <w:r>
        <w:t xml:space="preserve"> </w:t>
      </w:r>
      <w:r>
        <w:rPr>
          <w:i/>
          <w:iCs/>
        </w:rPr>
        <w:t xml:space="preserve">(to set — even a single mobile + the DPO email suffices to start).</w:t>
      </w:r>
    </w:p>
    <w:bookmarkEnd w:id="12"/>
    <w:bookmarkStart w:id="13" w:name="X0415a6efc516723dea52bc0d52405e7b291bd05"/>
    <w:p>
      <w:pPr>
        <w:pStyle w:val="Heading2"/>
      </w:pPr>
      <w:r>
        <w:t xml:space="preserve">5. Sub-processors — ✅ derived (jurisdictions from known infra)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Jurisdiction / hosting</w:t>
            </w:r>
          </w:p>
        </w:tc>
        <w:tc>
          <w:tcPr/>
          <w:p>
            <w:pPr>
              <w:pStyle w:val="Compact"/>
            </w:pPr>
            <w:r>
              <w:t xml:space="preserve">Personal data?</w:t>
            </w:r>
          </w:p>
        </w:tc>
        <w:tc>
          <w:tcPr/>
          <w:p>
            <w:pPr>
              <w:pStyle w:val="Compact"/>
            </w:pPr>
            <w:r>
              <w:t xml:space="preserve">DPA 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App hosting / edge</w:t>
            </w:r>
          </w:p>
        </w:tc>
        <w:tc>
          <w:tcPr/>
          <w:p>
            <w:pPr>
              <w:pStyle w:val="Compact"/>
            </w:pPr>
            <w:r>
              <w:t xml:space="preserve">United States (global CDN)</w:t>
            </w:r>
          </w:p>
        </w:tc>
        <w:tc>
          <w:tcPr/>
          <w:p>
            <w:pPr>
              <w:pStyle w:val="Compact"/>
            </w:pPr>
            <w:r>
              <w:t xml:space="preserve">Yes (in transit)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(Postgres)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Singapore</w:t>
            </w:r>
            <w:r>
              <w:t xml:space="preserve"> </w:t>
            </w:r>
            <w:r>
              <w:t xml:space="preserve">(ap-southeast-1)</w:t>
            </w:r>
          </w:p>
        </w:tc>
        <w:tc>
          <w:tcPr/>
          <w:p>
            <w:pPr>
              <w:pStyle w:val="Compact"/>
            </w:pPr>
            <w:r>
              <w:t xml:space="preserve">Yes (PII)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Media / object storage</w:t>
            </w:r>
          </w:p>
        </w:tc>
        <w:tc>
          <w:tcPr/>
          <w:p>
            <w:pPr>
              <w:pStyle w:val="Compact"/>
            </w:pPr>
            <w:r>
              <w:t xml:space="preserve">APAC region</w:t>
            </w:r>
          </w:p>
        </w:tc>
        <w:tc>
          <w:tcPr/>
          <w:p>
            <w:pPr>
              <w:pStyle w:val="Compact"/>
            </w:pPr>
            <w:r>
              <w:t xml:space="preserve">Yes (photos/vectors)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(+ SendGrid fallback)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Yes (email addresses)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EU cloud —</w:t>
            </w:r>
            <w:r>
              <w:t xml:space="preserve"> </w:t>
            </w:r>
            <w:r>
              <w:rPr>
                <w:i/>
                <w:iCs/>
              </w:rPr>
              <w:t xml:space="preserve">confirm which instance</w:t>
            </w:r>
          </w:p>
        </w:tc>
        <w:tc>
          <w:tcPr/>
          <w:p>
            <w:pPr>
              <w:pStyle w:val="Compact"/>
            </w:pPr>
            <w:r>
              <w:t xml:space="preserve">Minimal (no PII in events; opt-out)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/ Veriff / Onfido</w:t>
            </w:r>
          </w:p>
        </w:tc>
        <w:tc>
          <w:tcPr/>
          <w:p>
            <w:pPr>
              <w:pStyle w:val="Compact"/>
            </w:pPr>
            <w:r>
              <w:t xml:space="preserve">Vendor ID verification</w:t>
            </w:r>
          </w:p>
        </w:tc>
        <w:tc>
          <w:tcPr/>
          <w:p>
            <w:pPr>
              <w:pStyle w:val="Compact"/>
            </w:pPr>
            <w:r>
              <w:t xml:space="preserve">US / EU</w:t>
            </w:r>
          </w:p>
        </w:tc>
        <w:tc>
          <w:tcPr/>
          <w:p>
            <w:pPr>
              <w:pStyle w:val="Compact"/>
            </w:pPr>
            <w:r>
              <w:t xml:space="preserve">Yes (gov ID — 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/ OpenAI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Prompt content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Suno</w:t>
            </w:r>
          </w:p>
        </w:tc>
        <w:tc>
          <w:tcPr/>
          <w:p>
            <w:pPr>
              <w:pStyle w:val="Compact"/>
            </w:pPr>
            <w:r>
              <w:t xml:space="preserve">Music generation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personal data</w:t>
            </w:r>
            <w:r>
              <w:t xml:space="preserve"> </w:t>
            </w:r>
            <w:r>
              <w:t xml:space="preserve">— text-prompt / owned-catalogue only ⇒</w:t>
            </w:r>
            <w:r>
              <w:t xml:space="preserve"> </w:t>
            </w:r>
            <w:r>
              <w:rPr>
                <w:b/>
                <w:bCs/>
              </w:rPr>
              <w:t xml:space="preserve">not a personal-data sub-processor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matching</w:t>
            </w:r>
          </w:p>
        </w:tc>
        <w:tc>
          <w:tcPr/>
          <w:p>
            <w:pPr>
              <w:pStyle w:val="Compact"/>
            </w:pPr>
            <w:r>
              <w:t xml:space="preserve">Biometric embedding + 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ON-DEVICE</w:t>
            </w:r>
            <w:r>
              <w:t xml:space="preserve"> </w:t>
            </w:r>
            <w:r>
              <w:t xml:space="preserve">(face-api.js / MediaPipe, in-browser); vectors stored in Supabase (Singapore).</w:t>
            </w:r>
            <w:r>
              <w:t xml:space="preserve"> </w:t>
            </w:r>
            <w:r>
              <w:rPr>
                <w:b/>
                <w:bCs/>
              </w:rPr>
              <w:t xml:space="preserve">No third-party face-matching service.</w:t>
            </w:r>
          </w:p>
        </w:tc>
        <w:tc>
          <w:tcPr/>
          <w:p>
            <w:pPr>
              <w:pStyle w:val="Compact"/>
            </w:pPr>
            <w:r>
              <w:t xml:space="preserve">Yes (biometric, stored)</w:t>
            </w:r>
          </w:p>
        </w:tc>
        <w:tc>
          <w:tcPr/>
          <w:p>
            <w:pPr>
              <w:pStyle w:val="Compact"/>
            </w:pPr>
            <w:r>
              <w:t xml:space="preserve">n/a (in-house)</w:t>
            </w:r>
          </w:p>
        </w:tc>
      </w:tr>
    </w:tbl>
    <w:bookmarkEnd w:id="13"/>
    <w:bookmarkStart w:id="14" w:name="processing-specifics-derived"/>
    <w:p>
      <w:pPr>
        <w:pStyle w:val="Heading2"/>
      </w:pPr>
      <w:r>
        <w:t xml:space="preserve">6. Processing specifics — ✅ derived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RSVP fields collected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dietary_restrictions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meal_preference</w:t>
            </w:r>
            <w:r>
              <w:t xml:space="preserve"> </w:t>
            </w:r>
            <w:r>
              <w:t xml:space="preserve">(may reveal health / religious belief — special category).</w:t>
            </w:r>
            <w:r>
              <w:t xml:space="preserve"> </w:t>
            </w:r>
            <w:r>
              <w:rPr>
                <w:b/>
                <w:bCs/>
              </w:rPr>
              <w:t xml:space="preserve">No standalone religion or health field.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Solely-automated decisions w/ legal/significant 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one, as of 2026-07-07:</w:t>
            </w:r>
            <w:r>
              <w:t xml:space="preserve"> </w:t>
            </w:r>
            <w:r>
              <w:t xml:space="preserve">the Anti-Fraud engine (DPIA</w:t>
            </w:r>
            <w:r>
              <w:t xml:space="preserve"> </w:t>
            </w:r>
            <w:r>
              <w:rPr>
                <w:b/>
                <w:bCs/>
              </w:rPr>
              <w:t xml:space="preserve">R-08</w:t>
            </w:r>
            <w:r>
              <w:t xml:space="preserve"> </w:t>
            </w:r>
            <w:r>
              <w:t xml:space="preserve">/ ROPA</w:t>
            </w:r>
            <w:r>
              <w:t xml:space="preserve"> </w:t>
            </w:r>
            <w:r>
              <w:rPr>
                <w:b/>
                <w:bCs/>
              </w:rPr>
              <w:t xml:space="preserve">DPS-12</w:t>
            </w:r>
            <w:r>
              <w:t xml:space="preserve">) can</w:t>
            </w:r>
            <w:r>
              <w:t xml:space="preserve"> </w:t>
            </w:r>
            <w:r>
              <w:rPr>
                <w:b/>
                <w:bCs/>
              </w:rPr>
              <w:t xml:space="preserve">automatically suspend</w:t>
            </w:r>
            <w:r>
              <w:t xml:space="preserve"> </w:t>
            </w:r>
            <w:r>
              <w:t xml:space="preserve">a vendor’s public listing at a high fraud score (</w:t>
            </w:r>
            <w:r>
              <w:rPr>
                <w:b/>
                <w:bCs/>
              </w:rPr>
              <w:t xml:space="preserve">reversible</w:t>
            </w:r>
            <w:r>
              <w:t xml:space="preserve">). The</w:t>
            </w:r>
            <w:r>
              <w:t xml:space="preserve"> </w:t>
            </w:r>
            <w:r>
              <w:rPr>
                <w:b/>
                <w:bCs/>
              </w:rPr>
              <w:t xml:space="preserve">irreversible</w:t>
            </w:r>
            <w:r>
              <w:t xml:space="preserve"> </w:t>
            </w:r>
            <w:r>
              <w:t xml:space="preserve">wipe/ban is NOT automated (routed through the four-eyes admin gate). AI planning features remain assistive only. See</w:t>
            </w:r>
            <w:r>
              <w:t xml:space="preserve"> </w:t>
            </w:r>
            <w:r>
              <w:rPr>
                <w:rStyle w:val="VerbatimChar"/>
              </w:rPr>
              <w:t xml:space="preserve">08_DPIA_AntiFraud_Trust_Integrity_2026-07-07.md</w:t>
            </w:r>
            <w:r>
              <w:t xml:space="preserve"> </w:t>
            </w:r>
            <w:r>
              <w:t xml:space="preserve">§6 (RA 10173 §16(c)/§34) — a formal contest/appeal path is a flagged follow-up.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 Business (payment gateway)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active</w:t>
            </w:r>
            <w:r>
              <w:t xml:space="preserve"> </w:t>
            </w:r>
            <w:r>
              <w:t xml:space="preserve">— dormant / V1.5 roadmap; no contract yet. Current payment is manual apply-then-pay (BDO/GCash).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NDAs / privacy training / device policy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set — for a 2-person team, a short signed confidentiality + basic-hygiene note suffices; recommend adopting.)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 / designation adoption dates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set on adoption.)</w:t>
            </w:r>
          </w:p>
        </w:tc>
      </w:tr>
    </w:tbl>
    <w:bookmarkEnd w:id="14"/>
    <w:bookmarkStart w:id="15" w:name="X30bbbd5179a8b00fda8a4829472aa1832fadedf"/>
    <w:p>
      <w:pPr>
        <w:pStyle w:val="Heading2"/>
      </w:pPr>
      <w:r>
        <w:t xml:space="preserve">7. Remaining true unknowns (short list for owner/DPO + Claire/VP)</w:t>
      </w:r>
    </w:p>
    <w:p>
      <w:pPr>
        <w:pStyle w:val="Compact"/>
        <w:numPr>
          <w:ilvl w:val="0"/>
          <w:numId w:val="1003"/>
        </w:numPr>
      </w:pPr>
      <w:r>
        <w:t xml:space="preserve">Barangay + ZIP for the address (if the NPC form requires granularity)</w:t>
      </w:r>
    </w:p>
    <w:p>
      <w:pPr>
        <w:pStyle w:val="Compact"/>
        <w:numPr>
          <w:ilvl w:val="0"/>
          <w:numId w:val="1003"/>
        </w:numPr>
      </w:pPr>
      <w:r>
        <w:t xml:space="preserve">The DPO (owner) contact email + phone + the designation/adoption date</w:t>
      </w:r>
    </w:p>
    <w:p>
      <w:pPr>
        <w:pStyle w:val="Compact"/>
        <w:numPr>
          <w:ilvl w:val="0"/>
          <w:numId w:val="1003"/>
        </w:numPr>
      </w:pPr>
      <w:r>
        <w:t xml:space="preserve">PostHog instance region (US vs EU cloud)</w:t>
      </w:r>
    </w:p>
    <w:p>
      <w:pPr>
        <w:pStyle w:val="Compact"/>
        <w:numPr>
          <w:ilvl w:val="0"/>
          <w:numId w:val="1003"/>
        </w:numPr>
      </w:pPr>
      <w:r>
        <w:t xml:space="preserve">Which sub-processors have a signed DPA on file</w:t>
      </w:r>
    </w:p>
    <w:p>
      <w:pPr>
        <w:pStyle w:val="Compact"/>
        <w:numPr>
          <w:ilvl w:val="0"/>
          <w:numId w:val="1003"/>
        </w:numPr>
      </w:pPr>
      <w:r>
        <w:t xml:space="preserve">Whether to adopt the light NDA / training / device-hygiene notes (recommended)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register resolves the large majority of the pack’s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[TO CONFIRM]</w:t>
      </w:r>
      <w:r>
        <w:rPr>
          <w:i/>
          <w:iCs/>
        </w:rPr>
        <w:t xml:space="preserve"> </w:t>
      </w:r>
      <w:r>
        <w:rPr>
          <w:i/>
          <w:iCs/>
        </w:rPr>
        <w:t xml:space="preserve">items.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Recommended next step:</w:t>
      </w:r>
      <w:r>
        <w:rPr>
          <w:i/>
          <w:iCs/>
        </w:rPr>
        <w:t xml:space="preserve"> </w:t>
      </w:r>
      <w:r>
        <w:rPr>
          <w:i/>
          <w:iCs/>
        </w:rPr>
        <w:t xml:space="preserve">move these facts into an access-controlled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admin Compliance page</w:t>
      </w:r>
      <w:r>
        <w:rPr>
          <w:i/>
          <w:iCs/>
        </w:rPr>
        <w:t xml:space="preserve"> </w:t>
      </w:r>
      <w:r>
        <w:rPr>
          <w:i/>
          <w:iCs/>
        </w:rPr>
        <w:t xml:space="preserve">(editable, admin-only, can export the NPC data sheet) — the correct secure home for the TIN + DPO details, rather than a plaintext file.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2026-07-07T15:40:28Z</dcterms:created>
  <dcterms:modified xsi:type="dcterms:W3CDTF">2026-07-07T15:40:28Z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