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2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bookmarkStart w:id="12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highlight: the most imminent thing the couple needs to do/attend. Tomorrow’s walkthrough by default.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Setnayan Concierge checklist (see 2.0b). Steps 1–6 collapsed and dim if completed. Step 7 (current) expanded with mini-checklist + CTA. Steps 8–9 dim placeholders ahead.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3 seconds: hero · journey · grid. The detail still exists; it just lives where it belongs.</w:t>
      </w:r>
    </w:p>
    <w:bookmarkEnd w:id="12"/>
    <w:bookmarkStart w:id="13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3"/>
    <w:bookmarkStart w:id="14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4"/>
    <w:bookmarkStart w:id="15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15"/>
    <w:bookmarkStart w:id="16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16"/>
    <w:bookmarkStart w:id="17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19"/>
    <w:bookmarkStart w:id="20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21"/>
    <w:bookmarkStart w:id="22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22"/>
    <w:bookmarkStart w:id="23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23"/>
    <w:bookmarkStart w:id="24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24"/>
    <w:bookmarkStart w:id="25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25"/>
    <w:bookmarkStart w:id="26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26"/>
    <w:bookmarkStart w:id="31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27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6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6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6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27"/>
    <w:bookmarkStart w:id="28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28"/>
    <w:bookmarkStart w:id="29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29"/>
    <w:bookmarkStart w:id="30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08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08"/>
        </w:numPr>
      </w:pPr>
      <w:r>
        <w:t xml:space="preserve">Three rows beside the photo: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08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08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0"/>
        </w:numPr>
      </w:pPr>
      <w:r>
        <w:t xml:space="preserve">Same header row at the top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32"/>
    <w:bookmarkStart w:id="35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4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4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33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7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7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7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7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7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7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33"/>
    <w:bookmarkStart w:id="34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36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38"/>
    <w:bookmarkStart w:id="45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39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39"/>
    <w:bookmarkStart w:id="40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40"/>
    <w:bookmarkStart w:id="41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41"/>
    <w:bookmarkStart w:id="42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42"/>
    <w:bookmarkStart w:id="43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1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1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1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1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43"/>
    <w:bookmarkStart w:id="44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per-tab-content-fully-loaded-state"/>
    <w:p>
      <w:pPr>
        <w:pStyle w:val="Heading2"/>
      </w:pPr>
      <w:r>
        <w:t xml:space="preserve">4. Per-tab content (fully-loaded state)</w:t>
      </w:r>
    </w:p>
    <w:bookmarkStart w:id="46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46"/>
    <w:bookmarkStart w:id="47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47"/>
    <w:bookmarkStart w:id="48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48"/>
    <w:bookmarkStart w:id="49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51"/>
    <w:bookmarkStart w:id="52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2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2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2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52"/>
    <w:bookmarkStart w:id="53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53"/>
    <w:bookmarkStart w:id="54" w:name="Xa917aa85e70b8896197ae48df6d9a099802f791"/>
    <w:p>
      <w:pPr>
        <w:pStyle w:val="Heading2"/>
      </w:pPr>
      <w:r>
        <w:t xml:space="preserve">9. Event lifecycle — delete vs. add (locked 2026-05-15)</w:t>
      </w:r>
    </w:p>
    <w:p>
      <w:pPr>
        <w:pStyle w:val="FirstParagraph"/>
      </w:pPr>
      <w:r>
        <w:rPr>
          <w:b/>
          <w:bCs/>
        </w:rPr>
        <w:t xml:space="preserve">No self-serve event deletion.</w:t>
      </w:r>
      <w:r>
        <w:t xml:space="preserve"> </w:t>
      </w:r>
      <w:r>
        <w:t xml:space="preserve">No surface in 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— not the couple dashboard, not the event switcher’s monogram menu, not Profile Settings (0025), not the vendor or admin role-routed dashboards. An event aggregates months of planning, vendor contracts, guest data, paid render outputs, and (often) third-party deposits; an irreversible self-delete is too dangerous to expose. The only deletion path is</w:t>
      </w:r>
      <w:r>
        <w:t xml:space="preserve"> </w:t>
      </w:r>
      <w:r>
        <w:rPr>
          <w:b/>
          <w:bCs/>
        </w:rPr>
        <w:t xml:space="preserve">support → admin console</w:t>
      </w:r>
      <w:r>
        <w:t xml:space="preserve"> </w:t>
      </w:r>
      <w:r>
        <w:t xml:space="preserve">(0023 Delete action, PR #9). This generalizes the rule already implied by</w:t>
      </w:r>
      <w:r>
        <w:t xml:space="preserve"> </w:t>
      </w:r>
      <w:r>
        <w:rPr>
          <w:rStyle w:val="VerbatimChar"/>
        </w:rPr>
        <w:t xml:space="preserve">0025 § Active event within next 30 days</w:t>
      </w:r>
      <w:r>
        <w:t xml:space="preserve"> </w:t>
      </w:r>
      <w:r>
        <w:t xml:space="preserve">(</w:t>
      </w:r>
      <w:r>
        <w:t xml:space="preserve">“Contact support to discuss deletion”</w:t>
      </w:r>
      <w:r>
        <w:t xml:space="preserve">) — that copy now applies regardless of how soon the event is, not only the 30-day window.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Implication for affordances.</w:t>
      </w:r>
      <w:r>
        <w:t xml:space="preserve"> </w:t>
      </w:r>
      <w:r>
        <w:t xml:space="preserve">Anywhere a</w:t>
      </w:r>
      <w:r>
        <w:t xml:space="preserve"> </w:t>
      </w:r>
      <w:r>
        <w:t xml:space="preserve">“remove”</w:t>
      </w:r>
      <w:r>
        <w:t xml:space="preserve"> </w:t>
      </w:r>
      <w:r>
        <w:t xml:space="preserve">/</w:t>
      </w:r>
      <w:r>
        <w:t xml:space="preserve"> </w:t>
      </w:r>
      <w:r>
        <w:t xml:space="preserve">“delete”</w:t>
      </w:r>
      <w:r>
        <w:t xml:space="preserve"> </w:t>
      </w:r>
      <w:r>
        <w:t xml:space="preserve">/</w:t>
      </w:r>
      <w:r>
        <w:t xml:space="preserve"> </w:t>
      </w:r>
      <w:r>
        <w:t xml:space="preserve">“archive”</w:t>
      </w:r>
      <w:r>
        <w:t xml:space="preserve"> </w:t>
      </w:r>
      <w:r>
        <w:t xml:space="preserve">affordance would naturally cluster with event-scoped actions (e.g., Settings → Privacy &amp; Data, the event switcher menu, vendor or guest disconnect flows),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surface an event-level destructive action. Vendor-relationship removal, guest removal, and per-service cancellation are unrelated and remain in their respective iterations (0006, 0001, 0034) — those are event-scoped operations, not event-deleting ones.</w:t>
      </w:r>
    </w:p>
    <w:p>
      <w:r>
        <w:pict>
          <v:rect style="width:0;height:1.5pt" o:hralign="center" o:hrstd="t" o:hr="t"/>
        </w:pict>
      </w:r>
    </w:p>
    <w:bookmarkEnd w:id="54"/>
    <w:bookmarkStart w:id="65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55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55"/>
    <w:bookmarkStart w:id="56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56"/>
    <w:bookmarkStart w:id="57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57"/>
    <w:bookmarkStart w:id="58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58"/>
    <w:bookmarkStart w:id="59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59"/>
    <w:bookmarkStart w:id="60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5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5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5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60"/>
    <w:bookmarkStart w:id="61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61"/>
    <w:bookmarkStart w:id="62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62"/>
    <w:bookmarkStart w:id="63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63"/>
    <w:bookmarkStart w:id="64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66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66"/>
    <w:bookmarkStart w:id="67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67"/>
    <w:bookmarkStart w:id="68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68"/>
    <w:bookmarkStart w:id="69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69"/>
    <w:bookmarkStart w:id="70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1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72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72"/>
    <w:bookmarkStart w:id="73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0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0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0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0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73"/>
    <w:bookmarkStart w:id="74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74"/>
    <w:bookmarkStart w:id="75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2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2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75"/>
    <w:bookmarkStart w:id="76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76"/>
    <w:bookmarkStart w:id="77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77"/>
    <w:bookmarkStart w:id="78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4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4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78"/>
    <w:bookmarkStart w:id="79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79"/>
    <w:bookmarkStart w:id="80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6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6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6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0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82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82"/>
    <w:bookmarkStart w:id="83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83"/>
    <w:bookmarkStart w:id="84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84"/>
    <w:bookmarkStart w:id="85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85"/>
    <w:bookmarkStart w:id="86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86"/>
    <w:bookmarkStart w:id="87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87"/>
    <w:bookmarkStart w:id="88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7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7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7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88"/>
    <w:bookmarkStart w:id="89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2026-05-17T03:43:13Z</dcterms:created>
  <dcterms:modified xsi:type="dcterms:W3CDTF">2026-05-17T03:43:13Z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