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etnayan-2026-05-17-session-handoff"/>
    <w:p>
      <w:pPr>
        <w:pStyle w:val="Heading1"/>
      </w:pPr>
      <w:r>
        <w:t xml:space="preserve">Setnayan — 2026-05-17 Session Handoff</w:t>
      </w:r>
    </w:p>
    <w:p>
      <w:pPr>
        <w:pStyle w:val="BlockText"/>
      </w:pPr>
      <w:r>
        <w:rPr>
          <w:b/>
          <w:bCs/>
        </w:rPr>
        <w:t xml:space="preserve">For:</w:t>
      </w:r>
      <w:r>
        <w:t xml:space="preserve"> </w:t>
      </w:r>
      <w:r>
        <w:t xml:space="preserve">the next Claude account picking up this work.</w:t>
      </w:r>
      <w:r>
        <w:t xml:space="preserve"> </w:t>
      </w:r>
      <w:r>
        <w:rPr>
          <w:b/>
          <w:bCs/>
        </w:rPr>
        <w:t xml:space="preserve">Session length:</w:t>
      </w:r>
      <w:r>
        <w:t xml:space="preserve"> </w:t>
      </w:r>
      <w:r>
        <w:t xml:space="preserve">~one workday (Asia/Manila timezone).</w:t>
      </w:r>
      <w:r>
        <w:t xml:space="preserve"> </w:t>
      </w:r>
      <w:r>
        <w:rPr>
          <w:b/>
          <w:bCs/>
        </w:rPr>
        <w:t xml:space="preserve">Net result:</w:t>
      </w:r>
      <w:r>
        <w:t xml:space="preserve"> </w:t>
      </w:r>
      <w:r>
        <w:t xml:space="preserve">4 new spec sections in iteration 0021 (§ 10–13) · 1 new admin surface in iteration 0023 (§ 3.12) · 1 new corpus-root consolidated reference doc (Pricing.md) · 5 new CLAUDE.md decision-log rows · pandoc installed locally.</w:t>
      </w:r>
    </w:p>
    <w:p>
      <w:r>
        <w:pict>
          <v:rect style="width:0;height:1.5pt" o:hralign="center" o:hrstd="t" o:hr="t"/>
        </w:pict>
      </w:r>
    </w:p>
    <w:bookmarkStart w:id="15" w:name="quick-orientation-read-this-first"/>
    <w:p>
      <w:pPr>
        <w:pStyle w:val="Heading2"/>
      </w:pPr>
      <w:r>
        <w:t xml:space="preserve">1. Quick orientation (read this first)</w:t>
      </w:r>
    </w:p>
    <w:p>
      <w:pPr>
        <w:pStyle w:val="FirstParagraph"/>
      </w:pPr>
      <w:r>
        <w:t xml:space="preserve">If you’ve just been transferred this conversation, the SessionStart hook auto-injects an alignment header pointing you at three sources of truth: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product</w:t>
      </w:r>
      <w:r>
        <w:t xml:space="preserve"> </w:t>
      </w:r>
      <w:r>
        <w:t xml:space="preserve">— https://www.setnayan.com (WebFetch when needed to verify shipped behavior)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 corpus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/Users/icecasasola/Documents/Claude/Projects/Setnayan/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repos</w:t>
      </w:r>
      <w:r>
        <w:t xml:space="preserve"> </w:t>
      </w:r>
      <w:r>
        <w:t xml:space="preserve">— Setnayan-App monorepo (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for surfaces) + setnayan-platform (auth shell)</w:t>
      </w:r>
    </w:p>
    <w:p>
      <w:pPr>
        <w:pStyle w:val="FirstParagraph"/>
      </w:pPr>
      <w:r>
        <w:rPr>
          <w:b/>
          <w:bCs/>
        </w:rPr>
        <w:t xml:space="preserve">Read these status anchors BEFORE any new work: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— engineering context primer. The</w:t>
      </w:r>
      <w:r>
        <w:t xml:space="preserve"> </w:t>
      </w:r>
      <w:r>
        <w:rPr>
          <w:b/>
          <w:bCs/>
        </w:rPr>
        <w:t xml:space="preserve">decision log lives at the bottom</w:t>
      </w:r>
      <w:r>
        <w:t xml:space="preserve"> </w:t>
      </w:r>
      <w:r>
        <w:t xml:space="preserve">(search</w:t>
      </w:r>
      <w:r>
        <w:t xml:space="preserve"> </w:t>
      </w:r>
      <w:r>
        <w:rPr>
          <w:rStyle w:val="VerbatimChar"/>
        </w:rPr>
        <w:t xml:space="preserve">## Decision log</w:t>
      </w:r>
      <w:r>
        <w:t xml:space="preserve">). New rows go in date order, format</w:t>
      </w:r>
      <w:r>
        <w:t xml:space="preserve"> </w:t>
      </w:r>
      <w:r>
        <w:rPr>
          <w:rStyle w:val="VerbatimChar"/>
        </w:rPr>
        <w:t xml:space="preserve">| Date | Decision | Why-or-affected-files |</w:t>
      </w:r>
      <w:r>
        <w:t xml:space="preserve">. The most recent ~6 rows added in this session document everything below.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COWORK.md</w:t>
        </w:r>
      </w:hyperlink>
      <w:r>
        <w:t xml:space="preserve"> </w:t>
      </w:r>
      <w:r>
        <w:t xml:space="preserve">— update workflow. Lines 44–54 are the canonical sequence: capture decision → CLAUDE.md decision log → iteration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edits → regenerate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mirror via pandoc.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VerbatimChar"/>
          </w:rPr>
          <w:t xml:space="preserve">V1_Gap_Analysis_Status.md</w:t>
        </w:r>
      </w:hyperlink>
      <w:r>
        <w:t xml:space="preserve"> </w:t>
      </w:r>
      <w:r>
        <w:t xml:space="preserve">— spec-side audit of what’s specced vs missing.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VerbatimChar"/>
          </w:rPr>
          <w:t xml:space="preserve">App_Build_Status.md</w:t>
        </w:r>
      </w:hyperlink>
      <w:r>
        <w:t xml:space="preserve"> </w:t>
      </w:r>
      <w:r>
        <w:t xml:space="preserve">— code-shipped audit (spec vs origin/main).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Installed_Stack_Inventory.md</w:t>
        </w:r>
      </w:hyperlink>
      <w:r>
        <w:t xml:space="preserve"> </w:t>
      </w:r>
      <w:r>
        <w:t xml:space="preserve">— what infrastructure is wired up.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VerbatimChar"/>
          </w:rPr>
          <w:t xml:space="preserve">API_Integration_Checklist.md</w:t>
        </w:r>
      </w:hyperlink>
      <w:r>
        <w:t xml:space="preserve"> </w:t>
      </w:r>
      <w:r>
        <w:t xml:space="preserve">— owner-actionable external prerequisites.</w:t>
      </w:r>
    </w:p>
    <w:p>
      <w:pPr>
        <w:pStyle w:val="FirstParagraph"/>
      </w:pPr>
      <w:r>
        <w:rPr>
          <w:b/>
          <w:bCs/>
        </w:rPr>
        <w:t xml:space="preserve">Locked guardrails (do not violate without owner sign-off):</w:t>
      </w:r>
    </w:p>
    <w:p>
      <w:pPr>
        <w:pStyle w:val="Compact"/>
        <w:numPr>
          <w:ilvl w:val="0"/>
          <w:numId w:val="1003"/>
        </w:numPr>
      </w:pPr>
      <w:r>
        <w:t xml:space="preserve">V1 scope is locked. Flag feature expansion explicitly before producing code.</w:t>
      </w:r>
    </w:p>
    <w:p>
      <w:pPr>
        <w:pStyle w:val="Compact"/>
        <w:numPr>
          <w:ilvl w:val="0"/>
          <w:numId w:val="1003"/>
        </w:numPr>
      </w:pPr>
      <w:r>
        <w:t xml:space="preserve">Pricing is PHP centavos in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 xml:space="preserve">(iteration 0034, not 0003 — token wallet at 0003 was retired 2026-05-11). No USD; no invented prices.</w:t>
      </w:r>
    </w:p>
    <w:p>
      <w:pPr>
        <w:pStyle w:val="Compact"/>
        <w:numPr>
          <w:ilvl w:val="0"/>
          <w:numId w:val="1003"/>
        </w:numPr>
      </w:pPr>
      <w:r>
        <w:t xml:space="preserve">NO wallet UI. Payment is order-and-pay only (iteration 0034). Any</w:t>
      </w:r>
      <w:r>
        <w:t xml:space="preserve"> </w:t>
      </w:r>
      <w:r>
        <w:t xml:space="preserve">“Token wallet pill”</w:t>
      </w:r>
      <w:r>
        <w:t xml:space="preserve"> </w:t>
      </w:r>
      <w:r>
        <w:t xml:space="preserve">reference in iteration 0000 is spec drift — log it and don’t implement.</w:t>
      </w:r>
    </w:p>
    <w:p>
      <w:pPr>
        <w:pStyle w:val="Compact"/>
        <w:numPr>
          <w:ilvl w:val="0"/>
          <w:numId w:val="1003"/>
        </w:numPr>
      </w:pPr>
      <w:r>
        <w:t xml:space="preserve">Responsive by default — design for both desktop and mobile. Bottom sheets on mobile · dropdowns on desktop. Don’t re-ask</w:t>
      </w:r>
      <w:r>
        <w:t xml:space="preserve"> </w:t>
      </w:r>
      <w:r>
        <w:t xml:space="preserve">“mobile or desktop”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User context.</w:t>
      </w:r>
      <w:r>
        <w:t xml:space="preserve"> </w:t>
      </w:r>
      <w:r>
        <w:t xml:space="preserve">The owner has been moving fast through design conversations; rapid back-and-forth dictation with periodic spec writeups. Keep responses tight (2-3 sentences for exploratory questions; mockups when proposing copy; full multi-step capture when locking decisions).</w:t>
      </w:r>
    </w:p>
    <w:p>
      <w:r>
        <w:pict>
          <v:rect style="width:0;height:1.5pt" o:hralign="center" o:hrstd="t" o:hr="t"/>
        </w:pict>
      </w:r>
    </w:p>
    <w:bookmarkEnd w:id="15"/>
    <w:bookmarkStart w:id="21" w:name="Xeff9cf9e0620d35c7ee2252af9f213eeab93def"/>
    <w:p>
      <w:pPr>
        <w:pStyle w:val="Heading2"/>
      </w:pPr>
      <w:r>
        <w:t xml:space="preserve">2. What got designed this session (iteration 0021 § 10–13)</w:t>
      </w:r>
    </w:p>
    <w:p>
      <w:pPr>
        <w:pStyle w:val="FirstParagraph"/>
      </w:pPr>
      <w:r>
        <w:t xml:space="preserve">All four sections live in</w:t>
      </w:r>
      <w:r>
        <w:t xml:space="preserve"> </w:t>
      </w:r>
      <w:hyperlink r:id="rId16">
        <w:r>
          <w:rPr>
            <w:rStyle w:val="VerbatimChar"/>
          </w:rPr>
          <w:t xml:space="preserve">0021_couple_dashboard_fully_purchased/0021_couple_dashboard_fully_purchased.md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mirror is regenerated and current.</w:t>
      </w:r>
    </w:p>
    <w:bookmarkStart w:id="17" w:name="Xd8af6dad0fd05b1cf3e5e5f223e948fe6363547"/>
    <w:p>
      <w:pPr>
        <w:pStyle w:val="Heading3"/>
      </w:pPr>
      <w:r>
        <w:t xml:space="preserve">2.1 § 10 — Date change with booked vendors (multi-party state machine)</w:t>
      </w:r>
    </w:p>
    <w:p>
      <w:pPr>
        <w:pStyle w:val="FirstParagraph"/>
      </w:pPr>
      <w:r>
        <w:t xml:space="preserve">When a couple wants to change their wedding date with ≥1 confirmed vendor attached, the change cannot be a unilateral edit. The change routes through a structured negotiation flow.</w:t>
      </w:r>
    </w:p>
    <w:p>
      <w:pPr>
        <w:pStyle w:val="BodyText"/>
      </w:pPr>
      <w:r>
        <w:rPr>
          <w:b/>
          <w:bCs/>
        </w:rPr>
        <w:t xml:space="preserve">Trigger logic</w:t>
      </w:r>
      <w:r>
        <w:t xml:space="preserve"> </w:t>
      </w:r>
      <w:r>
        <w:t xml:space="preserve">(§ 10.1): the gate fires only when the event has ≥1 confirmed vendor. Confirmed/paid + in-active-mediation count toward the threshold; cart/draft + cancelled/refunded don’t. Zero confirmed vendors = free date edit, no warning.</w:t>
      </w:r>
    </w:p>
    <w:p>
      <w:pPr>
        <w:pStyle w:val="BodyText"/>
      </w:pPr>
      <w:r>
        <w:rPr>
          <w:b/>
          <w:bCs/>
        </w:rPr>
        <w:t xml:space="preserve">Confirmation modal copy</w:t>
      </w:r>
      <w:r>
        <w:t xml:space="preserve"> </w:t>
      </w:r>
      <w:r>
        <w:t xml:space="preserve">(§ 10.1): shows affected vendor list (up to 3 names +</w:t>
      </w:r>
      <w:r>
        <w:t xml:space="preserve"> </w:t>
      </w:r>
      <w:r>
        <w:t xml:space="preserve">“and N more”</w:t>
      </w:r>
      <w:r>
        <w:t xml:space="preserve">), a required reason field (min 30 chars), warning about chat-negotiation fallback. Tone is informative, not alarmist — couples reaching this modal are usually already stressed.</w:t>
      </w:r>
    </w:p>
    <w:p>
      <w:pPr>
        <w:pStyle w:val="BodyText"/>
      </w:pPr>
      <w:r>
        <w:rPr>
          <w:b/>
          <w:bCs/>
        </w:rPr>
        <w:t xml:space="preserve">Schedule check</w:t>
      </w:r>
      <w:r>
        <w:t xml:space="preserve"> </w:t>
      </w:r>
      <w:r>
        <w:t xml:space="preserve">(§ 10.2) runs against each vendor’s calendar. Two customer-facing outcomes locked: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“Your schedule change is available for all vendors. Waiting for their confirmation.”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“Your schedule change is available for X vendors but conflicts for Y vendors. We cannot apply this change until all vendors accept.”</w:t>
      </w:r>
    </w:p>
    <w:p>
      <w:pPr>
        <w:pStyle w:val="BodyText"/>
      </w:pPr>
      <w:r>
        <w:rPr>
          <w:b/>
          <w:bCs/>
        </w:rPr>
        <w:t xml:space="preserve">Pending-state freeze</w:t>
      </w:r>
      <w:r>
        <w:t xml:space="preserve"> </w:t>
      </w:r>
      <w:r>
        <w:t xml:space="preserve">(§ 10.3): original date holds on couple dashboard, vendor calendars, AND the public landing page. No further date attempts. Payments paused. Vendor slots locked from re-allocation.</w:t>
      </w:r>
    </w:p>
    <w:p>
      <w:pPr>
        <w:pStyle w:val="BodyText"/>
      </w:pPr>
      <w:r>
        <w:rPr>
          <w:b/>
          <w:bCs/>
        </w:rPr>
        <w:t xml:space="preserve">Vendor response window</w:t>
      </w:r>
      <w:r>
        <w:t xml:space="preserve"> </w:t>
      </w:r>
      <w:r>
        <w:t xml:space="preserve">(§ 10.4): 48 hours default. Accept · Decline · Couple-cancel options. Auto-escalate to admin mediation if vendor ghosts.</w:t>
      </w:r>
    </w:p>
    <w:p>
      <w:pPr>
        <w:pStyle w:val="BodyText"/>
      </w:pPr>
      <w:r>
        <w:rPr>
          <w:b/>
          <w:bCs/>
        </w:rPr>
        <w:t xml:space="preserve">Chat negotiation on decline</w:t>
      </w:r>
      <w:r>
        <w:t xml:space="preserve"> </w:t>
      </w:r>
      <w:r>
        <w:t xml:space="preserve">(§ 10.5): existing customer↔vendor thread (per the customer-initiates-chat rule) gains</w:t>
      </w:r>
      <w:r>
        <w:t xml:space="preserve"> </w:t>
      </w:r>
      <w:r>
        <w:rPr>
          <w:b/>
          <w:bCs/>
        </w:rPr>
        <w:t xml:space="preserve">structured action cards</w:t>
      </w:r>
      <w:r>
        <w:t xml:space="preserve"> </w:t>
      </w:r>
      <w:r>
        <w:t xml:space="preserve">— Propose alternate date · Accept this date · Cancel booking · Escalate to support. Free-text agreements in chat are NOT load-bearing — only cards trigger state transitions. This is a hard dependency on iteration 0019 supporting interactive action cards as a first-class message type.</w:t>
      </w:r>
    </w:p>
    <w:p>
      <w:pPr>
        <w:pStyle w:val="BodyText"/>
      </w:pPr>
      <w:r>
        <w:rPr>
          <w:b/>
          <w:bCs/>
        </w:rPr>
        <w:t xml:space="preserve">Admin mediation tier</w:t>
      </w:r>
      <w:r>
        <w:t xml:space="preserve"> </w:t>
      </w:r>
      <w:r>
        <w:t xml:space="preserve">(§ 10.6): when chat stalls or 72-hr couple ghost timeout fires. Setnayan’s Disputes Handler joins the thread (same pattern as 0019 force-majeure + § 2.2 refund/dispute menu). Mediator picks from a fixed outcome enum — vendor reconsiders, couple stays at original, vendor swap, refund + cancellation, reschedule-fee compromise. No free-text resolutions.</w:t>
      </w:r>
    </w:p>
    <w:p>
      <w:pPr>
        <w:pStyle w:val="BodyText"/>
      </w:pPr>
      <w:r>
        <w:rPr>
          <w:b/>
          <w:bCs/>
        </w:rPr>
        <w:t xml:space="preserve">Race condition</w:t>
      </w:r>
      <w:r>
        <w:t xml:space="preserve"> </w:t>
      </w:r>
      <w:r>
        <w:t xml:space="preserve">(§ 10.7): vendor backs out during negotiation; if count drops to zero, in-flight negotiation auto-resolves and couple is free to apply the change immediately.</w:t>
      </w:r>
    </w:p>
    <w:p>
      <w:pPr>
        <w:pStyle w:val="BodyText"/>
      </w:pPr>
      <w:r>
        <w:rPr>
          <w:b/>
          <w:bCs/>
        </w:rPr>
        <w:t xml:space="preserve">Door-reopened banner</w:t>
      </w:r>
      <w:r>
        <w:t xml:space="preserve"> </w:t>
      </w:r>
      <w:r>
        <w:t xml:space="preserve">(§ 10.8): when confirmed-vendor count returns to zero (any reason), Home surfaces a passive banner:</w:t>
      </w:r>
      <w:r>
        <w:t xml:space="preserve"> </w:t>
      </w:r>
      <w:r>
        <w:rPr>
          <w:i/>
          <w:iCs/>
        </w:rPr>
        <w:t xml:space="preserve">“All vendors have been released — you can now change your event date freely.”</w:t>
      </w:r>
      <w:r>
        <w:t xml:space="preserve"> </w:t>
      </w:r>
      <w:r>
        <w:t xml:space="preserve">Dismisses on first edit attempt or after 14 days.</w:t>
      </w:r>
    </w:p>
    <w:p>
      <w:pPr>
        <w:pStyle w:val="BodyText"/>
      </w:pPr>
      <w:r>
        <w:rPr>
          <w:b/>
          <w:bCs/>
        </w:rPr>
        <w:t xml:space="preserve">Reschedule fees</w:t>
      </w:r>
      <w:r>
        <w:t xml:space="preserve"> </w:t>
      </w:r>
      <w:r>
        <w:t xml:space="preserve">(§ 10.9): vendors set per-window fee policy at onboarding (0006). Manual mediator action V1; auto-debit lands in 0034 Phase 2.</w:t>
      </w:r>
    </w:p>
    <w:p>
      <w:pPr>
        <w:pStyle w:val="BodyText"/>
      </w:pPr>
      <w:r>
        <w:rPr>
          <w:b/>
          <w:bCs/>
        </w:rPr>
        <w:t xml:space="preserve">Hard cap</w:t>
      </w:r>
      <w:r>
        <w:t xml:space="preserve"> </w:t>
      </w:r>
      <w:r>
        <w:t xml:space="preserve">(§ 10.10): 2 successful date changes per event lifecycle. Third requires admin override via 0029 help center.</w:t>
      </w:r>
    </w:p>
    <w:bookmarkEnd w:id="17"/>
    <w:bookmarkStart w:id="18" w:name="Xa28a164fa9cc3a585dbc019fe95047ad7859d2d"/>
    <w:p>
      <w:pPr>
        <w:pStyle w:val="Heading3"/>
      </w:pPr>
      <w:r>
        <w:t xml:space="preserve">2.2 § 11 — Venue change (reuses § 10 with substitutions)</w:t>
      </w:r>
    </w:p>
    <w:p>
      <w:pPr>
        <w:pStyle w:val="FirstParagraph"/>
      </w:pPr>
      <w:r>
        <w:t xml:space="preserve">Same multi-party state machine. Two material differences:</w:t>
      </w:r>
    </w:p>
    <w:p>
      <w:pPr>
        <w:pStyle w:val="BodyText"/>
      </w:pPr>
      <w:r>
        <w:rPr>
          <w:b/>
          <w:bCs/>
        </w:rPr>
        <w:t xml:space="preserve">Coverage check replaces schedule check</w:t>
      </w:r>
      <w:r>
        <w:t xml:space="preserve"> </w:t>
      </w:r>
      <w:r>
        <w:t xml:space="preserve">(§ 11.1): each vendor’s service-area radius · permits/licensing · equipment compatibility · venue house-rules are checked instead of calendar availability. Customer-facing strings adapted —</w:t>
      </w:r>
      <w:r>
        <w:t xml:space="preserve"> </w:t>
      </w:r>
      <w:r>
        <w:rPr>
          <w:i/>
          <w:iCs/>
        </w:rPr>
        <w:t xml:space="preserve">“Your venue change is available for all vendors…”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“…is in conflict for Y vendors.”</w:t>
      </w:r>
    </w:p>
    <w:p>
      <w:pPr>
        <w:pStyle w:val="BodyText"/>
      </w:pPr>
      <w:r>
        <w:rPr>
          <w:b/>
          <w:bCs/>
        </w:rPr>
        <w:t xml:space="preserve">Auto-accept radius</w:t>
      </w:r>
      <w:r>
        <w:t xml:space="preserve"> </w:t>
      </w:r>
      <w:r>
        <w:t xml:space="preserve">(§ 11.2): NEW feature for venue changes. Vendors set a service-area auto-accept radius at onboarding (e.g.,</w:t>
      </w:r>
      <w:r>
        <w:t xml:space="preserve"> </w:t>
      </w:r>
      <w:r>
        <w:t xml:space="preserve">“auto-accept any venue within 50 km of Manila”</w:t>
      </w:r>
      <w:r>
        <w:t xml:space="preserve">). Venues inside the radius skip the vendor card entirely and the booking auto-transitions. Cuts negotiation volume for short-distance moves (e.g., one Tagaytay venue to another).</w:t>
      </w:r>
    </w:p>
    <w:p>
      <w:pPr>
        <w:pStyle w:val="BodyText"/>
      </w:pPr>
      <w:r>
        <w:rPr>
          <w:b/>
          <w:bCs/>
        </w:rPr>
        <w:t xml:space="preserve">Relocation fee replaces reschedule fee</w:t>
      </w:r>
      <w:r>
        <w:t xml:space="preserve"> </w:t>
      </w:r>
      <w:r>
        <w:t xml:space="preserve">(§ 11.3): travel cost · equipment shipping · venue-specific insurance. Same surfacing pattern.</w:t>
      </w:r>
    </w:p>
    <w:p>
      <w:pPr>
        <w:pStyle w:val="BodyText"/>
      </w:pPr>
      <w:r>
        <w:rPr>
          <w:b/>
          <w:bCs/>
        </w:rPr>
        <w:t xml:space="preserve">Mediation outcomes</w:t>
      </w:r>
      <w:r>
        <w:t xml:space="preserve"> </w:t>
      </w:r>
      <w:r>
        <w:t xml:space="preserve">(§ 11.4) parallel § 10.6 with venue-specific labels.</w:t>
      </w:r>
    </w:p>
    <w:p>
      <w:pPr>
        <w:pStyle w:val="BodyText"/>
      </w:pPr>
      <w:r>
        <w:rPr>
          <w:b/>
          <w:bCs/>
        </w:rPr>
        <w:t xml:space="preserve">Public landing page holds</w:t>
      </w:r>
      <w:r>
        <w:t xml:space="preserve"> </w:t>
      </w:r>
      <w:r>
        <w:t xml:space="preserve">(§ 11.5): venue is one of the top-of-page facts on the public invite. During pending venue change, original venue continues to show. Updates server-side when change applies; guests notified via 0028.</w:t>
      </w:r>
    </w:p>
    <w:bookmarkEnd w:id="18"/>
    <w:bookmarkStart w:id="19" w:name="guest-count-change-monotonic-ratchet"/>
    <w:p>
      <w:pPr>
        <w:pStyle w:val="Heading3"/>
      </w:pPr>
      <w:r>
        <w:t xml:space="preserve">2.3 § 12 — Guest count change · monotonic ratchet</w:t>
      </w:r>
    </w:p>
    <w:p>
      <w:pPr>
        <w:pStyle w:val="FirstParagraph"/>
      </w:pPr>
      <w:r>
        <w:t xml:space="preserve">Fundamentally different shape from § 10 / § 11 because guest count is a numeric attribute, not a swap.</w:t>
      </w:r>
    </w:p>
    <w:p>
      <w:pPr>
        <w:pStyle w:val="BodyText"/>
      </w:pPr>
      <w:r>
        <w:rPr>
          <w:b/>
          <w:bCs/>
        </w:rPr>
        <w:t xml:space="preserve">Direction restriction</w:t>
      </w:r>
      <w:r>
        <w:t xml:space="preserve"> </w:t>
      </w:r>
      <w:r>
        <w:t xml:space="preserve">(§ 12.2): couples can INCREASE the planning guest count but cannot DECREASE once any guest-count-dependent vendor has confirmed at that count. The minus stepper is disabled at the UI layer with hint</w:t>
      </w:r>
      <w:r>
        <w:t xml:space="preserve"> </w:t>
      </w:r>
      <w:r>
        <w:rPr>
          <w:i/>
          <w:iCs/>
        </w:rPr>
        <w:t xml:space="preserve">“Cannot decrease below confirmed floor — vendors have already committed to N guests.”</w:t>
      </w:r>
      <w:r>
        <w:t xml:space="preserve"> </w:t>
      </w:r>
      <w:r>
        <w:t xml:space="preserve">This is a hard UI gate, not a state machine.</w:t>
      </w:r>
    </w:p>
    <w:p>
      <w:pPr>
        <w:pStyle w:val="BodyText"/>
      </w:pPr>
      <w:r>
        <w:rPr>
          <w:b/>
          <w:bCs/>
        </w:rPr>
        <w:t xml:space="preserve">Guest-count-dependent vendors</w:t>
      </w:r>
      <w:r>
        <w:t xml:space="preserve"> </w:t>
      </w:r>
      <w:r>
        <w:t xml:space="preserve">(§ 12.1) — only this subset receives the confirmation card. Per-vendor flag</w:t>
      </w:r>
      <w:r>
        <w:t xml:space="preserve"> </w:t>
      </w:r>
      <w:r>
        <w:rPr>
          <w:rStyle w:val="VerbatimChar"/>
        </w:rPr>
        <w:t xml:space="preserve">is_guest_count_dependent</w:t>
      </w:r>
      <w:r>
        <w:t xml:space="preserve"> </w:t>
      </w:r>
      <w:r>
        <w:t xml:space="preserve">at onboarding (0006). V1 defaults:</w:t>
      </w:r>
      <w:r>
        <w:t xml:space="preserve"> </w:t>
      </w:r>
      <w:r>
        <w:t xml:space="preserve">- TRUE: catering · florals · mobile bar · lights &amp; sound · name cards · favors · printable invites</w:t>
      </w:r>
      <w:r>
        <w:t xml:space="preserve"> </w:t>
      </w:r>
      <w:r>
        <w:t xml:space="preserve">- FALSE: photography · videography · HMUA · planner · broadcast</w:t>
      </w:r>
    </w:p>
    <w:p>
      <w:pPr>
        <w:pStyle w:val="BodyText"/>
      </w:pPr>
      <w:r>
        <w:rPr>
          <w:b/>
          <w:bCs/>
        </w:rPr>
        <w:t xml:space="preserve">Ratchet rule</w:t>
      </w:r>
      <w:r>
        <w:t xml:space="preserve"> </w:t>
      </w:r>
      <w:r>
        <w:t xml:space="preserve">(§ 12.2): floor = MAX(all confirmed counts ever). New vendors booked later inherit current floor as starting commitment. Vendor back-out dissolves THEIR commitment but the floor for remaining dependent vendors stays — couples cannot reduce because others are still planning at the higher count.</w:t>
      </w:r>
    </w:p>
    <w:p>
      <w:pPr>
        <w:pStyle w:val="BodyText"/>
      </w:pPr>
      <w:r>
        <w:rPr>
          <w:b/>
          <w:bCs/>
        </w:rPr>
        <w:t xml:space="preserve">Confirmation gate on increase</w:t>
      </w:r>
      <w:r>
        <w:t xml:space="preserve"> </w:t>
      </w:r>
      <w:r>
        <w:t xml:space="preserve">(§ 12.3): modal surfaces per-vendor cost impact (e.g.,</w:t>
      </w:r>
      <w:r>
        <w:t xml:space="preserve"> </w:t>
      </w:r>
      <w:r>
        <w:t xml:space="preserve">“+20 plates × ₱1,200 = +₱24,000”</w:t>
      </w:r>
      <w:r>
        <w:t xml:space="preserve">) and total delta. Per-head pricing captured at vendor booking (0006).</w:t>
      </w:r>
    </w:p>
    <w:p>
      <w:pPr>
        <w:pStyle w:val="BodyText"/>
      </w:pPr>
      <w:r>
        <w:rPr>
          <w:b/>
          <w:bCs/>
        </w:rPr>
        <w:t xml:space="preserve">Capacity check</w:t>
      </w:r>
      <w:r>
        <w:t xml:space="preserve"> </w:t>
      </w:r>
      <w:r>
        <w:t xml:space="preserve">(§ 12.4): each dependent vendor’s headcount capacity at the current proximity to event. Same two-message pattern as § 10 / § 11.</w:t>
      </w:r>
    </w:p>
    <w:p>
      <w:pPr>
        <w:pStyle w:val="BodyText"/>
      </w:pPr>
      <w:r>
        <w:rPr>
          <w:b/>
          <w:bCs/>
        </w:rPr>
        <w:t xml:space="preserve">Vendor response · chat negotiation</w:t>
      </w:r>
      <w:r>
        <w:t xml:space="preserve"> </w:t>
      </w:r>
      <w:r>
        <w:t xml:space="preserve">(§ 12.5): identical to § 10.4–10.5 with capacity-specific outcomes.</w:t>
      </w:r>
    </w:p>
    <w:p>
      <w:pPr>
        <w:pStyle w:val="BodyText"/>
      </w:pPr>
      <w:r>
        <w:rPr>
          <w:b/>
          <w:bCs/>
        </w:rPr>
        <w:t xml:space="preserve">Ratchet enforcement on back-out</w:t>
      </w:r>
      <w:r>
        <w:t xml:space="preserve"> </w:t>
      </w:r>
      <w:r>
        <w:t xml:space="preserve">(§ 12.6): floor doesn’t reset when a vendor leaves. New vendors must meet current floor at onboarding.</w:t>
      </w:r>
    </w:p>
    <w:p>
      <w:pPr>
        <w:pStyle w:val="BodyText"/>
      </w:pPr>
      <w:r>
        <w:rPr>
          <w:b/>
          <w:bCs/>
        </w:rPr>
        <w:t xml:space="preserve">Decrease override</w:t>
      </w:r>
      <w:r>
        <w:t xml:space="preserve"> </w:t>
      </w:r>
      <w:r>
        <w:t xml:space="preserve">(§ 12.7): admin-mediated path for genuine catastrophes (force majeure, mass family withdrawal). Couple files via 0029 → admin negotiates with each vendor case-by-case.</w:t>
      </w:r>
    </w:p>
    <w:p>
      <w:pPr>
        <w:pStyle w:val="BodyText"/>
      </w:pPr>
      <w:r>
        <w:rPr>
          <w:b/>
          <w:bCs/>
        </w:rPr>
        <w:t xml:space="preserve">Seating chart side-effects</w:t>
      </w:r>
      <w:r>
        <w:t xml:space="preserve"> </w:t>
      </w:r>
      <w:r>
        <w:t xml:space="preserve">(§ 12.8): when a count change applies, seating chart adds tables · print pack flags</w:t>
      </w:r>
      <w:r>
        <w:t xml:space="preserve"> </w:t>
      </w:r>
      <w:r>
        <w:t xml:space="preserve">“outdated”</w:t>
      </w:r>
      <w:r>
        <w:t xml:space="preserve"> </w:t>
      </w:r>
      <w:r>
        <w:t xml:space="preserve">· name cards/favors quantity auto-updates · catering vendor’s plate count updates in</w:t>
      </w:r>
      <w:r>
        <w:t xml:space="preserve"> </w:t>
      </w:r>
      <w:r>
        <w:rPr>
          <w:rStyle w:val="VerbatimChar"/>
        </w:rPr>
        <w:t xml:space="preserve">vendor_event_window.confirmed_guest_count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Audit log</w:t>
      </w:r>
      <w:r>
        <w:t xml:space="preserve"> </w:t>
      </w:r>
      <w:r>
        <w:t xml:space="preserve">(§ 12.9):</w:t>
      </w:r>
      <w:r>
        <w:t xml:space="preserve"> </w:t>
      </w:r>
      <w:r>
        <w:rPr>
          <w:rStyle w:val="VerbatimChar"/>
        </w:rPr>
        <w:t xml:space="preserve">event_guest_count_log</w:t>
      </w:r>
      <w:r>
        <w:t xml:space="preserve"> </w:t>
      </w:r>
      <w:r>
        <w:t xml:space="preserve">writes a row per applied change.</w:t>
      </w:r>
    </w:p>
    <w:bookmarkEnd w:id="19"/>
    <w:bookmarkStart w:id="20" w:name="Xc881a69306f9582534ab9a8f21bfb87b01ff499"/>
    <w:p>
      <w:pPr>
        <w:pStyle w:val="Heading3"/>
      </w:pPr>
      <w:r>
        <w:t xml:space="preserve">2.4 § 13 — Per-vendor change-acceptance cutoffs (meta-rule applying to § 10/11/12)</w:t>
      </w:r>
    </w:p>
    <w:p>
      <w:pPr>
        <w:pStyle w:val="FirstParagraph"/>
      </w:pPr>
      <w:r>
        <w:t xml:space="preserve">Each vendor declares at onboarding how close to the event they’ll accept changes to date / venue / guest count. Once any confirmed vendor is past their stated cutoff, the corresponding change attempt is BLOCKED OUTRIGHT. Admin override is the only forward path.</w:t>
      </w:r>
    </w:p>
    <w:p>
      <w:pPr>
        <w:pStyle w:val="BodyText"/>
      </w:pPr>
      <w:r>
        <w:rPr>
          <w:b/>
          <w:bCs/>
        </w:rPr>
        <w:t xml:space="preserve">Three cutoff fields</w:t>
      </w:r>
      <w:r>
        <w:t xml:space="preserve"> </w:t>
      </w:r>
      <w:r>
        <w:t xml:space="preserve">(§ 13.1) on the vendor record: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date_change_cutoff_days_before_event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venue_change_cutoff_days_before_event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guest_count_change_cutoff_days_before_event</w:t>
      </w:r>
      <w:r>
        <w:t xml:space="preserve"> </w:t>
      </w:r>
      <w:r>
        <w:t xml:space="preserve">(NULL = not guest-count-dependent)</w:t>
      </w:r>
    </w:p>
    <w:p>
      <w:pPr>
        <w:pStyle w:val="BodyText"/>
      </w:pPr>
      <w:r>
        <w:t xml:space="preserve">Cutoff windows inclusive of the day itself (T-30 means T-30 is the last day to initiate, T-29 is past cutoff).</w:t>
      </w:r>
    </w:p>
    <w:p>
      <w:pPr>
        <w:pStyle w:val="BodyText"/>
      </w:pPr>
      <w:r>
        <w:rPr>
          <w:b/>
          <w:bCs/>
        </w:rPr>
        <w:t xml:space="preserve">V1 default values</w:t>
      </w:r>
      <w:r>
        <w:t xml:space="preserve"> </w:t>
      </w:r>
      <w:r>
        <w:t xml:space="preserve">(§ 13.2) pre-filled at vendor account creation. These are conservative starter values — owner should review with real vendor feedback during early onboarding.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 category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Guest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Catering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Florals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bar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Lights &amp; sound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cards / favors / print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Videography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HMUA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 / coordinator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stream / broadcast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Pre-flight check</w:t>
      </w:r>
      <w:r>
        <w:t xml:space="preserve"> </w:t>
      </w:r>
      <w:r>
        <w:t xml:space="preserve">(§ 13.3) runs before the § 10.1 / § 11.1 / § 12.3 confirmation modal. If any vendor is past cutoff, a dedicated past-cutoff modal fires instead, listing blocking vendors + their cutoff dates + a</w:t>
      </w:r>
      <w:r>
        <w:t xml:space="preserve"> </w:t>
      </w:r>
      <w:r>
        <w:t xml:space="preserve">“Request admin override”</w:t>
      </w:r>
      <w:r>
        <w:t xml:space="preserve"> </w:t>
      </w:r>
      <w:r>
        <w:t xml:space="preserve">CTA. No reason field, no vendor cards.</w:t>
      </w:r>
    </w:p>
    <w:p>
      <w:pPr>
        <w:pStyle w:val="BodyText"/>
      </w:pPr>
      <w:r>
        <w:rPr>
          <w:b/>
          <w:bCs/>
        </w:rPr>
        <w:t xml:space="preserve">Retroactivity rule</w:t>
      </w:r>
      <w:r>
        <w:t xml:space="preserve"> </w:t>
      </w:r>
      <w:r>
        <w:t xml:space="preserve">(§ 13.5): vendor edits to cutoffs in 0022 do NOT apply retroactively to already-confirmed bookings. Cutoffs are snapshotted to</w:t>
      </w:r>
      <w:r>
        <w:t xml:space="preserve"> </w:t>
      </w:r>
      <w:r>
        <w:rPr>
          <w:rStyle w:val="VerbatimChar"/>
        </w:rPr>
        <w:t xml:space="preserve">vendor_event_window.effective_*_cutoff</w:t>
      </w:r>
      <w:r>
        <w:t xml:space="preserve"> </w:t>
      </w:r>
      <w:r>
        <w:t xml:space="preserve">at booking confirmation time. Closes the adversarial edge case where a vendor could shorten their cutoff mid-engagement to block the couple.</w:t>
      </w:r>
    </w:p>
    <w:p>
      <w:pPr>
        <w:pStyle w:val="BodyText"/>
      </w:pPr>
      <w:r>
        <w:rPr>
          <w:b/>
          <w:bCs/>
        </w:rPr>
        <w:t xml:space="preserve">In-flight protection</w:t>
      </w:r>
      <w:r>
        <w:t xml:space="preserve"> </w:t>
      </w:r>
      <w:r>
        <w:t xml:space="preserve">(§ 13.6): changes initiated before the cutoff date and currently pending continue to run to completion even if the cutoff falls during the negotiation window. Cutoffs apply to NEW attempts, not in-progress ones.</w:t>
      </w:r>
    </w:p>
    <w:p>
      <w:pPr>
        <w:pStyle w:val="BodyText"/>
      </w:pPr>
      <w:r>
        <w:rPr>
          <w:b/>
          <w:bCs/>
        </w:rPr>
        <w:t xml:space="preserve">Admin override path</w:t>
      </w:r>
      <w:r>
        <w:t xml:space="preserve"> </w:t>
      </w:r>
      <w:r>
        <w:t xml:space="preserve">(§ 13.7): only forward path past cutoff. Couple files via 0029 → mediator reaches out to each past-cutoff vendor individually. Override actions log to</w:t>
      </w:r>
      <w:r>
        <w:t xml:space="preserve"> </w:t>
      </w:r>
      <w:r>
        <w:rPr>
          <w:rStyle w:val="VerbatimChar"/>
        </w:rPr>
        <w:t xml:space="preserve">dispute_resolutions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cause = 'past_cutoff_override'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Cross-references</w:t>
      </w:r>
      <w:r>
        <w:t xml:space="preserve"> </w:t>
      </w:r>
      <w:r>
        <w:t xml:space="preserve">added to top of § 10, § 11, § 12 as one-line italic notes pointing back to § 13.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e1e96ac490526d0ea13bfdecea753a82844fdbb"/>
    <w:p>
      <w:pPr>
        <w:pStyle w:val="Heading2"/>
      </w:pPr>
      <w:r>
        <w:t xml:space="preserve">3. What got compiled this session (</w:t>
      </w:r>
      <w:hyperlink r:id="rId22">
        <w:r>
          <w:rPr>
            <w:rStyle w:val="VerbatimChar"/>
          </w:rPr>
          <w:t xml:space="preserve">Pricing.md</w:t>
        </w:r>
      </w:hyperlink>
      <w:r>
        <w:t xml:space="preserve"> </w:t>
      </w:r>
      <w:r>
        <w:t xml:space="preserve">at corpus root)</w:t>
      </w:r>
    </w:p>
    <w:p>
      <w:pPr>
        <w:pStyle w:val="FirstParagraph"/>
      </w:pPr>
      <w:r>
        <w:t xml:space="preserve">Single consolidated MD doc compiling every Setnayan-platform price + vendor-side fee structure. Cross-references each row to its owning iteration</w:t>
      </w:r>
      <w:r>
        <w:t xml:space="preserve"> </w:t>
      </w:r>
      <w:r>
        <w:rPr>
          <w:rStyle w:val="VerbatimChar"/>
        </w:rPr>
        <w:t xml:space="preserve">.md</w:t>
      </w:r>
      <w:r>
        <w:t xml:space="preserve">. This doc didn’t exist before today — pricing was scattered across CLAUDE.md sections, individual iteration files, and 05_Financials xlsx workbooks.</w:t>
      </w:r>
    </w:p>
    <w:p>
      <w:pPr>
        <w:pStyle w:val="BodyText"/>
      </w:pPr>
      <w:r>
        <w:rPr>
          <w:b/>
          <w:bCs/>
        </w:rPr>
        <w:t xml:space="preserve">Structure (12 sections):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Pricing rules</w:t>
      </w:r>
      <w:r>
        <w:t xml:space="preserve"> </w:t>
      </w:r>
      <w:r>
        <w:t xml:space="preserve">— currency / centavos / charm ladder / apparatus principle / wallet-retired / no-refund tag rules / 2D billing model / Cost Watch primitive / two-admin frequency gate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 couple-side SKUs</w:t>
      </w:r>
      <w:r>
        <w:t xml:space="preserve"> </w:t>
      </w:r>
      <w:r>
        <w:t xml:space="preserve">— Papic (11 SKUs · 4 marked V1.5+ deferred) · Panood (11) · Patiktok (2) · Save-the-Date · Invitation Widgets Pro · Pakanta · Bespoke Monogram · 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Setnayan Concierge</w:t>
      </w:r>
      <w:r>
        <w:t xml:space="preserve"> </w:t>
      </w:r>
      <w:r>
        <w:t xml:space="preserve">— ₱4,999 / 12mo single tier + 3-day card-less trial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Vendor-side platform SKUs</w:t>
      </w:r>
      <w:r>
        <w:t xml:space="preserve"> </w:t>
      </w:r>
      <w:r>
        <w:t xml:space="preserve">— Vendor Pro · Extended Pin · Boosted Ads 5/10/20km (charm-corrected) · Sponsored Boost Quarterly/Annual (charm-corrected) · 5 tool integrations · All Tools Unlock Bundle · QR Retrieval drop-in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Vendor-to-couple fee structures</w:t>
      </w:r>
      <w:r>
        <w:t xml:space="preserve"> </w:t>
      </w:r>
      <w:r>
        <w:t xml:space="preserve">— reschedule / relocation / per-head policies + the § 13 cutoff defaults; illustrative numbers from § 11.3 / § 12.3 labeled clearly as examples (NOT platform-mandated rates)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Cost-per-event reference</w:t>
      </w:r>
      <w:r>
        <w:t xml:space="preserve"> </w:t>
      </w:r>
      <w:r>
        <w:t xml:space="preserve">— refreshed margin table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CLAUDE.md cheat-sheet drift notes</w:t>
      </w:r>
      <w:r>
        <w:t xml:space="preserve"> </w:t>
      </w:r>
      <w:r>
        <w:t xml:space="preserve">— 8 stale rows flagged for owner reconciliation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Retired SKUs</w:t>
      </w:r>
      <w:r>
        <w:t xml:space="preserve"> </w:t>
      </w:r>
      <w:r>
        <w:t xml:space="preserve">— 16-row historical context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Companion artifacts</w:t>
      </w:r>
      <w:r>
        <w:t xml:space="preserve"> </w:t>
      </w:r>
      <w:r>
        <w:t xml:space="preserve">— 5 xlsx + 2 docx in 05_Financials/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Cross-references</w:t>
      </w:r>
      <w:r>
        <w:t xml:space="preserve"> </w:t>
      </w:r>
      <w:r>
        <w:t xml:space="preserve">to every price-touching iteration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protocol</w:t>
      </w:r>
      <w:r>
        <w:t xml:space="preserve"> </w:t>
      </w:r>
      <w:r>
        <w:t xml:space="preserve">— current hand-edit workflow + future canonical workflow (admin → DB → generated, ships with 0023 § 3.12)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Companions</w:t>
      </w:r>
      <w:r>
        <w:t xml:space="preserve"> </w:t>
      </w:r>
      <w:r>
        <w:t xml:space="preserve">— Pricing.docx Word mirror</w:t>
      </w:r>
    </w:p>
    <w:p>
      <w:pPr>
        <w:pStyle w:val="FirstParagraph"/>
      </w:pPr>
      <w:r>
        <w:rPr>
          <w:rStyle w:val="VerbatimChar"/>
          <w:b/>
          <w:bCs/>
        </w:rPr>
        <w:t xml:space="preserve">Pricing.docx</w:t>
      </w:r>
      <w:r>
        <w:rPr>
          <w:b/>
          <w:bCs/>
        </w:rPr>
        <w:t xml:space="preserve"> </w:t>
      </w:r>
      <w:r>
        <w:rPr>
          <w:b/>
          <w:bCs/>
        </w:rPr>
        <w:t xml:space="preserve">mirror</w:t>
      </w:r>
      <w:r>
        <w:t xml:space="preserve"> </w:t>
      </w:r>
      <w:r>
        <w:t xml:space="preserve">regenerated via pandoc, current with all content.</w:t>
      </w:r>
    </w:p>
    <w:p>
      <w:r>
        <w:pict>
          <v:rect style="width:0;height:1.5pt" o:hralign="center" o:hrstd="t" o:hr="t"/>
        </w:pict>
      </w:r>
    </w:p>
    <w:bookmarkEnd w:id="23"/>
    <w:bookmarkStart w:id="25" w:name="X22f95d12b6e55e87bb45cc651cecce3f669127d"/>
    <w:p>
      <w:pPr>
        <w:pStyle w:val="Heading2"/>
      </w:pPr>
      <w:r>
        <w:t xml:space="preserve">4. What got added this session (iteration 0023 § 3.12 — new admin surface)</w:t>
      </w:r>
    </w:p>
    <w:p>
      <w:pPr>
        <w:pStyle w:val="FirstParagraph"/>
      </w:pPr>
      <w:r>
        <w:t xml:space="preserve">A new tenth admin surface at</w:t>
      </w:r>
      <w:r>
        <w:t xml:space="preserve"> </w:t>
      </w:r>
      <w:r>
        <w:rPr>
          <w:rStyle w:val="VerbatimChar"/>
        </w:rPr>
        <w:t xml:space="preserve">/admin/addons</w:t>
      </w:r>
      <w:r>
        <w:t xml:space="preserve"> </w:t>
      </w:r>
      <w:r>
        <w:t xml:space="preserve">that mirrors the customer-facing add-ons grid visually but routes each tile to admin-only settings. Lives in</w:t>
      </w:r>
      <w:r>
        <w:t xml:space="preserve"> </w:t>
      </w:r>
      <w:hyperlink r:id="rId24">
        <w:r>
          <w:rPr>
            <w:rStyle w:val="VerbatimChar"/>
          </w:rPr>
          <w:t xml:space="preserve">0023_admin_console/0023_admin_console.md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Surface count update</w:t>
      </w:r>
      <w:r>
        <w:t xml:space="preserve"> </w:t>
      </w:r>
      <w:r>
        <w:t xml:space="preserve">(§ 1): 9 → 10. Mobile</w:t>
      </w:r>
      <w:r>
        <w:t xml:space="preserve"> </w:t>
      </w:r>
      <w:r>
        <w:t xml:space="preserve">“More”</w:t>
      </w:r>
      <w:r>
        <w:t xml:space="preserve"> </w:t>
      </w:r>
      <w:r>
        <w:t xml:space="preserve">tab gains the new surface.</w:t>
      </w:r>
    </w:p>
    <w:p>
      <w:pPr>
        <w:pStyle w:val="BodyText"/>
      </w:pPr>
      <w:r>
        <w:rPr>
          <w:b/>
          <w:bCs/>
        </w:rPr>
        <w:t xml:space="preserve">Two-tab card layout</w:t>
      </w:r>
      <w:r>
        <w:t xml:space="preserve"> </w:t>
      </w:r>
      <w:r>
        <w:t xml:space="preserve">(§ 3.12.1):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Add-ons tab</w:t>
      </w:r>
      <w:r>
        <w:t xml:space="preserve"> </w:t>
      </w:r>
      <w:r>
        <w:t xml:space="preserve">— mirrors</w:t>
      </w:r>
      <w:r>
        <w:t xml:space="preserve"> </w:t>
      </w:r>
      <w:r>
        <w:rPr>
          <w:rStyle w:val="VerbatimChar"/>
        </w:rPr>
        <w:t xml:space="preserve">/dashboard/[event_id]/add-ons</w:t>
      </w:r>
      <w:r>
        <w:t xml:space="preserve"> </w:t>
      </w:r>
      <w:r>
        <w:t xml:space="preserve">(per 0021 § 4.4) tile-for-tile + admin-only tiles for SKUs absent from the customer grid (Concierge · Same-Day Edit · Pakanta tiers · Bespoke Monogram · Custom Save-the-Date variants)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Add-ons tab</w:t>
      </w:r>
      <w:r>
        <w:t xml:space="preserve"> </w:t>
      </w:r>
      <w:r>
        <w:t xml:space="preserve">— first canonical visualization of vendor-purchasable SKUs (Pro Weekly · Extended Pin · Boosted Ads · Sponsored Boost · 5 tool integrations · All Tools Unlock · QR Retrieval)</w:t>
      </w:r>
    </w:p>
    <w:p>
      <w:pPr>
        <w:pStyle w:val="BodyText"/>
      </w:pPr>
      <w:r>
        <w:rPr>
          <w:b/>
          <w:bCs/>
        </w:rPr>
        <w:t xml:space="preserve">Per-tile metadata at a glance:</w:t>
      </w:r>
      <w:r>
        <w:t xml:space="preserve"> </w:t>
      </w:r>
      <w:r>
        <w:t xml:space="preserve">icon · name · price + 2D billing chip · eligibility dots per account type (🟢/⚫) · lifetime purchase count · Cost Watch health flag (🟢/🟡/🔴).</w:t>
      </w:r>
    </w:p>
    <w:p>
      <w:pPr>
        <w:pStyle w:val="BodyText"/>
      </w:pPr>
      <w:r>
        <w:rPr>
          <w:b/>
          <w:bCs/>
        </w:rPr>
        <w:t xml:space="preserve">Per-SKU drawer (4 tabs, right-side · 480 px on desktop · bottom-sheet on mobile):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Eligibility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feature_policy</w:t>
      </w:r>
      <w:r>
        <w:t xml:space="preserve"> </w:t>
      </w:r>
      <w:r>
        <w:t xml:space="preserve">toggles + per-account-type</w:t>
      </w:r>
      <w:r>
        <w:t xml:space="preserve"> </w:t>
      </w:r>
      <w:r>
        <w:rPr>
          <w:rStyle w:val="VerbatimChar"/>
        </w:rPr>
        <w:t xml:space="preserve">block_reason_*</w:t>
      </w:r>
      <w:r>
        <w:t xml:space="preserve"> </w:t>
      </w:r>
      <w:r>
        <w:t xml:space="preserve">text +</w:t>
      </w:r>
      <w:r>
        <w:t xml:space="preserve"> </w:t>
      </w:r>
      <w:r>
        <w:rPr>
          <w:rStyle w:val="VerbatimChar"/>
        </w:rPr>
        <w:t xml:space="preserve">event_feature_policy_override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— current state read + edit panel (charm-ladder helper · delta auto-flag at &gt;₱500 triggers two-admin gate · frequency-change two-admin gate · required reason field · inline</w:t>
      </w:r>
      <w:r>
        <w:t xml:space="preserve"> </w:t>
      </w:r>
      <w:r>
        <w:rPr>
          <w:rStyle w:val="VerbatimChar"/>
        </w:rPr>
        <w:t xml:space="preserve">service_catalog_price_history</w:t>
      </w:r>
      <w:r>
        <w:t xml:space="preserve"> </w:t>
      </w:r>
      <w:r>
        <w:t xml:space="preserve">last 10 changes)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users</w:t>
      </w:r>
      <w:r>
        <w:t xml:space="preserve"> </w:t>
      </w:r>
      <w:r>
        <w:t xml:space="preserve">— paid + active orders filtered by couple/vendor · row click → user detail § 3.4 · subscription-state distinction for recurring SKUs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Statistics</w:t>
      </w:r>
      <w:r>
        <w:t xml:space="preserve"> </w:t>
      </w:r>
      <w:r>
        <w:t xml:space="preserve">— lifetime purchases · active subs · revenue · conversion rate · distinct event count · Cost Watch metrics · time-series purchase chart</w:t>
      </w:r>
    </w:p>
    <w:p>
      <w:pPr>
        <w:pStyle w:val="FirstParagraph"/>
      </w:pPr>
      <w:r>
        <w:rPr>
          <w:b/>
          <w:bCs/>
        </w:rPr>
        <w:t xml:space="preserve">Pricing Report Generation button</w:t>
      </w:r>
      <w:r>
        <w:t xml:space="preserve"> </w:t>
      </w:r>
      <w:r>
        <w:t xml:space="preserve">(single-admin · read-only-from-DB): queries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feature_policy</w:t>
      </w:r>
      <w:r>
        <w:t xml:space="preserve"> </w:t>
      </w:r>
      <w:r>
        <w:t xml:space="preserve">+ price history + Cost Watch → renders templated Markdown matching</w:t>
      </w:r>
      <w:r>
        <w:t xml:space="preserve"> </w:t>
      </w:r>
      <w:r>
        <w:rPr>
          <w:rStyle w:val="VerbatimChar"/>
        </w:rPr>
        <w:t xml:space="preserve">Pricing.md</w:t>
      </w:r>
      <w:r>
        <w:t xml:space="preserve"> </w:t>
      </w:r>
      <w:r>
        <w:t xml:space="preserve">structure → writes immutable snapshot to</w:t>
      </w:r>
      <w:r>
        <w:t xml:space="preserve"> </w:t>
      </w:r>
      <w:r>
        <w:rPr>
          <w:rStyle w:val="VerbatimChar"/>
        </w:rPr>
        <w:t xml:space="preserve">/admin/addons/reports/{ISO_ts}.md</w:t>
      </w:r>
      <w:r>
        <w:t xml:space="preserve"> </w:t>
      </w:r>
      <w:r>
        <w:t xml:space="preserve">AND overwrites corpus-root</w:t>
      </w:r>
      <w:r>
        <w:t xml:space="preserve"> </w:t>
      </w:r>
      <w:r>
        <w:rPr>
          <w:rStyle w:val="VerbatimChar"/>
        </w:rPr>
        <w:t xml:space="preserve">Pricing.md</w:t>
      </w:r>
      <w:r>
        <w:t xml:space="preserve"> </w:t>
      </w:r>
      <w:r>
        <w:t xml:space="preserve">AND regenerates</w:t>
      </w:r>
      <w:r>
        <w:t xml:space="preserve"> </w:t>
      </w:r>
      <w:r>
        <w:rPr>
          <w:rStyle w:val="VerbatimChar"/>
        </w:rPr>
        <w:t xml:space="preserve">Pricing.docx</w:t>
      </w:r>
      <w:r>
        <w:t xml:space="preserve"> </w:t>
      </w:r>
      <w:r>
        <w:t xml:space="preserve">via pandoc.</w:t>
      </w:r>
    </w:p>
    <w:p>
      <w:pPr>
        <w:pStyle w:val="BodyText"/>
      </w:pPr>
      <w:r>
        <w:rPr>
          <w:b/>
          <w:bCs/>
        </w:rPr>
        <w:t xml:space="preserve">No new schema.</w:t>
      </w:r>
      <w:r>
        <w:t xml:space="preserve"> </w:t>
      </w:r>
      <w:r>
        <w:t xml:space="preserve">Leverages existing tables —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event_feature_policy_override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service_render_costs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service_catalog_cost_watch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V1.5+ deferred:</w:t>
      </w:r>
      <w:r>
        <w:t xml:space="preserve"> </w:t>
      </w:r>
      <w:r>
        <w:t xml:space="preserve">nightly pg_cron auto-regeneration · Slack/email change notifications ·</w:t>
      </w:r>
      <w:r>
        <w:t xml:space="preserve"> </w:t>
      </w:r>
      <w:r>
        <w:rPr>
          <w:rStyle w:val="VerbatimChar"/>
        </w:rPr>
        <w:t xml:space="preserve">Pricing.pdf</w:t>
      </w:r>
      <w:r>
        <w:t xml:space="preserve"> </w:t>
      </w:r>
      <w:r>
        <w:t xml:space="preserve">mirror · external</w:t>
      </w:r>
      <w:r>
        <w:t xml:space="preserve"> </w:t>
      </w:r>
      <w:r>
        <w:rPr>
          <w:rStyle w:val="VerbatimChar"/>
        </w:rPr>
        <w:t xml:space="preserve">GET /api/v1/pricing</w:t>
      </w:r>
      <w:r>
        <w:t xml:space="preserve"> </w:t>
      </w:r>
      <w:r>
        <w:t xml:space="preserve">read endpoint.</w:t>
      </w:r>
    </w:p>
    <w:p>
      <w:pPr>
        <w:pStyle w:val="BodyText"/>
      </w:pPr>
      <w:r>
        <w:rPr>
          <w:b/>
          <w:bCs/>
        </w:rPr>
        <w:t xml:space="preserve">Complement to § 3.5, not replacement.</w:t>
      </w:r>
      <w:r>
        <w:t xml:space="preserve"> </w:t>
      </w:r>
      <w:r>
        <w:t xml:space="preserve">§ 3.5 stays as the engineering / audit tabular grid (spreadsheet density · bulk operations). § 3.12 is the product / strategy card view. Both edit the same underlying tables.</w:t>
      </w:r>
    </w:p>
    <w:p>
      <w:r>
        <w:pict>
          <v:rect style="width:0;height:1.5pt" o:hralign="center" o:hrstd="t" o:hr="t"/>
        </w:pict>
      </w:r>
    </w:p>
    <w:bookmarkEnd w:id="25"/>
    <w:bookmarkStart w:id="26" w:name="decision-log-rows-added-this-session"/>
    <w:p>
      <w:pPr>
        <w:pStyle w:val="Heading2"/>
      </w:pPr>
      <w:r>
        <w:t xml:space="preserve">5. Decision log rows added this session</w:t>
      </w:r>
    </w:p>
    <w:p>
      <w:pPr>
        <w:pStyle w:val="FirstParagraph"/>
      </w:pPr>
      <w:r>
        <w:t xml:space="preserve">Each row is in</w:t>
      </w:r>
      <w:r>
        <w:t xml:space="preserve"> </w:t>
      </w:r>
      <w:hyperlink r:id="rId9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at the bottom (search</w:t>
      </w:r>
      <w:r>
        <w:t xml:space="preserve"> </w:t>
      </w:r>
      <w:r>
        <w:rPr>
          <w:rStyle w:val="VerbatimChar"/>
        </w:rPr>
        <w:t xml:space="preserve">## Decision log</w:t>
      </w:r>
      <w:r>
        <w:t xml:space="preserve">). All dated 2026-05-17. In chronological order of addition: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Date-change flow with booked vendors</w:t>
      </w:r>
      <w:r>
        <w:t xml:space="preserve"> </w:t>
      </w:r>
      <w:r>
        <w:t xml:space="preserve">— multi-party state machine for iteration 0021 § 10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Venue-change flow</w:t>
      </w:r>
      <w:r>
        <w:t xml:space="preserve"> </w:t>
      </w:r>
      <w:r>
        <w:t xml:space="preserve">— reuses date state machine with coverage-check substitution + auto-accept radius for § 11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Guest-count change flow</w:t>
      </w:r>
      <w:r>
        <w:t xml:space="preserve"> </w:t>
      </w:r>
      <w:r>
        <w:t xml:space="preserve">— monotonic ratchet with vendor confirmation on increases, decreases blocked outright for § 12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Per-vendor change-acceptance cutoffs</w:t>
      </w:r>
      <w:r>
        <w:t xml:space="preserve"> </w:t>
      </w:r>
      <w:r>
        <w:t xml:space="preserve">— three cutoff fields per vendor at onboarding · V1 defaults · retroactivity snapshot rule for § 13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Consolidated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Pricing.md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doc created at corpus root</w:t>
      </w:r>
      <w:r>
        <w:t xml:space="preserve"> </w:t>
      </w:r>
      <w:r>
        <w:t xml:space="preserve">— what’s in it + drift notes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Add-on Management surface</w:t>
      </w:r>
      <w:r>
        <w:t xml:space="preserve"> </w:t>
      </w:r>
      <w:r>
        <w:t xml:space="preserve">— new tenth admin surface in 0023 § 3.12</w:t>
      </w:r>
    </w:p>
    <w:p>
      <w:pPr>
        <w:pStyle w:val="FirstParagraph"/>
      </w:pPr>
      <w:r>
        <w:t xml:space="preserve">All cross-iteration impacts documented per row.</w:t>
      </w:r>
    </w:p>
    <w:p>
      <w:r>
        <w:pict>
          <v:rect style="width:0;height:1.5pt" o:hralign="center" o:hrstd="t" o:hr="t"/>
        </w:pict>
      </w:r>
    </w:p>
    <w:bookmarkEnd w:id="26"/>
    <w:bookmarkStart w:id="34" w:name="open-items-pending-owner-decisions"/>
    <w:p>
      <w:pPr>
        <w:pStyle w:val="Heading2"/>
      </w:pPr>
      <w:r>
        <w:t xml:space="preserve">6. Open items / pending owner decisions</w:t>
      </w:r>
    </w:p>
    <w:bookmarkStart w:id="27" w:name="v1-default-cutoff-values-in-13.2"/>
    <w:p>
      <w:pPr>
        <w:pStyle w:val="Heading3"/>
      </w:pPr>
      <w:r>
        <w:t xml:space="preserve">6.1 V1 default cutoff values in § 13.2</w:t>
      </w:r>
    </w:p>
    <w:p>
      <w:pPr>
        <w:pStyle w:val="FirstParagraph"/>
      </w:pPr>
      <w:r>
        <w:t xml:space="preserve">The 10-row category × 3-cutoff matrix in § 13.2 are starter guesses I picked based on industry norms (catering 30/21/14 days · photography 7/3/NULL · etc.). Owner should review with real vendor feedback during early onboarding before locking these as final. They’re editable on a per-vendor basis at onboarding, so this is a launch-tunable.</w:t>
      </w:r>
    </w:p>
    <w:bookmarkEnd w:id="27"/>
    <w:bookmarkStart w:id="28" w:name="X56b296e8f6b91574321fb0b1f1023907f16a310"/>
    <w:p>
      <w:pPr>
        <w:pStyle w:val="Heading3"/>
      </w:pPr>
      <w:r>
        <w:t xml:space="preserve">6.2 Custom Monogram Pack vs Bespoke Monogram reconciliation</w:t>
      </w:r>
    </w:p>
    <w:p>
      <w:pPr>
        <w:pStyle w:val="FirstParagraph"/>
      </w:pPr>
      <w:r>
        <w:t xml:space="preserve">Pricing inventory flagged a conflict:</w:t>
      </w:r>
      <w:r>
        <w:t xml:space="preserve"> </w:t>
      </w:r>
      <w:r>
        <w:t xml:space="preserve">- Iteration 0021 § 1 (active apparatus table) still lists</w:t>
      </w:r>
      <w:r>
        <w:t xml:space="preserve"> </w:t>
      </w:r>
      <w:r>
        <w:t xml:space="preserve">“Custom Monogram Pack · ₱2,000 · Active — event-wide flag ON”</w:t>
      </w:r>
      <w:r>
        <w:t xml:space="preserve"> </w:t>
      </w:r>
      <w:r>
        <w:t xml:space="preserve">- Iteration 0037 introduces</w:t>
      </w:r>
      <w:r>
        <w:t xml:space="preserve"> </w:t>
      </w:r>
      <w:r>
        <w:t xml:space="preserve">“Bespoke Monogram · ₱2,999”</w:t>
      </w:r>
      <w:r>
        <w:t xml:space="preserve"> </w:t>
      </w:r>
      <w:r>
        <w:t xml:space="preserve">as a replacement</w:t>
      </w:r>
      <w:r>
        <w:t xml:space="preserve"> </w:t>
      </w:r>
      <w:r>
        <w:t xml:space="preserve">- The Explore sweep classified Custom Monogram Pack as RETIRED 2026-05-14, but the 0021 spec text suggests otherwise</w:t>
      </w:r>
    </w:p>
    <w:p>
      <w:pPr>
        <w:pStyle w:val="BodyText"/>
      </w:pPr>
      <w:r>
        <w:t xml:space="preserve">Owner needs to sign off on which is canonical. Pricing.md § 7 flags this for reconciliation.</w:t>
      </w:r>
    </w:p>
    <w:bookmarkEnd w:id="28"/>
    <w:bookmarkStart w:id="29" w:name="Xb08a36c4fe21c0d2c8157b8c5859648692035d8"/>
    <w:p>
      <w:pPr>
        <w:pStyle w:val="Heading3"/>
      </w:pPr>
      <w:r>
        <w:t xml:space="preserve">6.3 CLAUDE.md § Cost-per-event cheat sheet drift</w:t>
      </w:r>
    </w:p>
    <w:p>
      <w:pPr>
        <w:pStyle w:val="FirstParagraph"/>
      </w:pPr>
      <w:r>
        <w:t xml:space="preserve">CLAUDE.md cheat sheet (line 117) is 8+ rows stale by 2026-05-17:</w:t>
      </w:r>
      <w:r>
        <w:t xml:space="preserve"> </w:t>
      </w:r>
      <w:r>
        <w:t xml:space="preserve">- Save-the-Date showing ₱49 (actual: ₱199 per 2026-05-17 reprice)</w:t>
      </w:r>
      <w:r>
        <w:t xml:space="preserve"> </w:t>
      </w:r>
      <w:r>
        <w:t xml:space="preserve">- Pro Widget tiers showing ₱99 (retired and superseded by Monogram Hero ₱1,999 + Live Schedule ₱999)</w:t>
      </w:r>
      <w:r>
        <w:t xml:space="preserve"> </w:t>
      </w:r>
      <w:r>
        <w:t xml:space="preserve">- Live Stream tier table completely obsolete (folded into Panood Daily Broadcast ₱2,499/day multi-cam built-in)</w:t>
      </w:r>
      <w:r>
        <w:t xml:space="preserve"> </w:t>
      </w:r>
      <w:r>
        <w:t xml:space="preserve">- Sponsored Boost ₱1,499/wk shown (retired and replaced by Boosted Ads 5/10/20km + Quarterly/Annual long-commits)</w:t>
      </w:r>
    </w:p>
    <w:p>
      <w:pPr>
        <w:pStyle w:val="BodyText"/>
      </w:pPr>
      <w:r>
        <w:t xml:space="preserve">Pricing.md § 7 documents this. Worth a refresh pass when convenient.</w:t>
      </w:r>
    </w:p>
    <w:bookmarkEnd w:id="29"/>
    <w:bookmarkStart w:id="30" w:name="chat-infrastructure-dependency"/>
    <w:p>
      <w:pPr>
        <w:pStyle w:val="Heading3"/>
      </w:pPr>
      <w:r>
        <w:t xml:space="preserve">6.4 0019 chat infrastructure dependency</w:t>
      </w:r>
    </w:p>
    <w:p>
      <w:pPr>
        <w:pStyle w:val="FirstParagraph"/>
      </w:pPr>
      <w:r>
        <w:t xml:space="preserve">§ 10, § 11, § 12, and § 13 all depend on iteration 0019 supporting</w:t>
      </w:r>
      <w:r>
        <w:t xml:space="preserve"> </w:t>
      </w:r>
      <w:r>
        <w:rPr>
          <w:b/>
          <w:bCs/>
        </w:rPr>
        <w:t xml:space="preserve">structured/interactive action cards as a first-class message type</w:t>
      </w:r>
      <w:r>
        <w:t xml:space="preserve">. The chat thread is the negotiation surface; action cards (Propose alternate / Accept / Cancel / Escalate) are what trigger state transitions. If 0019 today only supports plain text, that’s a real chunk of plumbing before any of the new flows can ship.</w:t>
      </w:r>
    </w:p>
    <w:p>
      <w:pPr>
        <w:pStyle w:val="BodyText"/>
      </w:pPr>
      <w:r>
        <w:t xml:space="preserve">Worth verifying when the date/venue/guest-count flows move to implementation.</w:t>
      </w:r>
    </w:p>
    <w:bookmarkEnd w:id="30"/>
    <w:bookmarkStart w:id="31" w:name="X759d95622fc64dc98c6c81e08533c8d05d9d499"/>
    <w:p>
      <w:pPr>
        <w:pStyle w:val="Heading3"/>
      </w:pPr>
      <w:r>
        <w:t xml:space="preserve">6.5 Setnayan platform SKU carve-out from cutoffs</w:t>
      </w:r>
    </w:p>
    <w:p>
      <w:pPr>
        <w:pStyle w:val="FirstParagraph"/>
      </w:pPr>
      <w:r>
        <w:t xml:space="preserve">§ 13 explicitly notes that the per-vendor cutoffs apply only to vendor bookings — Setnayan platform SKUs (Papic, Panood, Patiktok, LED, AI Highlights, etc.) have their own pre-event activation / rendering / fulfillment windows handled separately.</w:t>
      </w:r>
    </w:p>
    <w:p>
      <w:pPr>
        <w:pStyle w:val="BodyText"/>
      </w:pPr>
      <w:r>
        <w:t xml:space="preserve">Worth confirming with iterations 0011 (Panood) and 0012 (Papic) that those pre-event windows are spec’d; if not, that’s a gap worth filling separately.</w:t>
      </w:r>
    </w:p>
    <w:bookmarkEnd w:id="31"/>
    <w:bookmarkStart w:id="32" w:name="Xb953e9f8cf2f98dd472bf668f6b0b55122d092b"/>
    <w:p>
      <w:pPr>
        <w:pStyle w:val="Heading3"/>
      </w:pPr>
      <w:r>
        <w:t xml:space="preserve">6.6 0006 vendor onboarding · new fields to add coordinately</w:t>
      </w:r>
    </w:p>
    <w:p>
      <w:pPr>
        <w:pStyle w:val="FirstParagraph"/>
      </w:pPr>
      <w:r>
        <w:t xml:space="preserve">Across the four new sections (§ 10–13), iteration 0006 vendor onboarding is collecting NEW fields: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reschedule_fee_policy</w:t>
      </w:r>
      <w:r>
        <w:t xml:space="preserve"> </w:t>
      </w:r>
      <w:r>
        <w:t xml:space="preserve">(per-window fee structure)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relocation_fee_policy</w:t>
      </w:r>
      <w:r>
        <w:t xml:space="preserve"> </w:t>
      </w:r>
      <w:r>
        <w:t xml:space="preserve">(per-distance fee structure)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service_area_radius_km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auto_accept_venue_change_bool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is_guest_count_dependent</w:t>
      </w:r>
      <w:r>
        <w:t xml:space="preserve"> </w:t>
      </w:r>
      <w:r>
        <w:t xml:space="preserve">boolean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per_head_rate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per_table_rate</w:t>
      </w:r>
      <w:r>
        <w:t xml:space="preserve"> </w:t>
      </w:r>
      <w:r>
        <w:t xml:space="preserve">for dependent vendors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capacity_ceiling_curve</w:t>
      </w:r>
      <w:r>
        <w:t xml:space="preserve"> </w:t>
      </w:r>
      <w:r>
        <w:t xml:space="preserve">(max headcount at proximity-to-event)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date_change_cutoff_days_before_event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venue_change_cutoff_days_before_event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guest_count_change_cutoff_days_before_event</w:t>
      </w:r>
    </w:p>
    <w:p>
      <w:pPr>
        <w:pStyle w:val="FirstParagraph"/>
      </w:pPr>
      <w:r>
        <w:t xml:space="preserve">Worth a coordinated 0006 update when implementation begins to spec the onboarding form additions in one pass rather than piecemeal.</w:t>
      </w:r>
    </w:p>
    <w:bookmarkEnd w:id="32"/>
    <w:bookmarkStart w:id="33" w:name="implementation-prioritization"/>
    <w:p>
      <w:pPr>
        <w:pStyle w:val="Heading3"/>
      </w:pPr>
      <w:r>
        <w:t xml:space="preserve">6.7 0023 § 3.12 implementation prioritization</w:t>
      </w:r>
    </w:p>
    <w:p>
      <w:pPr>
        <w:pStyle w:val="FirstParagraph"/>
      </w:pPr>
      <w:r>
        <w:t xml:space="preserve">The new admin surface is a significant build — card grid · 4-tab drawer · pricing report generation · two-admin gate integration. Owner needs to decide:</w:t>
      </w:r>
      <w:r>
        <w:t xml:space="preserve"> </w:t>
      </w:r>
      <w:r>
        <w:t xml:space="preserve">- Fast-track to V1 launch (high-leverage operational tool)</w:t>
      </w:r>
      <w:r>
        <w:t xml:space="preserve"> </w:t>
      </w:r>
      <w:r>
        <w:t xml:space="preserve">- Or accept manual</w:t>
      </w:r>
      <w:r>
        <w:t xml:space="preserve"> </w:t>
      </w:r>
      <w:r>
        <w:rPr>
          <w:rStyle w:val="VerbatimChar"/>
        </w:rPr>
        <w:t xml:space="preserve">Pricing.md</w:t>
      </w:r>
      <w:r>
        <w:t xml:space="preserve"> </w:t>
      </w:r>
      <w:r>
        <w:t xml:space="preserve">editing through early access and ship § 3.12 in V1.5</w:t>
      </w:r>
    </w:p>
    <w:p>
      <w:pPr>
        <w:pStyle w:val="BodyText"/>
      </w:pPr>
      <w:r>
        <w:t xml:space="preserve">Until § 3.12 ships, the canonical workflow is the hand-edit pattern from</w:t>
      </w:r>
      <w:r>
        <w:t xml:space="preserve"> </w:t>
      </w:r>
      <w:r>
        <w:rPr>
          <w:rStyle w:val="VerbatimChar"/>
        </w:rPr>
        <w:t xml:space="preserve">Pricing.md</w:t>
      </w:r>
      <w:r>
        <w:t xml:space="preserve"> </w:t>
      </w:r>
      <w:r>
        <w:t xml:space="preserve">§ 11 (current text).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technical-environment-state"/>
    <w:p>
      <w:pPr>
        <w:pStyle w:val="Heading2"/>
      </w:pPr>
      <w:r>
        <w:t xml:space="preserve">7. Technical environment state</w:t>
      </w:r>
    </w:p>
    <w:bookmarkStart w:id="35" w:name="pandoc-installed-locally"/>
    <w:p>
      <w:pPr>
        <w:pStyle w:val="Heading3"/>
      </w:pPr>
      <w:r>
        <w:t xml:space="preserve">7.1 Pandoc installed locally</w:t>
      </w:r>
    </w:p>
    <w:p>
      <w:pPr>
        <w:pStyle w:val="Compact"/>
        <w:numPr>
          <w:ilvl w:val="0"/>
          <w:numId w:val="1008"/>
        </w:numPr>
      </w:pPr>
      <w:r>
        <w:t xml:space="preserve">Path:</w:t>
      </w:r>
      <w:r>
        <w:t xml:space="preserve"> </w:t>
      </w:r>
      <w:r>
        <w:rPr>
          <w:rStyle w:val="VerbatimChar"/>
        </w:rPr>
        <w:t xml:space="preserve">/Users/icecasasola/.local/bin/pandoc</w:t>
      </w:r>
    </w:p>
    <w:p>
      <w:pPr>
        <w:pStyle w:val="Compact"/>
        <w:numPr>
          <w:ilvl w:val="0"/>
          <w:numId w:val="1008"/>
        </w:numPr>
      </w:pPr>
      <w:r>
        <w:t xml:space="preserve">Version: 3.9.0.2 (arm64-macOS)</w:t>
      </w:r>
    </w:p>
    <w:p>
      <w:pPr>
        <w:pStyle w:val="Compact"/>
        <w:numPr>
          <w:ilvl w:val="0"/>
          <w:numId w:val="1008"/>
        </w:numPr>
      </w:pPr>
      <w:r>
        <w:t xml:space="preserve">Downloaded from GitHub releases (not via brew — brew not installed on this machine)</w:t>
      </w:r>
    </w:p>
    <w:p>
      <w:pPr>
        <w:pStyle w:val="Compact"/>
        <w:numPr>
          <w:ilvl w:val="0"/>
          <w:numId w:val="1008"/>
        </w:numPr>
      </w:pPr>
      <w:r>
        <w:t xml:space="preserve">Reversible: just delete the binary file</w:t>
      </w:r>
    </w:p>
    <w:p>
      <w:pPr>
        <w:pStyle w:val="Compact"/>
        <w:numPr>
          <w:ilvl w:val="0"/>
          <w:numId w:val="1008"/>
        </w:numPr>
      </w:pPr>
      <w:r>
        <w:t xml:space="preserve">Used to regenerate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mirrors for: 0021, 0023, Pricing</w:t>
      </w:r>
    </w:p>
    <w:p>
      <w:pPr>
        <w:pStyle w:val="FirstParagraph"/>
      </w:pPr>
      <w:r>
        <w:t xml:space="preserve">If the next Claude needs to regenerate any iteration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mirror: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/Users/icecasasola/Documents/Claude/Projects/Setnayan/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iteration_folder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/Users/icecasasola/.local/bin/pandoc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.docx</w:t>
      </w:r>
    </w:p>
    <w:bookmarkEnd w:id="35"/>
    <w:bookmarkStart w:id="39" w:name="files-touched-this-session"/>
    <w:p>
      <w:pPr>
        <w:pStyle w:val="Heading3"/>
      </w:pPr>
      <w:r>
        <w:t xml:space="preserve">7.2 Files touched this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Type of change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 new decision-log rows appended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0021_couple_dashboard_fully_purchased/0021_couple_dashboard_fully_purchased.md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New § 10, § 11, § 12, § 13 + cross-ref notes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0021_couple_dashboard_fully_purchased/0021_couple_dashboard_fully_purchased.docx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Regenerated (51.6 KB, was 31 KB)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0023_admin_console/0023_admin_console.md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New § 3.12 + § 1 surface count 9→10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0023_admin_console/0023_admin_console.docx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Regenerated (52.6 KB)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Pricing.md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NEW — consolidated reference doc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Pricing.docx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NEW — Word mirror</w:t>
            </w:r>
          </w:p>
        </w:tc>
      </w:tr>
    </w:tbl>
    <w:bookmarkEnd w:id="39"/>
    <w:bookmarkStart w:id="40" w:name="no-schema-additions-no-code-changes"/>
    <w:p>
      <w:pPr>
        <w:pStyle w:val="Heading3"/>
      </w:pPr>
      <w:r>
        <w:t xml:space="preserve">7.3 No schema additions, no code changes</w:t>
      </w:r>
    </w:p>
    <w:p>
      <w:pPr>
        <w:pStyle w:val="FirstParagraph"/>
      </w:pPr>
      <w:r>
        <w:t xml:space="preserve">This session was entirely spec corpus work. No DB migrations were authored. No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files were touched. All new schema referenced in the spec (e.g.,</w:t>
      </w:r>
      <w:r>
        <w:t xml:space="preserve"> </w:t>
      </w:r>
      <w:r>
        <w:rPr>
          <w:rStyle w:val="VerbatimChar"/>
        </w:rPr>
        <w:t xml:space="preserve">is_guest_count_dependent</w:t>
      </w:r>
      <w:r>
        <w:t xml:space="preserve">, the three cutoff fields,</w:t>
      </w:r>
      <w:r>
        <w:t xml:space="preserve"> </w:t>
      </w:r>
      <w:r>
        <w:rPr>
          <w:rStyle w:val="VerbatimChar"/>
        </w:rPr>
        <w:t xml:space="preserve">event_guest_count_log</w:t>
      </w:r>
      <w:r>
        <w:t xml:space="preserve">) is documented as a forward-dep for engineering pick-up.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how-to-resume"/>
    <w:p>
      <w:pPr>
        <w:pStyle w:val="Heading2"/>
      </w:pPr>
      <w:r>
        <w:t xml:space="preserve">8. How to resume</w:t>
      </w:r>
    </w:p>
    <w:bookmarkStart w:id="42" w:name="the-users-most-recent-posture"/>
    <w:p>
      <w:pPr>
        <w:pStyle w:val="Heading3"/>
      </w:pPr>
      <w:r>
        <w:t xml:space="preserve">8.1 The user’s most recent posture</w:t>
      </w:r>
    </w:p>
    <w:p>
      <w:pPr>
        <w:pStyle w:val="FirstParagraph"/>
      </w:pPr>
      <w:r>
        <w:t xml:space="preserve">The owner has been alternating between:</w:t>
      </w:r>
      <w:r>
        <w:t xml:space="preserve"> </w:t>
      </w:r>
      <w:r>
        <w:t xml:space="preserve">- Adding new customer-control flows (date change → venue → guest count → cutoffs)</w:t>
      </w:r>
      <w:r>
        <w:t xml:space="preserve"> </w:t>
      </w:r>
      <w:r>
        <w:t xml:space="preserve">- Asking for meta-references (Pricing.md, the admin Add-on Management surface)</w:t>
      </w:r>
      <w:r>
        <w:t xml:space="preserve"> </w:t>
      </w:r>
      <w:r>
        <w:t xml:space="preserve">- Confirming or refining proposed designs in tight back-and-forth</w:t>
      </w:r>
    </w:p>
    <w:p>
      <w:pPr>
        <w:pStyle w:val="BodyText"/>
      </w:pPr>
      <w:r>
        <w:t xml:space="preserve">They were just ready to keep going when the session paused. Likely next moves (from my prior offerings):</w:t>
      </w:r>
    </w:p>
    <w:p>
      <w:pPr>
        <w:pStyle w:val="Compact"/>
        <w:numPr>
          <w:ilvl w:val="0"/>
          <w:numId w:val="1009"/>
        </w:numPr>
      </w:pPr>
      <w:r>
        <w:t xml:space="preserve">Continue adding customer controls (vendor cancellation by couple · adding vendors mid-plan · cancelling Setnayan SKUs · co-planner access)</w:t>
      </w:r>
    </w:p>
    <w:p>
      <w:pPr>
        <w:pStyle w:val="Compact"/>
        <w:numPr>
          <w:ilvl w:val="0"/>
          <w:numId w:val="1009"/>
        </w:numPr>
      </w:pPr>
      <w:r>
        <w:t xml:space="preserve">Verify the 0019 chat-action-card dependency before more flows pile up</w:t>
      </w:r>
    </w:p>
    <w:p>
      <w:pPr>
        <w:pStyle w:val="Compact"/>
        <w:numPr>
          <w:ilvl w:val="0"/>
          <w:numId w:val="1009"/>
        </w:numPr>
      </w:pPr>
      <w:r>
        <w:t xml:space="preserve">Refresh the CLAUDE.md cheat sheet to clear the 8 stale rows flagged in Pricing.md § 7</w:t>
      </w:r>
    </w:p>
    <w:p>
      <w:pPr>
        <w:pStyle w:val="Compact"/>
        <w:numPr>
          <w:ilvl w:val="0"/>
          <w:numId w:val="1009"/>
        </w:numPr>
      </w:pPr>
      <w:r>
        <w:t xml:space="preserve">Reconcile Custom Monogram Pack vs Bespoke Monogram (open item 6.2)</w:t>
      </w:r>
    </w:p>
    <w:p>
      <w:pPr>
        <w:pStyle w:val="Compact"/>
        <w:numPr>
          <w:ilvl w:val="0"/>
          <w:numId w:val="1009"/>
        </w:numPr>
      </w:pPr>
      <w:r>
        <w:t xml:space="preserve">Pivot to implementation prioritization for any of the spec’d surfaces</w:t>
      </w:r>
    </w:p>
    <w:bookmarkEnd w:id="42"/>
    <w:bookmarkStart w:id="43" w:name="X9916eaf2684034615e1fb54d7dfa405bdf97d71"/>
    <w:p>
      <w:pPr>
        <w:pStyle w:val="Heading3"/>
      </w:pPr>
      <w:r>
        <w:t xml:space="preserve">8.2 If the next Claude needs to make spec edits</w:t>
      </w:r>
    </w:p>
    <w:p>
      <w:pPr>
        <w:pStyle w:val="FirstParagraph"/>
      </w:pPr>
      <w:r>
        <w:t xml:space="preserve">Follow the COWORK.md update sequence (lines 44–54):</w:t>
      </w:r>
    </w:p>
    <w:p>
      <w:pPr>
        <w:pStyle w:val="Compact"/>
        <w:numPr>
          <w:ilvl w:val="0"/>
          <w:numId w:val="1010"/>
        </w:numPr>
      </w:pPr>
      <w:r>
        <w:t xml:space="preserve">Capture the decision as a single paragraph with what + why</w:t>
      </w:r>
    </w:p>
    <w:p>
      <w:pPr>
        <w:pStyle w:val="Compact"/>
        <w:numPr>
          <w:ilvl w:val="0"/>
          <w:numId w:val="1010"/>
        </w:numPr>
      </w:pPr>
      <w:r>
        <w:t xml:space="preserve">Append a row to CLAUDE.md decision log at the bottom (search</w:t>
      </w:r>
      <w:r>
        <w:t xml:space="preserve"> </w:t>
      </w:r>
      <w:r>
        <w:rPr>
          <w:rStyle w:val="VerbatimChar"/>
        </w:rPr>
        <w:t xml:space="preserve">## Decision log</w:t>
      </w:r>
      <w:r>
        <w:t xml:space="preserve">; rows go in date order)</w:t>
      </w:r>
    </w:p>
    <w:p>
      <w:pPr>
        <w:pStyle w:val="Compact"/>
        <w:numPr>
          <w:ilvl w:val="0"/>
          <w:numId w:val="1010"/>
        </w:numPr>
      </w:pPr>
      <w:r>
        <w:t xml:space="preserve">Update affected iteration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10"/>
        </w:numPr>
      </w:pPr>
      <w:r>
        <w:t xml:space="preserve">Update memory if cross-iteration (per CLAUDE.md guidance)</w:t>
      </w:r>
    </w:p>
    <w:p>
      <w:pPr>
        <w:pStyle w:val="Compact"/>
        <w:numPr>
          <w:ilvl w:val="0"/>
          <w:numId w:val="101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index if a new memory file was created</w:t>
      </w:r>
    </w:p>
    <w:p>
      <w:pPr>
        <w:pStyle w:val="Compact"/>
        <w:numPr>
          <w:ilvl w:val="0"/>
          <w:numId w:val="1010"/>
        </w:numPr>
      </w:pPr>
      <w:r>
        <w:t xml:space="preserve">Regenerate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mirror via pandoc (path above)</w:t>
      </w:r>
    </w:p>
    <w:p>
      <w:pPr>
        <w:pStyle w:val="Compact"/>
        <w:numPr>
          <w:ilvl w:val="0"/>
          <w:numId w:val="1010"/>
        </w:numPr>
      </w:pPr>
      <w:r>
        <w:t xml:space="preserve">Acknowledge to the user with a succinct summary</w:t>
      </w:r>
    </w:p>
    <w:p>
      <w:pPr>
        <w:pStyle w:val="FirstParagraph"/>
      </w:pPr>
      <w:r>
        <w:t xml:space="preserve">The decision-log row pattern from this session: detailed multi-clause</w:t>
      </w:r>
      <w:r>
        <w:t xml:space="preserve"> </w:t>
      </w:r>
      <w:r>
        <w:t xml:space="preserve">“decision”</w:t>
      </w:r>
      <w:r>
        <w:t xml:space="preserve"> </w:t>
      </w:r>
      <w:r>
        <w:t xml:space="preserve">cell + thorough</w:t>
      </w:r>
      <w:r>
        <w:t xml:space="preserve"> </w:t>
      </w:r>
      <w:r>
        <w:t xml:space="preserve">“why”</w:t>
      </w:r>
      <w:r>
        <w:t xml:space="preserve"> </w:t>
      </w:r>
      <w:r>
        <w:t xml:space="preserve">cell + explicit</w:t>
      </w:r>
      <w:r>
        <w:t xml:space="preserve"> </w:t>
      </w:r>
      <w:r>
        <w:t xml:space="preserve">“affects iterations”</w:t>
      </w:r>
      <w:r>
        <w:t xml:space="preserve"> </w:t>
      </w:r>
      <w:r>
        <w:t xml:space="preserve">list at the end of the</w:t>
      </w:r>
      <w:r>
        <w:t xml:space="preserve"> </w:t>
      </w:r>
      <w:r>
        <w:t xml:space="preserve">“why”</w:t>
      </w:r>
      <w:r>
        <w:t xml:space="preserve"> </w:t>
      </w:r>
      <w:r>
        <w:t xml:space="preserve">column. The recent rows show the convention clearly.</w:t>
      </w:r>
    </w:p>
    <w:bookmarkEnd w:id="43"/>
    <w:bookmarkStart w:id="44" w:name="X5370129143915f4c3ab5910580773bff93767a1"/>
    <w:p>
      <w:pPr>
        <w:pStyle w:val="Heading3"/>
      </w:pPr>
      <w:r>
        <w:t xml:space="preserve">8.3 If the user asks to verify spec against shipped product</w:t>
      </w:r>
    </w:p>
    <w:p>
      <w:pPr>
        <w:pStyle w:val="FirstParagraph"/>
      </w:pPr>
      <w:r>
        <w:t xml:space="preserve">WebFetch https://www.setnayan.com to confirm current shipped behavior (per the SessionStart guardrail). Header CTAs today:</w:t>
      </w:r>
      <w:r>
        <w:t xml:space="preserve"> </w:t>
      </w:r>
      <w:r>
        <w:t xml:space="preserve">“Sign in”</w:t>
      </w:r>
      <w:r>
        <w:t xml:space="preserve">,</w:t>
      </w:r>
      <w:r>
        <w:t xml:space="preserve"> </w:t>
      </w:r>
      <w:r>
        <w:t xml:space="preserve">“Create account”</w:t>
      </w:r>
      <w:r>
        <w:t xml:space="preserve">. Primary CTA on the home:</w:t>
      </w:r>
      <w:r>
        <w:t xml:space="preserve"> </w:t>
      </w:r>
      <w:r>
        <w:t xml:space="preserve">“Start planning · free”</w:t>
      </w:r>
      <w:r>
        <w:t xml:space="preserve">.</w:t>
      </w:r>
    </w:p>
    <w:p>
      <w:pPr>
        <w:pStyle w:val="BodyText"/>
      </w:pPr>
      <w:r>
        <w:t xml:space="preserve">For deeper code-vs-spec audits, read</w:t>
      </w:r>
      <w:r>
        <w:t xml:space="preserve"> </w:t>
      </w:r>
      <w:r>
        <w:rPr>
          <w:rStyle w:val="VerbatimChar"/>
        </w:rPr>
        <w:t xml:space="preserve">App_Build_Status.md</w:t>
      </w:r>
      <w:r>
        <w:t xml:space="preserve"> </w:t>
      </w:r>
      <w:r>
        <w:t xml:space="preserve">first.</w:t>
      </w:r>
    </w:p>
    <w:bookmarkEnd w:id="44"/>
    <w:bookmarkStart w:id="45" w:name="X71ab399c34b20cc00bdc3720c7246d85307bebf"/>
    <w:p>
      <w:pPr>
        <w:pStyle w:val="Heading3"/>
      </w:pPr>
      <w:r>
        <w:t xml:space="preserve">8.4 If the user asks about a specific feature</w:t>
      </w:r>
    </w:p>
    <w:p>
      <w:pPr>
        <w:pStyle w:val="FirstParagraph"/>
      </w:pPr>
      <w:r>
        <w:t xml:space="preserve">Drill into the matching iteration folder. Quick map from the SessionStart hook: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shell / nav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guest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0002</w:t>
            </w:r>
          </w:p>
        </w:tc>
        <w:tc>
          <w:tcPr/>
          <w:p>
            <w:pPr>
              <w:pStyle w:val="Compact"/>
            </w:pPr>
            <w:r>
              <w:t xml:space="preserve">QR 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0003</w:t>
            </w:r>
          </w:p>
        </w:tc>
        <w:tc>
          <w:tcPr/>
          <w:p>
            <w:pPr>
              <w:pStyle w:val="Compact"/>
            </w:pPr>
            <w:r>
              <w:t xml:space="preserve">service_catalog / pricing (token wallet retired 2026-05-11)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0006</w:t>
            </w:r>
          </w:p>
        </w:tc>
        <w:tc>
          <w:tcPr/>
          <w:p>
            <w:pPr>
              <w:pStyle w:val="Compact"/>
            </w:pPr>
            <w:r>
              <w:t xml:space="preserve">vendors mgmt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0007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0008</w:t>
            </w:r>
          </w:p>
        </w:tc>
        <w:tc>
          <w:tcPr/>
          <w:p>
            <w:pPr>
              <w:pStyle w:val="Compact"/>
            </w:pPr>
            <w:r>
              <w:t xml:space="preserve">seating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Panood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Papic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main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0021</w:t>
            </w:r>
          </w:p>
        </w:tc>
        <w:tc>
          <w:tcPr/>
          <w:p>
            <w:pPr>
              <w:pStyle w:val="Compact"/>
            </w:pPr>
            <w:r>
              <w:t xml:space="preserve">couple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0028</w:t>
            </w:r>
          </w:p>
        </w:tc>
        <w:tc>
          <w:tcPr/>
          <w:p>
            <w:pPr>
              <w:pStyle w:val="Compact"/>
            </w:pPr>
            <w:r>
              <w:t xml:space="preserve">email notifs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0029</w:t>
            </w:r>
          </w:p>
        </w:tc>
        <w:tc>
          <w:tcPr/>
          <w:p>
            <w:pPr>
              <w:pStyle w:val="Compact"/>
            </w:pPr>
            <w:r>
              <w:t xml:space="preserve">help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0030</w:t>
            </w:r>
          </w:p>
        </w:tc>
        <w:tc>
          <w:tcPr/>
          <w:p>
            <w:pPr>
              <w:pStyle w:val="Compact"/>
            </w:pPr>
            <w:r>
              <w:t xml:space="preserve">guided tour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0031</w:t>
            </w:r>
          </w:p>
        </w:tc>
        <w:tc>
          <w:tcPr/>
          <w:p>
            <w:pPr>
              <w:pStyle w:val="Compact"/>
            </w:pPr>
            <w:r>
              <w:t xml:space="preserve">day-of-guest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0032</w:t>
            </w:r>
          </w:p>
        </w:tc>
        <w:tc>
          <w:tcPr/>
          <w:p>
            <w:pPr>
              <w:pStyle w:val="Compact"/>
            </w:pPr>
            <w:r>
              <w:t xml:space="preserve">contract intel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0033</w:t>
            </w:r>
          </w:p>
        </w:tc>
        <w:tc>
          <w:tcPr/>
          <w:p>
            <w:pPr>
              <w:pStyle w:val="Compact"/>
            </w:pPr>
            <w:r>
              <w:t xml:space="preserve">public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0034</w:t>
            </w:r>
          </w:p>
        </w:tc>
        <w:tc>
          <w:tcPr/>
          <w:p>
            <w:pPr>
              <w:pStyle w:val="Compact"/>
            </w:pPr>
            <w:r>
              <w:t xml:space="preserve">payments /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0035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companions"/>
    <w:p>
      <w:pPr>
        <w:pStyle w:val="Heading2"/>
      </w:pPr>
      <w:r>
        <w:t xml:space="preserve">9. Companions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VerbatimChar"/>
          </w:rPr>
          <w:t xml:space="preserve">2026-05-17_Session_Handoff.docx</w:t>
        </w:r>
      </w:hyperlink>
      <w:r>
        <w:t xml:space="preserve"> </w:t>
      </w:r>
      <w:r>
        <w:t xml:space="preserve">— Word mirror generated via pandoc (regenerate with the path in § 7.1)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2026-05-17 by the prior Claude account. Pick up wherever feels useful.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0021_couple_dashboard_fully_purchased/0021_couple_dashboard_fully_purchased.docx" TargetMode="External" /><Relationship Type="http://schemas.openxmlformats.org/officeDocument/2006/relationships/hyperlink" Id="rId16" Target="0021_couple_dashboard_fully_purchased/0021_couple_dashboard_fully_purchased.md" TargetMode="External" /><Relationship Type="http://schemas.openxmlformats.org/officeDocument/2006/relationships/hyperlink" Id="rId37" Target="0023_admin_console/0023_admin_console.docx" TargetMode="External" /><Relationship Type="http://schemas.openxmlformats.org/officeDocument/2006/relationships/hyperlink" Id="rId24" Target="0023_admin_console/0023_admin_console.md" TargetMode="External" /><Relationship Type="http://schemas.openxmlformats.org/officeDocument/2006/relationships/hyperlink" Id="rId47" Target="2026-05-17_Session_Handoff.docx" TargetMode="External" /><Relationship Type="http://schemas.openxmlformats.org/officeDocument/2006/relationships/hyperlink" Id="rId14" Target="API_Integration_Checklist.md" TargetMode="External" /><Relationship Type="http://schemas.openxmlformats.org/officeDocument/2006/relationships/hyperlink" Id="rId12" Target="App_Build_Status.md" TargetMode="External" /><Relationship Type="http://schemas.openxmlformats.org/officeDocument/2006/relationships/hyperlink" Id="rId9" Target="CLAUDE.md" TargetMode="External" /><Relationship Type="http://schemas.openxmlformats.org/officeDocument/2006/relationships/hyperlink" Id="rId10" Target="COWORK.md" TargetMode="External" /><Relationship Type="http://schemas.openxmlformats.org/officeDocument/2006/relationships/hyperlink" Id="rId13" Target="Installed_Stack_Inventory.md" TargetMode="External" /><Relationship Type="http://schemas.openxmlformats.org/officeDocument/2006/relationships/hyperlink" Id="rId38" Target="Pricing.docx" TargetMode="External" /><Relationship Type="http://schemas.openxmlformats.org/officeDocument/2006/relationships/hyperlink" Id="rId22" Target="Pricing.md" TargetMode="External" /><Relationship Type="http://schemas.openxmlformats.org/officeDocument/2006/relationships/hyperlink" Id="rId11" Target="V1_Gap_Analysis_Stat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0021_couple_dashboard_fully_purchased/0021_couple_dashboard_fully_purchased.docx" TargetMode="External" /><Relationship Type="http://schemas.openxmlformats.org/officeDocument/2006/relationships/hyperlink" Id="rId16" Target="0021_couple_dashboard_fully_purchased/0021_couple_dashboard_fully_purchased.md" TargetMode="External" /><Relationship Type="http://schemas.openxmlformats.org/officeDocument/2006/relationships/hyperlink" Id="rId37" Target="0023_admin_console/0023_admin_console.docx" TargetMode="External" /><Relationship Type="http://schemas.openxmlformats.org/officeDocument/2006/relationships/hyperlink" Id="rId24" Target="0023_admin_console/0023_admin_console.md" TargetMode="External" /><Relationship Type="http://schemas.openxmlformats.org/officeDocument/2006/relationships/hyperlink" Id="rId47" Target="2026-05-17_Session_Handoff.docx" TargetMode="External" /><Relationship Type="http://schemas.openxmlformats.org/officeDocument/2006/relationships/hyperlink" Id="rId14" Target="API_Integration_Checklist.md" TargetMode="External" /><Relationship Type="http://schemas.openxmlformats.org/officeDocument/2006/relationships/hyperlink" Id="rId12" Target="App_Build_Status.md" TargetMode="External" /><Relationship Type="http://schemas.openxmlformats.org/officeDocument/2006/relationships/hyperlink" Id="rId9" Target="CLAUDE.md" TargetMode="External" /><Relationship Type="http://schemas.openxmlformats.org/officeDocument/2006/relationships/hyperlink" Id="rId10" Target="COWORK.md" TargetMode="External" /><Relationship Type="http://schemas.openxmlformats.org/officeDocument/2006/relationships/hyperlink" Id="rId13" Target="Installed_Stack_Inventory.md" TargetMode="External" /><Relationship Type="http://schemas.openxmlformats.org/officeDocument/2006/relationships/hyperlink" Id="rId38" Target="Pricing.docx" TargetMode="External" /><Relationship Type="http://schemas.openxmlformats.org/officeDocument/2006/relationships/hyperlink" Id="rId22" Target="Pricing.md" TargetMode="External" /><Relationship Type="http://schemas.openxmlformats.org/officeDocument/2006/relationships/hyperlink" Id="rId11" Target="V1_Gap_Analysis_Statu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2026-05-18T04:53:16Z</dcterms:created>
  <dcterms:modified xsi:type="dcterms:W3CDTF">2026-05-18T04:53:16Z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