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c8a18a30cf23dd5632c0a01be5512fac4019f7"/>
    <w:p>
      <w:pPr>
        <w:pStyle w:val="Heading1"/>
      </w:pPr>
      <w:r>
        <w:t xml:space="preserve">Setnayan — Records of Processing Activities (RoPA) / Data Inventory</w:t>
      </w:r>
    </w:p>
    <w:p>
      <w:pPr>
        <w:pStyle w:val="BlockText"/>
      </w:pPr>
      <w:r>
        <w:rPr>
          <w:b/>
          <w:bCs/>
        </w:rPr>
        <w:t xml:space="preserve">DRAFT — for DPO/counsel (Claire E. Buanhog) finalization and NPC filing; not yet adopted. · 2026-07-05</w:t>
      </w:r>
    </w:p>
    <w:p>
      <w:pPr>
        <w:pStyle w:val="FirstParagraph"/>
      </w:pPr>
      <w:r>
        <w:t xml:space="preserve">The accountability record RA 10173 (Data Privacy Act of 2012) and its IRR require a Personal Information Controller (PIC) to maintain: a register of the Data Processing Systems (DPS) it operates. Each row below is</w:t>
      </w:r>
      <w:r>
        <w:t xml:space="preserve"> </w:t>
      </w:r>
      <w:r>
        <w:rPr>
          <w:b/>
          <w:bCs/>
        </w:rPr>
        <w:t xml:space="preserve">one DPS</w:t>
      </w:r>
      <w:r>
        <w:t xml:space="preserve">. Sourced from</w:t>
      </w:r>
      <w:r>
        <w:t xml:space="preserve"> </w:t>
      </w:r>
      <w:r>
        <w:rPr>
          <w:rStyle w:val="VerbatimChar"/>
        </w:rPr>
        <w:t xml:space="preserve">01_Contracts/Setnayan_Privacy_and_Security_Policy.md</w:t>
      </w:r>
      <w:r>
        <w:t xml:space="preserve"> </w:t>
      </w:r>
      <w:r>
        <w:t xml:space="preserve">(§1 data collected, §3 where data lives, §4 retention, §6 consent, §10 sub-processors) and</w:t>
      </w:r>
      <w:r>
        <w:t xml:space="preserve"> </w:t>
      </w:r>
      <w:r>
        <w:rPr>
          <w:rStyle w:val="VerbatimChar"/>
        </w:rPr>
        <w:t xml:space="preserve">03_Strategy/Compliance_Pack_PersonGraph_DRAFT_2026-07-05.md</w:t>
      </w:r>
      <w:r>
        <w:t xml:space="preserve">. Facts not established in those sources are marked</w:t>
      </w:r>
      <w:r>
        <w:t xml:space="preserve"> </w:t>
      </w:r>
      <w:r>
        <w:rPr>
          <w:rStyle w:val="VerbatimChar"/>
        </w:rPr>
        <w:t xml:space="preserve">[TO CONFIRM]</w:t>
      </w:r>
      <w:r>
        <w:t xml:space="preserve"> </w:t>
      </w:r>
      <w:r>
        <w:t xml:space="preserve">— none invented.</w:t>
      </w:r>
    </w:p>
    <w:p>
      <w:r>
        <w:pict>
          <v:rect style="width:0;height:1.5pt" o:hralign="center" o:hrstd="t" o:hr="t"/>
        </w:pict>
      </w:r>
    </w:p>
    <w:bookmarkStart w:id="10" w:name="controller-governance-identification"/>
    <w:p>
      <w:pPr>
        <w:pStyle w:val="Heading2"/>
      </w:pPr>
      <w:r>
        <w:t xml:space="preserve">0. Controller &amp; governance identification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Information Controller (PIC)</w:t>
            </w:r>
          </w:p>
        </w:tc>
        <w:tc>
          <w:tcPr/>
          <w:p>
            <w:pPr>
              <w:pStyle w:val="Compact"/>
            </w:pPr>
            <w:r>
              <w:t xml:space="preserve">SETNAYAN SOFTWARE DEVELOPMENT SERVICE — sole proprietorship of Indalecio Sacdalan Casasola 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DTI Business Name Registration</w:t>
            </w:r>
          </w:p>
        </w:tc>
        <w:tc>
          <w:tcPr/>
          <w:p>
            <w:pPr>
              <w:pStyle w:val="Compact"/>
            </w:pPr>
            <w:r>
              <w:t xml:space="preserve">BN 8297508 · valid 25 Jun 2026 – 25 Jun 2031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/ trade name</w:t>
            </w:r>
          </w:p>
        </w:tc>
        <w:tc>
          <w:tcPr/>
          <w:p>
            <w:pPr>
              <w:pStyle w:val="Compact"/>
            </w:pPr>
            <w:r>
              <w:t xml:space="preserve">Setnayan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domains</w:t>
            </w:r>
          </w:p>
        </w:tc>
        <w:tc>
          <w:tcPr/>
          <w:p>
            <w:pPr>
              <w:pStyle w:val="Compact"/>
            </w:pPr>
            <w:r>
              <w:t xml:space="preserve">setnayan.com · setnayan.ph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Registered business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headcount / 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 registration number (if already registered)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 (DPO)</w:t>
            </w:r>
          </w:p>
        </w:tc>
        <w:tc>
          <w:tcPr/>
          <w:p>
            <w:pPr>
              <w:pStyle w:val="Compact"/>
            </w:pPr>
            <w:r>
              <w:t xml:space="preserve">Claire E. Buanhog · dpo@setnayan.com (registered with the NPC per policy §9)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DPO response SLA</w:t>
            </w:r>
          </w:p>
        </w:tc>
        <w:tc>
          <w:tcPr/>
          <w:p>
            <w:pPr>
              <w:pStyle w:val="Compact"/>
            </w:pPr>
            <w:r>
              <w:t xml:space="preserve">7 business days (non-urgent); immediate for breach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Breach notification</w:t>
            </w:r>
          </w:p>
        </w:tc>
        <w:tc>
          <w:tcPr/>
          <w:p>
            <w:pPr>
              <w:pStyle w:val="Compact"/>
            </w:pPr>
            <w:r>
              <w:t xml:space="preserve">NPC + affected users within 72 hours of confirmation (policy §8)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data-subject counts (customers / vendors / guests)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CONFIRM]</w:t>
            </w:r>
          </w:p>
        </w:tc>
      </w:tr>
    </w:tbl>
    <w:bookmarkStart w:id="9" w:name="X6e08beab3a80e9d9885d7bcb470caf16f9b64c3"/>
    <w:p>
      <w:pPr>
        <w:pStyle w:val="Heading3"/>
      </w:pPr>
      <w:r>
        <w:t xml:space="preserve">Shared infrastructure (applies across DPS’s unless a row narrows 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/ application hosting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CONFIRM]</w:t>
            </w:r>
            <w:r>
              <w:t xml:space="preserve"> </w:t>
            </w:r>
            <w:r>
              <w:t xml:space="preserve">(edge)</w:t>
            </w:r>
          </w:p>
        </w:tc>
        <w:tc>
          <w:tcPr/>
          <w:p>
            <w:pPr>
              <w:pStyle w:val="Compact"/>
            </w:pPr>
            <w:r>
              <w:t xml:space="preserve">Processor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database (PII + transactional)</w:t>
            </w:r>
          </w:p>
        </w:tc>
        <w:tc>
          <w:tcPr/>
          <w:p>
            <w:pPr>
              <w:pStyle w:val="Compact"/>
            </w:pPr>
            <w:r>
              <w:t xml:space="preserve">Supabase / Postgres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Singapore</w:t>
            </w:r>
          </w:p>
        </w:tc>
        <w:tc>
          <w:tcPr/>
          <w:p>
            <w:pPr>
              <w:pStyle w:val="Compact"/>
            </w:pPr>
            <w:r>
              <w:t xml:space="preserve">Processor · AES-256 at rest · 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(photos / video / face vectors)</w:t>
            </w:r>
          </w:p>
        </w:tc>
        <w:tc>
          <w:tcPr/>
          <w:p>
            <w:pPr>
              <w:pStyle w:val="Compact"/>
            </w:pPr>
            <w:r>
              <w:t xml:space="preserve">Cloudflare 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 / PH region</w:t>
            </w:r>
          </w:p>
        </w:tc>
        <w:tc>
          <w:tcPr/>
          <w:p>
            <w:pPr>
              <w:pStyle w:val="Compact"/>
            </w:pPr>
            <w:r>
              <w:t xml:space="preserve">Processor · signed-URL access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Transactional email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CONFIRM]</w:t>
            </w:r>
            <w:r>
              <w:t xml:space="preserve"> </w:t>
            </w:r>
            <w:r>
              <w:t xml:space="preserve">(US-based likely)</w:t>
            </w:r>
          </w:p>
        </w:tc>
        <w:tc>
          <w:tcPr/>
          <w:p>
            <w:pPr>
              <w:pStyle w:val="Compact"/>
            </w:pPr>
            <w:r>
              <w:t xml:space="preserve">Processor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ID verification</w:t>
            </w:r>
          </w:p>
        </w:tc>
        <w:tc>
          <w:tcPr/>
          <w:p>
            <w:pPr>
              <w:pStyle w:val="Compact"/>
            </w:pPr>
            <w:r>
              <w:t xml:space="preserve">Persona / Veriff / Onfido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Processor (batch-call, no ongoing 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text/contract analysis</w:t>
            </w:r>
          </w:p>
        </w:tc>
        <w:tc>
          <w:tcPr/>
          <w:p>
            <w:pPr>
              <w:pStyle w:val="Compact"/>
            </w:pPr>
            <w:r>
              <w:t xml:space="preserve">Anthropic (Claude) · OpenAI (V1.5 fallback)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Processor · zero-retention API mode (Anthropic)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 generation</w:t>
            </w:r>
          </w:p>
        </w:tc>
        <w:tc>
          <w:tcPr/>
          <w:p>
            <w:pPr>
              <w:pStyle w:val="Compact"/>
            </w:pPr>
            <w:r>
              <w:t xml:space="preserve">Suno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CONFIRM]</w:t>
            </w:r>
          </w:p>
        </w:tc>
        <w:tc>
          <w:tcPr/>
          <w:p>
            <w:pPr>
              <w:pStyle w:val="Compact"/>
            </w:pPr>
            <w:r>
              <w:t xml:space="preserve">Processor —</w:t>
            </w:r>
            <w:r>
              <w:t xml:space="preserve"> </w:t>
            </w:r>
            <w:r>
              <w:rPr>
                <w:b/>
                <w:bCs/>
              </w:rPr>
              <w:t xml:space="preserve">no PII processed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Cross-border baseline:</w:t>
      </w:r>
      <w:r>
        <w:t xml:space="preserve"> </w:t>
      </w:r>
      <w:r>
        <w:t xml:space="preserve">routine operation crosses the SG↔PH border; encrypted in transit (TLS 1.3), governed by Cloudflare’s and Supabase’s PH-compliant DPAs, subject to NPC oversight (policy §10). US sub-processors are bound by Standard Contractual Clauses (SCCs) or equivalent (policy §10).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3" w:name="Xdc7bbefe365b46566c5b0030e1b360164d5b76f"/>
    <w:p>
      <w:pPr>
        <w:pStyle w:val="Heading2"/>
      </w:pPr>
      <w:r>
        <w:t xml:space="preserve">1. Records of Processing Activities — one record per Data Processing System</w:t>
      </w:r>
    </w:p>
    <w:p>
      <w:pPr>
        <w:pStyle w:val="FirstParagraph"/>
      </w:pPr>
      <w:r>
        <w:t xml:space="preserve">Legend — Legal basis per RA 10173 §12 (personal info) / §13 (sensitive personal info):</w:t>
      </w:r>
      <w: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= §12(b) performance of contract;</w:t>
      </w:r>
      <w:r>
        <w:t xml:space="preserve"> </w:t>
      </w:r>
      <w:r>
        <w:rPr>
          <w:b/>
          <w:bCs/>
        </w:rPr>
        <w:t xml:space="preserve">Consent</w:t>
      </w:r>
      <w:r>
        <w:t xml:space="preserve"> </w:t>
      </w:r>
      <w:r>
        <w:t xml:space="preserve">= §12(a)/§13(a);</w:t>
      </w:r>
      <w:r>
        <w:t xml:space="preserve"> </w:t>
      </w:r>
      <w:r>
        <w:rPr>
          <w:b/>
          <w:bCs/>
        </w:rPr>
        <w:t xml:space="preserve">Legitimate interest</w:t>
      </w:r>
      <w:r>
        <w:t xml:space="preserve"> </w:t>
      </w:r>
      <w:r>
        <w:t xml:space="preserve">= §12(f);</w:t>
      </w:r>
      <w:r>
        <w:t xml:space="preserve"> </w:t>
      </w:r>
      <w:r>
        <w:rPr>
          <w:b/>
          <w:bCs/>
        </w:rPr>
        <w:t xml:space="preserve">Legal obligation</w:t>
      </w:r>
      <w:r>
        <w:t xml:space="preserve"> </w:t>
      </w:r>
      <w:r>
        <w:t xml:space="preserve">= §12(c)/§13(b)/§13(f). SPI = Sensitive Personal Information per RA 10173 §3(l).</w:t>
      </w:r>
    </w:p>
    <w:bookmarkStart w:id="11" w:name="X9f40eb0f102005d2dce5f7ab333b55323ac515f"/>
    <w:p>
      <w:pPr>
        <w:pStyle w:val="Heading3"/>
      </w:pPr>
      <w:r>
        <w:t xml:space="preserve">DPS-01 · Customer / Couple Account &amp; Event Planning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Provide the contracted planning platform: account, event setup, vendor matching (Guided + DIY), seating, save-the-date, in-app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Contract (§12(b)) — service delivery; Consent (§12(a)) for marketing-sample opt-in (policy §6.2)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Customers (couples / organizers)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data categories</w:t>
            </w:r>
          </w:p>
        </w:tc>
        <w:tc>
          <w:tcPr/>
          <w:p>
            <w:pPr>
              <w:pStyle w:val="Compact"/>
            </w:pPr>
            <w:r>
              <w:t xml:space="preserve">Full name, mobile, email, optional profile photo; event data (date, venue, target pax, role); behavioral/in-app activity, Guided-mode decisions, search queries; uploaded content (Save-the-Date photos, invitation customizations)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  <w:r>
              <w:t xml:space="preserve"> </w:t>
            </w:r>
            <w:r>
              <w:t xml:space="preserve">(no SPI in the core account record)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Recipients / sub-processors</w:t>
            </w:r>
          </w:p>
        </w:tc>
        <w:tc>
          <w:tcPr/>
          <w:p>
            <w:pPr>
              <w:pStyle w:val="Compact"/>
            </w:pPr>
            <w:r>
              <w:t xml:space="preserve">Supabase (DB), Vercel (hosting), Cloudflare R2 (content); Setnayan Team on mediation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Cross-border transfer</w:t>
            </w:r>
          </w:p>
        </w:tc>
        <w:tc>
          <w:tcPr/>
          <w:p>
            <w:pPr>
              <w:pStyle w:val="Compact"/>
            </w:pPr>
            <w:r>
              <w:t xml:space="preserve">SG (Supabase); APAC/PH (R2)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Account profile: active + 30-day grace on deletion, then purge. Event data: 5 years post-event, auto-purge T+5y; earlier on request (policy 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measures</w:t>
            </w:r>
          </w:p>
        </w:tc>
        <w:tc>
          <w:tcPr/>
          <w:p>
            <w:pPr>
              <w:pStyle w:val="Compact"/>
            </w:pPr>
            <w:r>
              <w:t xml:space="preserve">AES-256 at rest; RLS per-user isolation; TLS 1.3; bcrypt passwords; optional 2FA; signed URLs for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</w:tbl>
    <w:bookmarkEnd w:id="11"/>
    <w:bookmarkStart w:id="12" w:name="X24dbfec6fe295e1c80dd03cf55e47b6ca3819e3"/>
    <w:p>
      <w:pPr>
        <w:pStyle w:val="Heading3"/>
      </w:pPr>
      <w:r>
        <w:t xml:space="preserve">DPS-02 · Vendor Account, Profile &amp; Verification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Vendor onboarding, business profile, and the 12-document identity/business verification checklist (policy §3.4)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Contract (§12(b)); Legitimate interest (§12(f)) — DTI lookup, portfolio reverse-image, reference calls;</w:t>
            </w:r>
            <w:r>
              <w:t xml:space="preserve"> </w:t>
            </w:r>
            <w:r>
              <w:rPr>
                <w:b/>
                <w:bCs/>
              </w:rPr>
              <w:t xml:space="preserve">Legal obligation</w:t>
            </w:r>
            <w:r>
              <w:t xml:space="preserve"> </w:t>
            </w:r>
            <w:r>
              <w:t xml:space="preserve">(§13(f) / §12(c)) — AMLC sanctions/PEP screening per PH AMLA; Consent captured at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Vendors (business owners / primary representatives)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data categories</w:t>
            </w:r>
          </w:p>
        </w:tc>
        <w:tc>
          <w:tcPr/>
          <w:p>
            <w:pPr>
              <w:pStyle w:val="Compact"/>
            </w:pPr>
            <w:r>
              <w:t xml:space="preserve">Business identity (DTI Business Name Cert, BIR Form 2303, Mayor’s Permit, business address, name+slug); service profile; financial (bank/e-wallet payout account, transaction history); behavioral (response times, conversion)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government-issued ID</w:t>
            </w:r>
            <w:r>
              <w:t xml:space="preserve"> </w:t>
            </w:r>
            <w:r>
              <w:t xml:space="preserve">of the primary representative (RA 10173 §3(l) SPI); selfie + ID liveness video (biometric-adjacent). DTI/BIR/tax documents are legally-mandated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Recipients / sub-processors</w:t>
            </w:r>
          </w:p>
        </w:tc>
        <w:tc>
          <w:tcPr/>
          <w:p>
            <w:pPr>
              <w:pStyle w:val="Compact"/>
            </w:pPr>
            <w:r>
              <w:t xml:space="preserve">Persona / Veriff / Onfido (ID + liveness); AMLC API / ComplyAdvantage (sanctions/PEP); DTI Database (BN validation); Supabase; Cloudflare R2 bucket</w:t>
            </w:r>
            <w:r>
              <w:t xml:space="preserve"> </w:t>
            </w:r>
            <w:r>
              <w:rPr>
                <w:rStyle w:val="VerbatimChar"/>
              </w:rPr>
              <w:t xml:space="preserve">setnayan-vendor-verification</w:t>
            </w:r>
            <w:r>
              <w:t xml:space="preserve"> </w:t>
            </w:r>
            <w:r>
              <w:t xml:space="preserve">(Verification Handler role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Cross-border transfer</w:t>
            </w:r>
          </w:p>
        </w:tc>
        <w:tc>
          <w:tcPr/>
          <w:p>
            <w:pPr>
              <w:pStyle w:val="Compact"/>
            </w:pPr>
            <w:r>
              <w:t xml:space="preserve">US (Persona/Veriff/Onfido); UK (ComplyAdvantage); PH (AMLC, DTI); SG (Supabase); APAC/PH (R2)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Raw uploads (ID, selfie+liveness, bank micro-deposit, portfolio): 90 days hot, purged after approve/reject unless audit hold. Verification audit trail (Persona/AMLC results + admin rationale): 90 days hot +</w:t>
            </w:r>
            <w:r>
              <w:t xml:space="preserve"> </w:t>
            </w:r>
            <w:r>
              <w:rPr>
                <w:b/>
                <w:bCs/>
              </w:rPr>
              <w:t xml:space="preserve">7 years cold</w:t>
            </w:r>
            <w:r>
              <w:t xml:space="preserve"> </w:t>
            </w:r>
            <w:r>
              <w:t xml:space="preserve">(BIR §235 + AMLC AML/CTF). DTI/BIR 2303/Mayor’s Permit: 90 days hot +</w:t>
            </w:r>
            <w:r>
              <w:t xml:space="preserve"> </w:t>
            </w:r>
            <w:r>
              <w:rPr>
                <w:b/>
                <w:bCs/>
              </w:rPr>
              <w:t xml:space="preserve">7 years cold</w:t>
            </w:r>
            <w:r>
              <w:t xml:space="preserve">. Transaction history: 5 years (policy 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measures</w:t>
            </w:r>
          </w:p>
        </w:tc>
        <w:tc>
          <w:tcPr/>
          <w:p>
            <w:pPr>
              <w:pStyle w:val="Compact"/>
            </w:pPr>
            <w:r>
              <w:t xml:space="preserve">Extra-restricted R2 bucket (single admin role); batch-call verification (no ongoing sub-processor storage); AES-256; RLS; audit log on all admin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(SPI: gov ID + biometric liveness)</w:t>
            </w:r>
          </w:p>
        </w:tc>
      </w:tr>
    </w:tbl>
    <w:bookmarkEnd w:id="12"/>
    <w:bookmarkStart w:id="13" w:name="dps-03-guest-list-rsvp"/>
    <w:p>
      <w:pPr>
        <w:pStyle w:val="Heading3"/>
      </w:pPr>
      <w:r>
        <w:t xml:space="preserve">DPS-03 · Guest List &amp; RSVP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Manage the couple’s guest list, RSVP status, roles, table assignment, and special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Contract (§12(b)) — organizer’s event service; Consent (§12(a)) for guest-provided data / photo consent at RSVP (policy §6.1)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Guests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data categories</w:t>
            </w:r>
          </w:p>
        </w:tc>
        <w:tc>
          <w:tcPr/>
          <w:p>
            <w:pPr>
              <w:pStyle w:val="Compact"/>
            </w:pPr>
            <w:r>
              <w:t xml:space="preserve">Full name, mobile, email, optional profile photo; event linkage + role (principal/secondary sponsor, family, friend), RSVP status, table assignment; behavioral (reels built, re-shares)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Potentially Y</w:t>
            </w:r>
            <w:r>
              <w:t xml:space="preserve"> </w:t>
            </w:r>
            <w:r>
              <w:t xml:space="preserve">— dietary restrictions / special-needs data collected at RSVP may reveal</w:t>
            </w:r>
            <w:r>
              <w:t xml:space="preserve"> </w:t>
            </w:r>
            <w:r>
              <w:rPr>
                <w:b/>
                <w:bCs/>
              </w:rPr>
              <w:t xml:space="preserve">health or religious</w:t>
            </w:r>
            <w:r>
              <w:t xml:space="preserve"> </w:t>
            </w:r>
            <w:r>
              <w:t xml:space="preserve">SPI (RA 10173 §3(l)).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 </w:t>
            </w:r>
            <w:r>
              <w:t xml:space="preserve">exact special-data fields captured in the RSVP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Recipients / sub-processors</w:t>
            </w:r>
          </w:p>
        </w:tc>
        <w:tc>
          <w:tcPr/>
          <w:p>
            <w:pPr>
              <w:pStyle w:val="Compact"/>
            </w:pPr>
            <w:r>
              <w:t xml:space="preserve">Supabase; event organizer (couple); coordinator within join-permission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Cross-border transfer</w:t>
            </w:r>
          </w:p>
        </w:tc>
        <w:tc>
          <w:tcPr/>
          <w:p>
            <w:pPr>
              <w:pStyle w:val="Compact"/>
            </w:pPr>
            <w:r>
              <w:t xml:space="preserve">SG (Supabase)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Aligned with event retention: 5 years post-event; deletion cascades on guest account deletion (subject to shared-gallery organizer-consent exception, policy 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measures</w:t>
            </w:r>
          </w:p>
        </w:tc>
        <w:tc>
          <w:tcPr/>
          <w:p>
            <w:pPr>
              <w:pStyle w:val="Compact"/>
            </w:pPr>
            <w:r>
              <w:t xml:space="preserve">RLS event-scoping; TLS 1.3; guest opt-out toggles; AES-256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(High if dietary/health SPI confirmed)</w:t>
            </w:r>
          </w:p>
        </w:tc>
      </w:tr>
    </w:tbl>
    <w:bookmarkEnd w:id="13"/>
    <w:bookmarkStart w:id="14" w:name="X48d84727bc8b6d4dd83ca9e3e657962dd307285"/>
    <w:p>
      <w:pPr>
        <w:pStyle w:val="Heading3"/>
      </w:pPr>
      <w:r>
        <w:t xml:space="preserve">DPS-04 · Face Vectors / Auto-Tagging (per-event, consented)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Auto-tag guests in an event’s photo gallery via face matching (couple-scoped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Consent (§13(a)) — guest opts in by uploading RSVP profile photo for this purpose; revocable via</w:t>
            </w:r>
            <w:r>
              <w:t xml:space="preserve"> </w:t>
            </w:r>
            <w:r>
              <w:t xml:space="preserve">“Delete my face data”</w:t>
            </w:r>
            <w:r>
              <w:t xml:space="preserve"> </w:t>
            </w:r>
            <w:r>
              <w:t xml:space="preserve">/ Photo Consent toggle (policy §6.1)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Guests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data categories</w:t>
            </w:r>
          </w:p>
        </w:tc>
        <w:tc>
          <w:tcPr/>
          <w:p>
            <w:pPr>
              <w:pStyle w:val="Compact"/>
            </w:pPr>
            <w:r>
              <w:t xml:space="preserve">128-dimension</w:t>
            </w:r>
            <w:r>
              <w:t xml:space="preserve"> </w:t>
            </w:r>
            <w:r>
              <w:rPr>
                <w:b/>
                <w:bCs/>
              </w:rPr>
              <w:t xml:space="preserve">face vectors</w:t>
            </w:r>
            <w:r>
              <w:t xml:space="preserve"> </w:t>
            </w:r>
            <w:r>
              <w:t xml:space="preserve">derived from RSVP photo + optional portal upload + on-the-day check-in kiosk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 — BIOMETRIC</w:t>
            </w:r>
            <w:r>
              <w:t xml:space="preserve"> </w:t>
            </w:r>
            <w:r>
              <w:t xml:space="preserve">data (RA 10173 §3(l)). Highest-sensitivity category in the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Recipients / sub-processors</w:t>
            </w:r>
          </w:p>
        </w:tc>
        <w:tc>
          <w:tcPr/>
          <w:p>
            <w:pPr>
              <w:pStyle w:val="Compact"/>
            </w:pPr>
            <w:r>
              <w:t xml:space="preserve">Cloudflare R2 per-event encrypted vector index; Supabase (linkage). No cross-border AI sub-processor for the vectors themselves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 </w:t>
            </w:r>
            <w:r>
              <w:t xml:space="preserve">(matching engine location)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Cross-border transfer</w:t>
            </w:r>
          </w:p>
        </w:tc>
        <w:tc>
          <w:tcPr/>
          <w:p>
            <w:pPr>
              <w:pStyle w:val="Compact"/>
            </w:pPr>
            <w:r>
              <w:t xml:space="preserve">APAC/PH (R2 vector index)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Per-event lifetime + 5 years; auto-purge with event data. Guest revocation propagates within the next 5-minute refresh cycle (policy §1.4, 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measures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Per-event scoped — vectors never reused across events</w:t>
            </w:r>
            <w:r>
              <w:t xml:space="preserve">; encrypted at rest; no cross-event face recognition (design lock, Person Graph DPIA #6); confidence-gated auto-tag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(biometric SPI)</w:t>
            </w:r>
          </w:p>
        </w:tc>
      </w:tr>
    </w:tbl>
    <w:bookmarkEnd w:id="14"/>
    <w:bookmarkStart w:id="15" w:name="X23030b124ae9f496a69c441062e469ded717e45"/>
    <w:p>
      <w:pPr>
        <w:pStyle w:val="Heading3"/>
      </w:pPr>
      <w:r>
        <w:t xml:space="preserve">DPS-05 · Papic / Photo &amp; Video Capture &amp; Delivery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Capture, store, tag, and deliver event photos/clips to couples and guests; Personal Reel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Contract (§12(b)) — paid capture/delivery service; Consent (§6.1) for likeness/photo participation; opt-out → face-blur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Guests, customers (couples); incidental non-account attendees appearing in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data categories</w:t>
            </w:r>
          </w:p>
        </w:tc>
        <w:tc>
          <w:tcPr/>
          <w:p>
            <w:pPr>
              <w:pStyle w:val="Compact"/>
            </w:pPr>
            <w:r>
              <w:t xml:space="preserve">Photos and video clips; likeness; capture metadata (</w:t>
            </w:r>
            <w:r>
              <w:rPr>
                <w:rStyle w:val="VerbatimChar"/>
              </w:rPr>
              <w:t xml:space="preserve">captured_at</w:t>
            </w:r>
            <w:r>
              <w:t xml:space="preserve">, geo when available, device model, paired camera brand/model); tag associations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  <w:r>
              <w:t xml:space="preserve"> </w:t>
            </w:r>
            <w:r>
              <w:t xml:space="preserve">in the general case (images of persons are personal info, not per-se SPI), but images can incidentally reveal SPI (health, religion). Treat as elevated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Recipients / sub-processors</w:t>
            </w:r>
          </w:p>
        </w:tc>
        <w:tc>
          <w:tcPr/>
          <w:p>
            <w:pPr>
              <w:pStyle w:val="Compact"/>
            </w:pPr>
            <w:r>
              <w:t xml:space="preserve">Cloudflare R2 (originals, signed-URL only); Supabase (tags/metadata); hierarchical read: organizer / coordinator / guest (tagged + global) / vendor (booking-relevant)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Cross-border transfer</w:t>
            </w:r>
          </w:p>
        </w:tc>
        <w:tc>
          <w:tcPr/>
          <w:p>
            <w:pPr>
              <w:pStyle w:val="Compact"/>
            </w:pPr>
            <w:r>
              <w:t xml:space="preserve">APAC/PH (R2)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Originals: 90 days hot R2 +</w:t>
            </w:r>
            <w:r>
              <w:t xml:space="preserve"> </w:t>
            </w:r>
            <w:r>
              <w:rPr>
                <w:b/>
                <w:bCs/>
              </w:rPr>
              <w:t xml:space="preserve">5 years</w:t>
            </w:r>
            <w:r>
              <w:t xml:space="preserve"> </w:t>
            </w:r>
            <w:r>
              <w:t xml:space="preserve">IA cold R2 (30-day-post-download compression rule + 5-year hard limit). Geo stripped on outbound shares; original on R2 retains it (policy §4, CLAUDE.md constraint)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measures</w:t>
            </w:r>
          </w:p>
        </w:tc>
        <w:tc>
          <w:tcPr/>
          <w:p>
            <w:pPr>
              <w:pStyle w:val="Compact"/>
            </w:pPr>
            <w:r>
              <w:t xml:space="preserve">Signed URLs (5-min for sensitive media); no public reads; NSFW filter on-by-default (non-disableable); untagged-still-delivered; opt-out face-blur; couple review window before public unlock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Medium–High</w:t>
            </w:r>
          </w:p>
        </w:tc>
      </w:tr>
    </w:tbl>
    <w:bookmarkEnd w:id="15"/>
    <w:bookmarkStart w:id="16" w:name="X5e9020772ec4c3982f657547d710731da182e29"/>
    <w:p>
      <w:pPr>
        <w:pStyle w:val="Heading3"/>
      </w:pPr>
      <w:r>
        <w:t xml:space="preserve">DPS-06 · Person Graph — Connections, Life Stories &amp; Trusted-Circle (adults-only)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Durable person node; mutually-confirmed relationship connections; per-person life-story references; aggregate trusted-circle vendor signal (Person Graph pack)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Consent (§12(a)) —</w:t>
            </w:r>
            <w:r>
              <w:t xml:space="preserve"> </w:t>
            </w:r>
            <w:r>
              <w:rPr>
                <w:b/>
                <w:bCs/>
              </w:rPr>
              <w:t xml:space="preserve">mutual, opt-in confirmation</w:t>
            </w:r>
            <w:r>
              <w:t xml:space="preserve"> </w:t>
            </w:r>
            <w:r>
              <w:t xml:space="preserve">required for every edge; life stories rely on existing RSVP photo consent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Customers, guests (</w:t>
            </w:r>
            <w:r>
              <w:rPr>
                <w:b/>
                <w:bCs/>
              </w:rPr>
              <w:t xml:space="preserve">adults only</w:t>
            </w:r>
            <w:r>
              <w:t xml:space="preserve"> </w:t>
            </w:r>
            <w:r>
              <w:t xml:space="preserve">— minors NOT processed)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data categories</w:t>
            </w:r>
          </w:p>
        </w:tc>
        <w:tc>
          <w:tcPr/>
          <w:p>
            <w:pPr>
              <w:pStyle w:val="Compact"/>
            </w:pPr>
            <w:r>
              <w:t xml:space="preserve">Person node (name, optional photo, events participated); first-degree connection edges (type + confirmed/pending state); life-story items =</w:t>
            </w:r>
            <w:r>
              <w:t xml:space="preserve"> </w:t>
            </w:r>
            <w:r>
              <w:rPr>
                <w:b/>
                <w:bCs/>
              </w:rPr>
              <w:t xml:space="preserve">references (pointers), not copies</w:t>
            </w:r>
            <w:r>
              <w:t xml:space="preserve">; trusted-circle signal =</w:t>
            </w:r>
            <w:r>
              <w:t xml:space="preserve"> </w:t>
            </w:r>
            <w:r>
              <w:rPr>
                <w:b/>
                <w:bCs/>
              </w:rPr>
              <w:t xml:space="preserve">computed on read, not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Potentially Y</w:t>
            </w:r>
            <w:r>
              <w:t xml:space="preserve"> </w:t>
            </w:r>
            <w:r>
              <w:t xml:space="preserve">— relationship data can infer SPI (e.g., civil status, family/religious ties). Mitigated: extended kin</w:t>
            </w:r>
            <w:r>
              <w:t xml:space="preserve"> </w:t>
            </w:r>
            <w:r>
              <w:rPr>
                <w:b/>
                <w:bCs/>
              </w:rPr>
              <w:t xml:space="preserve">derived not stored</w:t>
            </w:r>
            <w:r>
              <w:t xml:space="preserve">; min-N ≥5 on aggregates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Recipients / sub-processors</w:t>
            </w:r>
          </w:p>
        </w:tc>
        <w:tc>
          <w:tcPr/>
          <w:p>
            <w:pPr>
              <w:pStyle w:val="Compact"/>
            </w:pPr>
            <w:r>
              <w:t xml:space="preserve">Supabase (edges + references); no third-party sharing; connections never broadcast/browsable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Cross-border transfer</w:t>
            </w:r>
          </w:p>
        </w:tc>
        <w:tc>
          <w:tcPr/>
          <w:p>
            <w:pPr>
              <w:pStyle w:val="Compact"/>
            </w:pPr>
            <w:r>
              <w:t xml:space="preserve">SG (Supabase)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Edges + references follow event/account retention (policy §4 / Compliance Pack §3); declined/hidden/opted-out suppressed immediately; reference dies with source media; trusted-circle not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measures</w:t>
            </w:r>
          </w:p>
        </w:tc>
        <w:tc>
          <w:tcPr/>
          <w:p>
            <w:pPr>
              <w:pStyle w:val="Compact"/>
            </w:pPr>
            <w:r>
              <w:t xml:space="preserve">Mutual-confirmation gate; name-only + confirmed-only cross-person visibility; participant-scoped deny-by-default RLS; no</w:t>
            </w:r>
            <w:r>
              <w:t xml:space="preserve"> </w:t>
            </w:r>
            <w:r>
              <w:t xml:space="preserve">“people you may know”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 cross-event face recognition</w:t>
            </w:r>
            <w:r>
              <w:t xml:space="preserve">; DPIA completed (Compliance Pack §2, residual 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Status: DRAFT, live behind flags; pending DPO/counsel sign-off.</w:t>
            </w:r>
            <w:r>
              <w:t xml:space="preserve"> </w:t>
            </w:r>
            <w:r>
              <w:t xml:space="preserve">Minors/legacy (Phase 3) counsel-first, DPIA scoped-not-complete,</w:t>
            </w:r>
            <w:r>
              <w:t xml:space="preserve"> </w:t>
            </w:r>
            <w:r>
              <w:rPr>
                <w:b/>
                <w:bCs/>
              </w:rPr>
              <w:t xml:space="preserve">not processed</w:t>
            </w:r>
          </w:p>
        </w:tc>
      </w:tr>
    </w:tbl>
    <w:bookmarkEnd w:id="16"/>
    <w:bookmarkStart w:id="17" w:name="dps-07-in-app-communications-chat-0019"/>
    <w:p>
      <w:pPr>
        <w:pStyle w:val="Heading3"/>
      </w:pPr>
      <w:r>
        <w:t xml:space="preserve">DPS-07 · In-App Communications / Chat (0019)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Text chat between couples ↔ vendors ↔ coordinators; document/sheet/PDF/image sharing on threads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Contract (§12(b)) — coordination is core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Customers, vendors, coordinators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data categories</w:t>
            </w:r>
          </w:p>
        </w:tc>
        <w:tc>
          <w:tcPr/>
          <w:p>
            <w:pPr>
              <w:pStyle w:val="Compact"/>
            </w:pPr>
            <w:r>
              <w:t xml:space="preserve">Chat message content; attached files (doc/sheet/PDF/image); pasted external meeting links (plain text). Vendor identity masked (company logo, not personal photo)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  <w:r>
              <w:t xml:space="preserve"> </w:t>
            </w:r>
            <w:r>
              <w:t xml:space="preserve">structurally, but free-text/attachments may contain SPI — treat as elevated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Recipients / sub-processors</w:t>
            </w:r>
          </w:p>
        </w:tc>
        <w:tc>
          <w:tcPr/>
          <w:p>
            <w:pPr>
              <w:pStyle w:val="Compact"/>
            </w:pPr>
            <w:r>
              <w:t xml:space="preserve">Supabase Realtime (ephemeral) + Postgres (history); Cloudflare R2 thread-files bucket.</w:t>
            </w:r>
            <w:r>
              <w:t xml:space="preserve"> </w:t>
            </w:r>
            <w:r>
              <w:rPr>
                <w:b/>
                <w:bCs/>
              </w:rPr>
              <w:t xml:space="preserve">Video meetings RETIRED 2026-05-16 — no video data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Cross-border transfer</w:t>
            </w:r>
          </w:p>
        </w:tc>
        <w:tc>
          <w:tcPr/>
          <w:p>
            <w:pPr>
              <w:pStyle w:val="Compact"/>
            </w:pPr>
            <w:r>
              <w:t xml:space="preserve">SG (Supabase); APAC/PH (R2)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Messages: 5 years (aligned to event retention). Pasted meeting links follow parent message (policy §3.3, 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measures</w:t>
            </w:r>
          </w:p>
        </w:tc>
        <w:tc>
          <w:tcPr/>
          <w:p>
            <w:pPr>
              <w:pStyle w:val="Compact"/>
            </w:pPr>
            <w:r>
              <w:t xml:space="preserve">RLS thread-scoping; per-thread coordinator join permission; vendor-identity masking; TLS 1.3; AES-256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</w:tbl>
    <w:bookmarkEnd w:id="17"/>
    <w:bookmarkStart w:id="18" w:name="X2a07a0ea4d44aaf11d7681701792aa9da30abb2"/>
    <w:p>
      <w:pPr>
        <w:pStyle w:val="Heading3"/>
      </w:pPr>
      <w:r>
        <w:t xml:space="preserve">DPS-08 · Payments &amp; Reconciliation (apply-then-pay)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Process PHP-direct service orders: BDO/GCash apply-then-pay, reference codes, manual reconciliation of proof-of-payment against 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Contract (§12(b));</w:t>
            </w:r>
            <w:r>
              <w:t xml:space="preserve"> </w:t>
            </w:r>
            <w:r>
              <w:rPr>
                <w:b/>
                <w:bCs/>
              </w:rPr>
              <w:t xml:space="preserve">Legal obligation</w:t>
            </w:r>
            <w:r>
              <w:t xml:space="preserve"> </w:t>
            </w:r>
            <w:r>
              <w:t xml:space="preserve">(§12(c)) — PH tax/BIR record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Customers, vendors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data categories</w:t>
            </w:r>
          </w:p>
        </w:tc>
        <w:tc>
          <w:tcPr/>
          <w:p>
            <w:pPr>
              <w:pStyle w:val="Compact"/>
            </w:pPr>
            <w:r>
              <w:t xml:space="preserve">Payment receipts, transaction references,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bank/e-wallet details for receipts/refunds; payment-proof screenshots; reconciliation inbox messages.</w:t>
            </w:r>
            <w:r>
              <w:t xml:space="preserve"> </w:t>
            </w:r>
            <w:r>
              <w:rPr>
                <w:b/>
                <w:bCs/>
              </w:rPr>
              <w:t xml:space="preserve">No complete card numbers, CVVs, or full bank account numbers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Recipients / sub-processors</w:t>
            </w:r>
          </w:p>
        </w:tc>
        <w:tc>
          <w:tcPr/>
          <w:p>
            <w:pPr>
              <w:pStyle w:val="Compact"/>
            </w:pPr>
            <w:r>
              <w:t xml:space="preserve">Supabase (</w:t>
            </w:r>
            <w:r>
              <w:rPr>
                <w:rStyle w:val="VerbatimChar"/>
              </w:rPr>
              <w:t xml:space="preserve">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service_orders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payment_inbox_messages</w:t>
            </w:r>
            <w:r>
              <w:t xml:space="preserve">); Setnayan Team (manual reconciliation); Maya Business (V1.5+ gateway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 </w:t>
            </w:r>
            <w:r>
              <w:t xml:space="preserve">not active)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Cross-border transfer</w:t>
            </w:r>
          </w:p>
        </w:tc>
        <w:tc>
          <w:tcPr/>
          <w:p>
            <w:pPr>
              <w:pStyle w:val="Compact"/>
            </w:pPr>
            <w:r>
              <w:t xml:space="preserve">SG (Supabase)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Transaction/receipt records: 5 years (tax compliance). Pending orders expire 7 days (policy §4, CLAUDE.md)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measures</w:t>
            </w:r>
          </w:p>
        </w:tc>
        <w:tc>
          <w:tcPr/>
          <w:p>
            <w:pPr>
              <w:pStyle w:val="Compact"/>
            </w:pPr>
            <w:r>
              <w:t xml:space="preserve">No card/full-account storage; two-admin approval for refunds &gt;₱10K; append-only audit log; RLS; reference codes 8-char Crockford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</w:tbl>
    <w:bookmarkEnd w:id="18"/>
    <w:bookmarkStart w:id="19" w:name="X272219e0069e4fede333f9f72cbc145a80cee60"/>
    <w:p>
      <w:pPr>
        <w:pStyle w:val="Heading3"/>
      </w:pPr>
      <w:r>
        <w:t xml:space="preserve">DPS-09 · In-App Behavioral / Product 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Platform analytics for Setnayan admins (aggregated); platform improvement + ML model training (anonymized)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Legitimate interest (§12(f)) for aggregated operational analytics; Consent (§12(a)) for the secondary anonymized-training purpose (policy §2.1, §2.2)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Customers, vendors, guests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data categories</w:t>
            </w:r>
          </w:p>
        </w:tc>
        <w:tc>
          <w:tcPr/>
          <w:p>
            <w:pPr>
              <w:pStyle w:val="Compact"/>
            </w:pPr>
            <w:r>
              <w:t xml:space="preserve">In-app activity, surfaces visited, services purchased, vendor interactions, search queries, response/conversion metrics.</w:t>
            </w:r>
            <w:r>
              <w:t xml:space="preserve"> </w:t>
            </w:r>
            <w:r>
              <w:rPr>
                <w:b/>
                <w:bCs/>
              </w:rPr>
              <w:t xml:space="preserve">Aggregated — never individually identified to admins outside dispute-mediation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Recipients / sub-processors</w:t>
            </w:r>
          </w:p>
        </w:tc>
        <w:tc>
          <w:tcPr/>
          <w:p>
            <w:pPr>
              <w:pStyle w:val="Compact"/>
            </w:pPr>
            <w:r>
              <w:t xml:space="preserve">Supabase; PostHog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 </w:t>
            </w:r>
            <w:r>
              <w:t xml:space="preserve">(referenced in repo/iteration 0035; not named in this policy) — no PII per observability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Cross-border transfer</w:t>
            </w:r>
          </w:p>
        </w:tc>
        <w:tc>
          <w:tcPr/>
          <w:p>
            <w:pPr>
              <w:pStyle w:val="Compact"/>
            </w:pPr>
            <w:r>
              <w:t xml:space="preserve">SG (Supabase); PostHog host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Anonymized aggregate: indefinite (no PII). Underlying behavioral rows follow account/event retention (policy 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measures</w:t>
            </w:r>
          </w:p>
        </w:tc>
        <w:tc>
          <w:tcPr/>
          <w:p>
            <w:pPr>
              <w:pStyle w:val="Compact"/>
            </w:pPr>
            <w:r>
              <w:t xml:space="preserve">Aggregation + de-identification for admin views; no PII in logs; opt-out toggle (per observability design)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Low–Medium</w:t>
            </w:r>
          </w:p>
        </w:tc>
      </w:tr>
    </w:tbl>
    <w:bookmarkEnd w:id="19"/>
    <w:bookmarkStart w:id="20" w:name="dps-10-email-notifications-resend"/>
    <w:p>
      <w:pPr>
        <w:pStyle w:val="Heading3"/>
      </w:pPr>
      <w:r>
        <w:t xml:space="preserve">DPS-10 · Email Notifications (Resend)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Transactional + milestone email: payment instructions/confirmation, refunds, vendor messages/status, RSVP received, wedding-day reminder, save-the-date, security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Contract (§12(b)) for transactional mail; Consent (§12(a)) for promotional/marketing mail (revocable; RFC 8058 one-click unsubscribe)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Customers, vendors, guests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data categories</w:t>
            </w:r>
          </w:p>
        </w:tc>
        <w:tc>
          <w:tcPr/>
          <w:p>
            <w:pPr>
              <w:pStyle w:val="Compact"/>
            </w:pPr>
            <w:r>
              <w:t xml:space="preserve">Email address, recipient name, event/order context embedded in the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Recipients / sub-processors</w:t>
            </w:r>
          </w:p>
        </w:tc>
        <w:tc>
          <w:tcPr/>
          <w:p>
            <w:pPr>
              <w:pStyle w:val="Compact"/>
            </w:pPr>
            <w:r>
              <w:t xml:space="preserve">Resend (delivery); SendGrid fallback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Cross-border transfer</w:t>
            </w:r>
          </w:p>
        </w:tc>
        <w:tc>
          <w:tcPr/>
          <w:p>
            <w:pPr>
              <w:pStyle w:val="Compact"/>
            </w:pPr>
            <w:r>
              <w:t xml:space="preserve">US-based email provider likely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 </w:t>
            </w:r>
            <w:r>
              <w:t xml:space="preserve">(Resend jurisdiction)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Follows the underlying record; delivery logs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 </w:t>
            </w:r>
            <w:r>
              <w:t xml:space="preserve">retention at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measures</w:t>
            </w:r>
          </w:p>
        </w:tc>
        <w:tc>
          <w:tcPr/>
          <w:p>
            <w:pPr>
              <w:pStyle w:val="Compact"/>
            </w:pPr>
            <w:r>
              <w:t xml:space="preserve">TLS in transit; one-click unsubscribe; RA 10173 + CAN-SPAM compliant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</w:tbl>
    <w:bookmarkEnd w:id="20"/>
    <w:bookmarkStart w:id="21" w:name="dps-11-marketing-site-cookies-consent"/>
    <w:p>
      <w:pPr>
        <w:pStyle w:val="Heading3"/>
      </w:pPr>
      <w:r>
        <w:t xml:space="preserve">DPS-11 · Marketing Site / Cookies &amp; Consent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Public marketing site (setnayan.com); analytics/consent management on public surfaces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Legitimate interest (§12(f)) for essential/first-party operation;</w:t>
            </w:r>
            <w:r>
              <w:t xml:space="preserve"> </w:t>
            </w:r>
            <w:r>
              <w:rPr>
                <w:b/>
                <w:bCs/>
              </w:rPr>
              <w:t xml:space="preserve">Consent</w:t>
            </w:r>
            <w:r>
              <w:t xml:space="preserve"> </w:t>
            </w:r>
            <w:r>
              <w:t xml:space="preserve">(§12(a)) for analytics/advertising cookies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Website visitors (prospective customers/vendors), guests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data categories</w:t>
            </w:r>
          </w:p>
        </w:tc>
        <w:tc>
          <w:tcPr/>
          <w:p>
            <w:pPr>
              <w:pStyle w:val="Compact"/>
            </w:pPr>
            <w:r>
              <w:t xml:space="preserve">Cookie/consent state, IP, user-agent (policy acceptance is logged with timestamp + IP + user-agent), first-party analytics identifiers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Recipients / sub-processors</w:t>
            </w:r>
          </w:p>
        </w:tc>
        <w:tc>
          <w:tcPr/>
          <w:p>
            <w:pPr>
              <w:pStyle w:val="Compact"/>
            </w:pPr>
            <w:r>
              <w:t xml:space="preserve">Vercel (hosting); analytics processor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t xml:space="preserve">third-party display ads (AdSense) were</w:t>
            </w:r>
            <w:r>
              <w:t xml:space="preserve"> </w:t>
            </w:r>
            <w:r>
              <w:rPr>
                <w:b/>
                <w:bCs/>
              </w:rPr>
              <w:t xml:space="preserve">RETIRED 2026-05-19</w:t>
            </w:r>
            <w:r>
              <w:t xml:space="preserve"> </w:t>
            </w:r>
            <w:r>
              <w:t xml:space="preserve">— no third-party ad cookies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Cross-border 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 CONFIRM]</w:t>
            </w:r>
            <w:r>
              <w:t xml:space="preserve"> </w:t>
            </w:r>
            <w:r>
              <w:t xml:space="preserve">(edge/analytics host)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Consent state persistence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 </w:t>
            </w:r>
            <w:r>
              <w:t xml:space="preserve">(design referenced 12-month persistence); policy-acceptance log per user retained with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measures</w:t>
            </w:r>
          </w:p>
        </w:tc>
        <w:tc>
          <w:tcPr/>
          <w:p>
            <w:pPr>
              <w:pStyle w:val="Compact"/>
            </w:pPr>
            <w:r>
              <w:t xml:space="preserve">First-party cookie model; consent categories (essential / analytics / advertising); TLS 1.3; HSTS; CSP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</w:tbl>
    <w:bookmarkEnd w:id="21"/>
    <w:bookmarkStart w:id="22" w:name="Xe323f981344e13d15a6a4f7766593e3a06af6cf"/>
    <w:p>
      <w:pPr>
        <w:pStyle w:val="Heading3"/>
      </w:pPr>
      <w:r>
        <w:t xml:space="preserve">DPS-12 · Anti-Fraud &amp; Trust Integrity (identity clustering · fraud scoring · enforcement)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Protect marketplace trust signals from manipulation: cluster likely-same-person/household accounts by shared strong signals; de-duplicate vendor review/rating/booking stats per cluster with arm’s-length exclusion; score per-vendor fraud anomalies; two-stage enforcement (reversible auto-suspend + human four-eyes wipe/ban). Spec</w:t>
            </w:r>
            <w:r>
              <w:t xml:space="preserve"> </w:t>
            </w:r>
            <w:r>
              <w:rPr>
                <w:rStyle w:val="VerbatimChar"/>
              </w:rPr>
              <w:t xml:space="preserve">03_Strategy/Anti_Fraud_Trust_Integrity_2026-07-05.md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Legitimate interest (§12(f))</w:t>
            </w:r>
            <w:r>
              <w:t xml:space="preserve"> </w:t>
            </w:r>
            <w:r>
              <w:t xml:space="preserve">— fraud prevention / marketplace integrity.</w:t>
            </w:r>
            <w:r>
              <w:t xml:space="preserve"> </w:t>
            </w:r>
            <w:r>
              <w:rPr>
                <w:b/>
                <w:bCs/>
              </w:rPr>
              <w:t xml:space="preserve">Requires</w:t>
            </w:r>
            <w:r>
              <w:t xml:space="preserve"> </w:t>
            </w:r>
            <w:r>
              <w:t xml:space="preserve">a documented legitimate-interest balancing +</w:t>
            </w:r>
            <w:r>
              <w:t xml:space="preserve"> </w:t>
            </w:r>
            <w:r>
              <w:rPr>
                <w:b/>
                <w:bCs/>
              </w:rPr>
              <w:t xml:space="preserve">disclosure</w:t>
            </w:r>
            <w:r>
              <w:t xml:space="preserve"> </w:t>
            </w:r>
            <w:r>
              <w:t xml:space="preserve">(both outstanding — DPIA R-08 §6). Automated-suspension effect engages §16(c) (right to object) + §34 (automated processing)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 </w:t>
            </w:r>
            <w:r>
              <w:t xml:space="preserve">counsel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Couples / guests (whose device/address/payment signals are clustered —</w:t>
            </w:r>
            <w:r>
              <w:t xml:space="preserve"> </w:t>
            </w:r>
            <w:r>
              <w:rPr>
                <w:b/>
                <w:bCs/>
              </w:rPr>
              <w:t xml:space="preserve">they never see cluster membership</w:t>
            </w:r>
            <w:r>
              <w:t xml:space="preserve">) + vendors (scored, and subject to auto-suspend / ban)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data categories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Repurposed inputs (no new collection):</w:t>
            </w:r>
            <w:r>
              <w:t xml:space="preserve"> </w:t>
            </w:r>
            <w:r>
              <w:t xml:space="preserve">device fingerprint (</w:t>
            </w:r>
            <w:r>
              <w:rPr>
                <w:rStyle w:val="VerbatimChar"/>
              </w:rPr>
              <w:t xml:space="preserve">user_devices.device_hash</w:t>
            </w:r>
            <w:r>
              <w:t xml:space="preserve">), normalized home address (</w:t>
            </w:r>
            <w:r>
              <w:rPr>
                <w:rStyle w:val="VerbatimChar"/>
              </w:rPr>
              <w:t xml:space="preserve">users.address_normalized</w:t>
            </w:r>
            <w:r>
              <w:t xml:space="preserve">), payment-sender identity (</w:t>
            </w:r>
            <w:r>
              <w:rPr>
                <w:rStyle w:val="VerbatimChar"/>
              </w:rPr>
              <w:t xml:space="preserve">payments.reference_number</w:t>
            </w:r>
            <w:r>
              <w:t xml:space="preserve">→paying user).</w:t>
            </w:r>
            <w:r>
              <w:t xml:space="preserve"> </w:t>
            </w:r>
            <w:r>
              <w:rPr>
                <w:b/>
                <w:bCs/>
              </w:rPr>
              <w:t xml:space="preserve">Derived: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rPr>
                <w:rStyle w:val="VerbatimChar"/>
              </w:rPr>
              <w:t xml:space="preserve">cluster_id</w:t>
            </w:r>
            <w:r>
              <w:t xml:space="preserve">; per-vendor fraud signals + 0–100 scores with</w:t>
            </w:r>
            <w:r>
              <w:t xml:space="preserve"> </w:t>
            </w:r>
            <w:r>
              <w:rPr>
                <w:b/>
                <w:bCs/>
              </w:rPr>
              <w:t xml:space="preserve">non-PII</w:t>
            </w:r>
            <w:r>
              <w:t xml:space="preserve"> </w:t>
            </w:r>
            <w:r>
              <w:t xml:space="preserve">evidence (counts/ratios/opaque labels); enforcement state + append-only audit.</w:t>
            </w:r>
            <w:r>
              <w:t xml:space="preserve"> </w:t>
            </w:r>
            <w:r>
              <w:rPr>
                <w:b/>
                <w:bCs/>
              </w:rPr>
              <w:t xml:space="preserve">IP deliberately NOT captured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  <w:r>
              <w:t xml:space="preserve"> </w:t>
            </w:r>
            <w:r>
              <w:t xml:space="preserve">— inputs are personal information, not §3(l) SPI. Elevated because it is</w:t>
            </w:r>
            <w:r>
              <w:t xml:space="preserve"> </w:t>
            </w:r>
            <w:r>
              <w:rPr>
                <w:b/>
                <w:bCs/>
              </w:rPr>
              <w:t xml:space="preserve">involuntary profiling with an automated decision that has a significant effect</w:t>
            </w:r>
            <w:r>
              <w:t xml:space="preserve"> </w:t>
            </w:r>
            <w:r>
              <w:t xml:space="preserve">(vendor livelihood)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Recipients / sub-processors</w:t>
            </w:r>
          </w:p>
        </w:tc>
        <w:tc>
          <w:tcPr/>
          <w:p>
            <w:pPr>
              <w:pStyle w:val="Compact"/>
            </w:pPr>
            <w:r>
              <w:t xml:space="preserve">Supabase (Postgres, Singapore) only — no third-party/AI sub-processor.</w:t>
            </w:r>
            <w:r>
              <w:t xml:space="preserve"> </w:t>
            </w:r>
            <w:r>
              <w:rPr>
                <w:b/>
                <w:bCs/>
              </w:rPr>
              <w:t xml:space="preserve">Service-role / admin ONLY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REVOKE ALL FROM anon, authenticated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is_admin()</w:t>
            </w:r>
            <w:r>
              <w:t xml:space="preserve"> </w:t>
            </w:r>
            <w:r>
              <w:t xml:space="preserve">RLS at CREATE); Setnayan admins via</w:t>
            </w:r>
            <w:r>
              <w:t xml:space="preserve"> </w:t>
            </w:r>
            <w:r>
              <w:rPr>
                <w:rStyle w:val="VerbatimChar"/>
              </w:rPr>
              <w:t xml:space="preserve">/admin/fraud</w:t>
            </w:r>
            <w:r>
              <w:t xml:space="preserve"> </w:t>
            </w:r>
            <w:r>
              <w:t xml:space="preserve">+ two-admin approval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Cross-border transfer</w:t>
            </w:r>
          </w:p>
        </w:tc>
        <w:tc>
          <w:tcPr/>
          <w:p>
            <w:pPr>
              <w:pStyle w:val="Compact"/>
            </w:pPr>
            <w:r>
              <w:t xml:space="preserve">SG (Supabase)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identity_clusters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vendor_fraud_scores</w:t>
            </w:r>
            <w:r>
              <w:t xml:space="preserve"> </w:t>
            </w:r>
            <w:r>
              <w:t xml:space="preserve">= recomputed matviews (no history).</w:t>
            </w:r>
            <w:r>
              <w:t xml:space="preserve"> </w:t>
            </w:r>
            <w:r>
              <w:rPr>
                <w:rStyle w:val="VerbatimChar"/>
              </w:rPr>
              <w:t xml:space="preserve">fraud_signals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fraud_enforcement_audit</w:t>
            </w:r>
            <w:r>
              <w:t xml:space="preserve"> </w:t>
            </w:r>
            <w:r>
              <w:t xml:space="preserve">persist —</w:t>
            </w:r>
            <w:r>
              <w:t xml:space="preserve"> </w:t>
            </w:r>
            <w:r>
              <w:rPr>
                <w:b/>
                <w:bCs/>
              </w:rPr>
              <w:t xml:space="preserve">explicit retention rule not yet defined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[TO CONFIRM]</w:t>
            </w:r>
            <w:r>
              <w:t xml:space="preserve">. Signal inputs follow their source systems (device/address = account retention; payment = 5-yr tax, DPS-08)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measures</w:t>
            </w:r>
          </w:p>
        </w:tc>
        <w:tc>
          <w:tcPr/>
          <w:p>
            <w:pPr>
              <w:pStyle w:val="Compact"/>
            </w:pPr>
            <w:r>
              <w:t xml:space="preserve">Service-role/admin-only + deny-by-default RLS at CREATE; non-PII evidence; reversible auto-suspend at high threshold (score ≥90);</w:t>
            </w:r>
            <w:r>
              <w:t xml:space="preserve"> </w:t>
            </w:r>
            <w:r>
              <w:rPr>
                <w:b/>
                <w:bCs/>
              </w:rPr>
              <w:t xml:space="preserve">irreversible ban never automated</w:t>
            </w:r>
            <w:r>
              <w:t xml:space="preserve"> </w:t>
            </w:r>
            <w:r>
              <w:t xml:space="preserve">— four-eyes gate + typed confirmation; append-only audit; help-center appeal path; AES-256; TLS 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Status: LIVE in production since 2026-07-07, ahead of counsel sign-off (owner-elected).</w:t>
            </w:r>
            <w:r>
              <w:t xml:space="preserve"> </w:t>
            </w:r>
            <w:r>
              <w:t xml:space="preserve">DPIA R-08 drafted (</w:t>
            </w:r>
            <w:r>
              <w:rPr>
                <w:rStyle w:val="VerbatimChar"/>
              </w:rPr>
              <w:t xml:space="preserve">08_DPIA_AntiFraud_Trust_Integrity_2026-07-07.md</w:t>
            </w:r>
            <w:r>
              <w:t xml:space="preserve">); Privacy Policy Anti-Fraud disclosure + LIA + formal contest path outstanding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2661a29595e8b9abbe290f04b624568d19ea274"/>
    <w:p>
      <w:pPr>
        <w:pStyle w:val="Heading2"/>
      </w:pPr>
      <w:r>
        <w:t xml:space="preserve">2. Threshold analysis — mandatory NPC registration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b/>
          <w:bCs/>
        </w:rPr>
        <w:t xml:space="preserve">RA 10173 and NPC Circular 17-01</w:t>
      </w:r>
      <w:r>
        <w:t xml:space="preserve"> </w:t>
      </w:r>
      <w:r>
        <w:t xml:space="preserve">(as amended), a PIC/PIP must register its DPS and DPO with the NPC when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of the following triggers is met. Assessment below.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Registration trigger (Circular 17-01 §4 / related issuances)</w:t>
            </w:r>
          </w:p>
        </w:tc>
        <w:tc>
          <w:tcPr/>
          <w:p>
            <w:pPr>
              <w:pStyle w:val="Compact"/>
            </w:pPr>
            <w:r>
              <w:t xml:space="preserve">Setnayan assessment</w:t>
            </w:r>
          </w:p>
        </w:tc>
        <w:tc>
          <w:tcPr/>
          <w:p>
            <w:pPr>
              <w:pStyle w:val="Compact"/>
            </w:pPr>
            <w:r>
              <w:t xml:space="preserve">Met?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Processing</w:t>
            </w:r>
            <w:r>
              <w:t xml:space="preserve"> </w:t>
            </w:r>
            <w:r>
              <w:rPr>
                <w:b/>
                <w:bCs/>
              </w:rPr>
              <w:t xml:space="preserve">sensitive personal information of ≥ 1,000 individuals</w:t>
            </w:r>
          </w:p>
        </w:tc>
        <w:tc>
          <w:tcPr/>
          <w:p>
            <w:pPr>
              <w:pStyle w:val="Compact"/>
            </w:pPr>
            <w:r>
              <w:t xml:space="preserve">Setnayan processes SPI:</w:t>
            </w:r>
            <w:r>
              <w:t xml:space="preserve"> </w:t>
            </w:r>
            <w:r>
              <w:rPr>
                <w:b/>
                <w:bCs/>
              </w:rPr>
              <w:t xml:space="preserve">biometric face vectors</w:t>
            </w:r>
            <w:r>
              <w:t xml:space="preserve"> </w:t>
            </w:r>
            <w:r>
              <w:t xml:space="preserve">(DPS-04),</w:t>
            </w:r>
            <w:r>
              <w:t xml:space="preserve"> </w:t>
            </w:r>
            <w:r>
              <w:rPr>
                <w:b/>
                <w:bCs/>
              </w:rPr>
              <w:t xml:space="preserve">government ID + liveness</w:t>
            </w:r>
            <w:r>
              <w:t xml:space="preserve"> </w:t>
            </w:r>
            <w:r>
              <w:t xml:space="preserve">for vendors (DPS-02), and potential</w:t>
            </w:r>
            <w:r>
              <w:t xml:space="preserve"> </w:t>
            </w:r>
            <w:r>
              <w:rPr>
                <w:b/>
                <w:bCs/>
              </w:rPr>
              <w:t xml:space="preserve">health/religious</w:t>
            </w:r>
            <w:r>
              <w:t xml:space="preserve"> </w:t>
            </w:r>
            <w:r>
              <w:t xml:space="preserve">data via RSVP dietary/special needs (DPS-03). Actual count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, but a weddings/events platform at scale is very likely to reach ≥1,000 SPI subjects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Likely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PIC/PIP with</w:t>
            </w:r>
            <w:r>
              <w:t xml:space="preserve"> </w:t>
            </w:r>
            <w:r>
              <w:rPr>
                <w:b/>
                <w:bCs/>
              </w:rPr>
              <w:t xml:space="preserve">≥ 250 employees</w:t>
            </w:r>
          </w:p>
        </w:tc>
        <w:tc>
          <w:tcPr/>
          <w:p>
            <w:pPr>
              <w:pStyle w:val="Compact"/>
            </w:pPr>
            <w:r>
              <w:t xml:space="preserve">Sole proprietorship; headcount</w:t>
            </w:r>
            <w:r>
              <w:t xml:space="preserve"> </w:t>
            </w:r>
            <w:r>
              <w:rPr>
                <w:rStyle w:val="VerbatimChar"/>
              </w:rPr>
              <w:t xml:space="preserve">[TO CONFIRM]</w:t>
            </w:r>
            <w:r>
              <w:t xml:space="preserve"> </w:t>
            </w:r>
            <w:r>
              <w:t xml:space="preserve">but almost certainly</w:t>
            </w:r>
            <w:r>
              <w:t xml:space="preserve"> </w:t>
            </w:r>
            <w:r>
              <w:rPr>
                <w:b/>
                <w:bCs/>
              </w:rPr>
              <w:t xml:space="preserve">&lt; 250</w:t>
            </w:r>
          </w:p>
        </w:tc>
        <w:tc>
          <w:tcPr/>
          <w:p>
            <w:pPr>
              <w:pStyle w:val="Compact"/>
            </w:pPr>
            <w:r>
              <w:t xml:space="preserve">No (assumed)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Processing is</w:t>
            </w:r>
            <w:r>
              <w:t xml:space="preserve"> </w:t>
            </w:r>
            <w:r>
              <w:rPr>
                <w:b/>
                <w:bCs/>
              </w:rPr>
              <w:t xml:space="preserve">likely to pose a risk to the rights and freedoms</w:t>
            </w:r>
            <w:r>
              <w:t xml:space="preserve"> </w:t>
            </w:r>
            <w:r>
              <w:t xml:space="preserve">of data subjects</w:t>
            </w:r>
          </w:p>
        </w:tc>
        <w:tc>
          <w:tcPr/>
          <w:p>
            <w:pPr>
              <w:pStyle w:val="Compact"/>
            </w:pPr>
            <w:r>
              <w:t xml:space="preserve">Yes — biometric processing, gov-ID + AML screening, guest likeness/media at scale, relationship graph, minors/legacy roadmap,</w:t>
            </w:r>
            <w:r>
              <w:t xml:space="preserve"> </w:t>
            </w:r>
            <w:r>
              <w:rPr>
                <w:b/>
                <w:bCs/>
              </w:rPr>
              <w:t xml:space="preserve">and (DPS-12) involuntary identity-profiling with an automated decision that has a significant effect (auto-suspend/ban of a vendor’s livelihood)</w:t>
            </w:r>
            <w:r>
              <w:t xml:space="preserve">. This is high-risk processing by nature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Processing is</w:t>
            </w:r>
            <w:r>
              <w:t xml:space="preserve"> </w:t>
            </w:r>
            <w:r>
              <w:rPr>
                <w:b/>
                <w:bCs/>
              </w:rPr>
              <w:t xml:space="preserve">not occasional</w:t>
            </w:r>
            <w:r>
              <w:t xml:space="preserve"> </w:t>
            </w:r>
            <w:r>
              <w:t xml:space="preserve">(i.e., regular/systematic core-business processing)</w:t>
            </w:r>
          </w:p>
        </w:tc>
        <w:tc>
          <w:tcPr/>
          <w:p>
            <w:pPr>
              <w:pStyle w:val="Compact"/>
            </w:pPr>
            <w:r>
              <w:t xml:space="preserve">Yes — data processing is the platform’s core, continuous business function, not incidental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Registration triggers</w:t>
      </w:r>
      <w:r>
        <w:t xml:space="preserve"> </w:t>
      </w:r>
      <w:r>
        <w:rPr>
          <w:b/>
          <w:bCs/>
        </w:rPr>
        <w:t xml:space="preserve">#1 (likely), #3, and #4 are met.</w:t>
      </w:r>
      <w:r>
        <w:t xml:space="preserve"> </w:t>
      </w:r>
      <w:r>
        <w:t xml:space="preserve">Trigger #2 is not (sole prop, sub-250 headcount). Under Circular 17-01 the criteria are</w:t>
      </w:r>
      <w:r>
        <w:t xml:space="preserve"> </w:t>
      </w:r>
      <w:r>
        <w:rPr>
          <w:b/>
          <w:bCs/>
        </w:rPr>
        <w:t xml:space="preserve">disjunctive</w:t>
      </w:r>
      <w:r>
        <w:t xml:space="preserve"> </w:t>
      </w:r>
      <w:r>
        <w:t xml:space="preserve">— meeting even one obligates registration, and Setnayan meets at least two independently (risk-to-rights + not-occasional), with the SPI-volume trigger also likely once counts are confirmed.</w:t>
      </w:r>
    </w:p>
    <w:p>
      <w:pPr>
        <w:pStyle w:val="Block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Setnayan should register its DPO and Data Processing Systems with the National Privacy Commission</w:t>
      </w:r>
      <w:r>
        <w:t xml:space="preserve"> </w:t>
      </w:r>
      <w:r>
        <w:t xml:space="preserve">(NPC registration system), and appoint/confirm Claire E. Buanhog as the registered DPO. Registration is advisable on the risk-to-rights and not-occasional grounds alone; the SPI-volume trigger reinforces it. Confirm exact SPI data-subject counts</w:t>
      </w:r>
      <w:r>
        <w:t xml:space="preserve"> </w:t>
      </w:r>
      <w:r>
        <w:rPr>
          <w:rStyle w:val="VerbatimChar"/>
        </w:rPr>
        <w:t xml:space="preserve">[TO CONFIRM]</w:t>
      </w:r>
      <w:r>
        <w:t xml:space="preserve"> </w:t>
      </w:r>
      <w:r>
        <w:t xml:space="preserve">and current NPC registration number</w:t>
      </w:r>
      <w:r>
        <w:t xml:space="preserve"> </w:t>
      </w:r>
      <w:r>
        <w:rPr>
          <w:rStyle w:val="VerbatimChar"/>
        </w:rPr>
        <w:t xml:space="preserve">[TO CONFIRM]</w:t>
      </w:r>
      <w:r>
        <w:t xml:space="preserve"> </w:t>
      </w:r>
      <w:r>
        <w:t xml:space="preserve">before filing to determine whether this is an initial registration or an amendment.</w:t>
      </w:r>
    </w:p>
    <w:p>
      <w:r>
        <w:pict>
          <v:rect style="width:0;height:1.5pt" o:hralign="center" o:hrstd="t" o:hr="t"/>
        </w:pict>
      </w:r>
    </w:p>
    <w:bookmarkEnd w:id="24"/>
    <w:bookmarkStart w:id="25" w:name="open-items-for-dpocounsel-before-filing"/>
    <w:p>
      <w:pPr>
        <w:pStyle w:val="Heading2"/>
      </w:pPr>
      <w:r>
        <w:t xml:space="preserve">3. Open items for DPO/counsel before filing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[TO CONFIRM]</w:t>
      </w:r>
      <w:r>
        <w:t xml:space="preserve"> </w:t>
      </w:r>
      <w:r>
        <w:t xml:space="preserve">Registered business address; headcount; SPI + total data-subject counts; existing NPC registration number.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[TO CONFIRM]</w:t>
      </w:r>
      <w:r>
        <w:t xml:space="preserve"> </w:t>
      </w:r>
      <w:r>
        <w:t xml:space="preserve">Exact RSVP special-data fields (dietary/health/religious) — determines whether DPS-03 is a formal SPI system.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[TO CONFIRM]</w:t>
      </w:r>
      <w:r>
        <w:t xml:space="preserve"> </w:t>
      </w:r>
      <w:r>
        <w:t xml:space="preserve">Jurisdictions/retention for Resend, PostHog (analytics), Vercel edge, Suno, and the face-matching engine host.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[TO CONFIRM]</w:t>
      </w:r>
      <w:r>
        <w:t xml:space="preserve"> </w:t>
      </w:r>
      <w:r>
        <w:t xml:space="preserve">Whether Maya Business (V1.5 payment gateway) is contracted; keep DPS-08 marked</w:t>
      </w:r>
      <w:r>
        <w:t xml:space="preserve"> </w:t>
      </w:r>
      <w:r>
        <w:t xml:space="preserve">“not active”</w:t>
      </w:r>
      <w:r>
        <w:t xml:space="preserve"> </w:t>
      </w:r>
      <w:r>
        <w:t xml:space="preserve">until then.</w:t>
      </w:r>
    </w:p>
    <w:p>
      <w:pPr>
        <w:pStyle w:val="Compact"/>
        <w:numPr>
          <w:ilvl w:val="0"/>
          <w:numId w:val="1001"/>
        </w:numPr>
      </w:pPr>
      <w:r>
        <w:t xml:space="preserve">DPS-06 (Person Graph) and the Person Graph amendment publish</w:t>
      </w:r>
      <w:r>
        <w:t xml:space="preserve"> </w:t>
      </w:r>
      <w:r>
        <w:rPr>
          <w:b/>
          <w:bCs/>
        </w:rPr>
        <w:t xml:space="preserve">only after</w:t>
      </w:r>
      <w:r>
        <w:t xml:space="preserve"> </w:t>
      </w:r>
      <w:r>
        <w:t xml:space="preserve">DPO/counsel sign-off; minors/legacy (Phase 3) require their own DPIA + NPC consultation before any build-to-live.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Draft compliance artifact prepared to a compliant baseline ahead of counsel. To be finalized with Claire E. Buanhog (DPO) and PH counsel; this document is not a substitute for legal review and is not yet adopted for NPC filing.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2026-07-07T15:17:50Z</dcterms:created>
  <dcterms:modified xsi:type="dcterms:W3CDTF">2026-07-07T15:17:50Z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