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3330d4521e0e34a760f4ea4dcd6f708a74e4ed"/>
    <w:p>
      <w:pPr>
        <w:pStyle w:val="Heading1"/>
      </w:pPr>
      <w:r>
        <w:t xml:space="preserve">Data Privacy Impact Assessment (DPIA) Register + Person Graph DPIA</w:t>
      </w:r>
    </w:p>
    <w:p>
      <w:pPr>
        <w:pStyle w:val="BlockText"/>
      </w:pPr>
      <w:r>
        <w:rPr>
          <w:b/>
          <w:bCs/>
        </w:rPr>
        <w:t xml:space="preserve">DRAFT — for DPO/counsel (Claire E. Buanhog) finalization; not yet adopted.</w:t>
      </w:r>
      <w:r>
        <w:t xml:space="preserve"> </w:t>
      </w:r>
      <w:r>
        <w:t xml:space="preserve">· 2026-07-05</w:t>
      </w:r>
    </w:p>
    <w:p>
      <w:pPr>
        <w:pStyle w:val="BlockText"/>
      </w:pPr>
      <w:r>
        <w:t xml:space="preserve">Prepared under RA 10173 (Data Privacy Act of 2012), its IRR, and NPC guidance on Privacy Impact Assessments (NPC Advisory No. 2017-03 and related issuances). This register indexes every Setnayan processing system that warrants a DPIA and records its assessment status; Part 2 is the first fully-worked DPIA (the adults-only Person Graph).</w:t>
      </w:r>
    </w:p>
    <w:p>
      <w:r>
        <w:pict>
          <v:rect style="width:0;height:1.5pt" o:hralign="center" o:hrstd="t" o:hr="t"/>
        </w:pict>
      </w:r>
    </w:p>
    <w:bookmarkStart w:id="9" w:name="instrument-identity"/>
    <w:p>
      <w:pPr>
        <w:pStyle w:val="Heading2"/>
      </w:pPr>
      <w:r>
        <w:t xml:space="preserve">0. Instrument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 (PIC)</w:t>
            </w:r>
          </w:p>
        </w:tc>
        <w:tc>
          <w:tcPr/>
          <w:p>
            <w:pPr>
              <w:pStyle w:val="Compact"/>
            </w:pPr>
            <w:r>
              <w:t xml:space="preserve">SETNAYAN SOFTWARE DEVELOPMENT SERVICE — sole proprietorship of Indalecio Sacdalan Casasola II · DTI Business Name Reg. No. 8297508. Operating brand: Setnayan.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(DPO)</w:t>
            </w:r>
          </w:p>
        </w:tc>
        <w:tc>
          <w:tcPr/>
          <w:p>
            <w:pPr>
              <w:pStyle w:val="Compact"/>
            </w:pPr>
            <w:r>
              <w:t xml:space="preserve">Claire E. Buanhog · dpo@setnayan.com · registered (or registration in progress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) with the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owner</w:t>
            </w:r>
          </w:p>
        </w:tc>
        <w:tc>
          <w:tcPr/>
          <w:p>
            <w:pPr>
              <w:pStyle w:val="Compact"/>
            </w:pPr>
            <w:r>
              <w:t xml:space="preserve">DPO (Claire E. Buanhog)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infrastructure / processors</w:t>
            </w:r>
          </w:p>
        </w:tc>
        <w:tc>
          <w:tcPr/>
          <w:p>
            <w:pPr>
              <w:pStyle w:val="Compact"/>
            </w:pPr>
            <w:r>
              <w:t xml:space="preserve">Vercel (hosting) · Supabase (Postgres, Singapore region) · Cloudflare R2 (object storage, APAC/PH region) · Resend (transactional email) · Persona / Veriff / Onfido (vendor ID + liveness) · Anthropic (Claude API) / OpenAI (fallback) · AMLC API / ComplyAdvantage (sanctions screening) · DTI Database (business-registration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Governing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01_Contracts/Setnayan_Privacy_and_Security_Policy.md</w:t>
            </w:r>
            <w:r>
              <w:t xml:space="preserve"> </w:t>
            </w:r>
            <w:r>
              <w:t xml:space="preserve">(v1, locked 2026-05-12; Person-Graph amendment 2026-07-05 in 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status</w:t>
            </w:r>
          </w:p>
        </w:tc>
        <w:tc>
          <w:tcPr/>
          <w:p>
            <w:pPr>
              <w:pStyle w:val="Compact"/>
            </w:pPr>
            <w:r>
              <w:t xml:space="preserve">DRAFT — pending DPO adoption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version / date</w:t>
            </w:r>
          </w:p>
        </w:tc>
        <w:tc>
          <w:tcPr/>
          <w:p>
            <w:pPr>
              <w:pStyle w:val="Compact"/>
            </w:pPr>
            <w:r>
              <w:t xml:space="preserve">2026-07-05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part-1-dpia-register-index"/>
    <w:p>
      <w:pPr>
        <w:pStyle w:val="Heading1"/>
      </w:pPr>
      <w:r>
        <w:t xml:space="preserve">Part 1 — DPIA Register (index)</w:t>
      </w:r>
    </w:p>
    <w:p>
      <w:pPr>
        <w:pStyle w:val="FirstParagraph"/>
      </w:pPr>
      <w:r>
        <w:t xml:space="preserve">Each row is a distinct processing system (or coherent processing activity) assessed for whether it warrants a DPIA, and, if so, the DPIA’s current status.</w:t>
      </w:r>
    </w:p>
    <w:p>
      <w:pPr>
        <w:pStyle w:val="BodyText"/>
      </w:pPr>
      <w:r>
        <w:rPr>
          <w:b/>
          <w:bCs/>
        </w:rPr>
        <w:t xml:space="preserve">Status legend: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= full DPIA finished and DPO-signed ·</w:t>
      </w:r>
      <w:r>
        <w:t xml:space="preserve"> </w:t>
      </w:r>
      <w:r>
        <w:rPr>
          <w:b/>
          <w:bCs/>
        </w:rPr>
        <w:t xml:space="preserve">In-progress</w:t>
      </w:r>
      <w:r>
        <w:t xml:space="preserve"> </w:t>
      </w:r>
      <w:r>
        <w:t xml:space="preserve">= DPIA drafting/assessment underway ·</w:t>
      </w:r>
      <w:r>
        <w:t xml:space="preserve"> </w:t>
      </w:r>
      <w:r>
        <w:rPr>
          <w:b/>
          <w:bCs/>
        </w:rPr>
        <w:t xml:space="preserve">Pending — counsel-first</w:t>
      </w:r>
      <w:r>
        <w:t xml:space="preserve"> </w:t>
      </w:r>
      <w:r>
        <w:t xml:space="preserve">= DPIA required before or alongside build; must be reviewed by PH counsel + DPO before the processing goes live (or, where noted, before it is designed).</w:t>
      </w:r>
    </w:p>
    <w:p>
      <w:pPr>
        <w:pStyle w:val="BodyText"/>
      </w:pPr>
      <w:r>
        <w:rPr>
          <w:b/>
          <w:bCs/>
        </w:rPr>
        <w:t xml:space="preserve">Risk-level legend:</w:t>
      </w:r>
      <w:r>
        <w:t xml:space="preserve"> </w:t>
      </w:r>
      <w:r>
        <w:t xml:space="preserve">HIGH / MED / LOW = inherent risk to data-subject rights and freedoms before residual-control weighting (biometric, government-ID, financial, minors, and involuntary-inference processing default to HIGH).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Processing system</w:t>
            </w:r>
          </w:p>
        </w:tc>
        <w:tc>
          <w:tcPr/>
          <w:p>
            <w:pPr>
              <w:pStyle w:val="Compact"/>
            </w:pPr>
            <w:r>
              <w:t xml:space="preserve">Data-subject(s)</w:t>
            </w:r>
          </w:p>
        </w:tc>
        <w:tc>
          <w:tcPr/>
          <w:p>
            <w:pPr>
              <w:pStyle w:val="Compact"/>
            </w:pPr>
            <w:r>
              <w:t xml:space="preserve">Sensitive-data trigger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DPIA status</w:t>
            </w:r>
          </w:p>
        </w:tc>
        <w:tc>
          <w:tcPr/>
          <w:p>
            <w:pPr>
              <w:pStyle w:val="Compact"/>
            </w:pPr>
            <w:r>
              <w:t xml:space="preserve">DPIA owner</w:t>
            </w:r>
          </w:p>
        </w:tc>
        <w:tc>
          <w:tcPr/>
          <w:p>
            <w:pPr>
              <w:pStyle w:val="Compact"/>
            </w:pPr>
            <w:r>
              <w:t xml:space="preserve">Last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vectors / biometric auto-tagging</w:t>
            </w:r>
            <w:r>
              <w:t xml:space="preserve"> </w:t>
            </w:r>
            <w:r>
              <w:t xml:space="preserve">— 128-dim per-event face vectors from RSVP photo + portal upload + check-in kiosk, used to auto-tag gallery photos</w:t>
            </w:r>
          </w:p>
        </w:tc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= sensitive personal information (RA 10173 § 3(l))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 — counsel-first</w:t>
            </w:r>
            <w:r>
              <w:t xml:space="preserve"> </w:t>
            </w:r>
            <w:r>
              <w:t xml:space="preserve">— full DPIA now DRAFTED: see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06_DPIA_Face_Vectors_DRAFT_2026-07-05.md</w:t>
            </w:r>
            <w:r>
              <w:t xml:space="preserve">. Headline finding: current</w:t>
            </w:r>
            <w:r>
              <w:t xml:space="preserve"> </w:t>
            </w:r>
            <w:r>
              <w:t xml:space="preserve">“implicit consent”</w:t>
            </w:r>
            <w:r>
              <w:t xml:space="preserve"> </w:t>
            </w:r>
            <w:r>
              <w:t xml:space="preserve">via RSVP photo upload is likely insufficient for biometric data — explicit, separate, evidenced face-recognition opt-in required before wider rollout. Pending DPO/counsel sign-off.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 Graph</w:t>
            </w:r>
            <w:r>
              <w:t xml:space="preserve"> </w:t>
            </w:r>
            <w:r>
              <w:t xml:space="preserve">(connections + life-story references + trusted-circle signal), adults-only</w:t>
            </w:r>
          </w:p>
        </w:tc>
        <w:tc>
          <w:tcPr/>
          <w:p>
            <w:pPr>
              <w:pStyle w:val="Compact"/>
            </w:pPr>
            <w:r>
              <w:t xml:space="preserve">Adult account holders + claimed/seeded persons</w:t>
            </w:r>
          </w:p>
        </w:tc>
        <w:tc>
          <w:tcPr/>
          <w:p>
            <w:pPr>
              <w:pStyle w:val="Compact"/>
            </w:pPr>
            <w:r>
              <w:t xml:space="preserve">Relationship data; potential sensitive inference</w:t>
            </w:r>
          </w:p>
        </w:tc>
        <w:tc>
          <w:tcPr/>
          <w:p>
            <w:pPr>
              <w:pStyle w:val="Compact"/>
            </w:pPr>
            <w:r>
              <w:t xml:space="preserve">MED (residual 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see Part 2 of this document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2026-07-05 (this 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verification</w:t>
            </w:r>
            <w:r>
              <w:t xml:space="preserve"> </w:t>
            </w:r>
            <w:r>
              <w:t xml:space="preserve">— government ID, liveness/selfie, DTI/BIR permits, AMLC sanctions/PEP screening, client-reference calls</w:t>
            </w:r>
          </w:p>
        </w:tc>
        <w:tc>
          <w:tcPr/>
          <w:p>
            <w:pPr>
              <w:pStyle w:val="Compact"/>
            </w:pPr>
            <w:r>
              <w:t xml:space="preserve">Vendors (primary representatives)</w:t>
            </w:r>
          </w:p>
        </w:tc>
        <w:tc>
          <w:tcPr/>
          <w:p>
            <w:pPr>
              <w:pStyle w:val="Compact"/>
            </w:pPr>
            <w:r>
              <w:t xml:space="preserve">Government-issued ID; liveness biometrics; AMLC watchlist screening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— counsel-first</w:t>
            </w:r>
            <w:r>
              <w:t xml:space="preserve"> </w:t>
            </w:r>
            <w:r>
              <w:t xml:space="preserve">— processing is live in code; DPIA to be formalized. Covers Persona/Veriff/Onfido, AMLC/ComplyAdvantage, DTI Database sub-processors + cross-border transfer (US).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 &amp; reconciliation</w:t>
            </w:r>
            <w:r>
              <w:t xml:space="preserve"> </w:t>
            </w:r>
            <w:r>
              <w:t xml:space="preserve">— apply-then-pay orders, BDO/GCash reference matching, partial bank/e-wallet details on receipts, payment-inbox reconciliation</w:t>
            </w:r>
          </w:p>
        </w:tc>
        <w:tc>
          <w:tcPr/>
          <w:p>
            <w:pPr>
              <w:pStyle w:val="Compact"/>
            </w:pPr>
            <w:r>
              <w:t xml:space="preserve">Customers, vendors</w:t>
            </w:r>
          </w:p>
        </w:tc>
        <w:tc>
          <w:tcPr/>
          <w:p>
            <w:pPr>
              <w:pStyle w:val="Compact"/>
            </w:pPr>
            <w:r>
              <w:t xml:space="preserve">Financial data (partial account identifiers; transaction history)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— DPIA to be written; note no full card/CVV/account numbers stored (§ 1.1 of policy).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Minors &amp; Legacy (Phase 3 — stewarded / branch accounts)</w:t>
            </w:r>
            <w:r>
              <w:t xml:space="preserve"> </w:t>
            </w:r>
            <w:r>
              <w:t xml:space="preserve">— guardian-held child memories to age of majority; post-mortem legacy transfer down the family line</w:t>
            </w:r>
          </w:p>
        </w:tc>
        <w:tc>
          <w:tcPr/>
          <w:p>
            <w:pPr>
              <w:pStyle w:val="Compact"/>
            </w:pPr>
            <w:r>
              <w:t xml:space="preserve">Minors; deceased persons’ data; guardians/heirs</w:t>
            </w:r>
          </w:p>
        </w:tc>
        <w:tc>
          <w:tcPr/>
          <w:p>
            <w:pPr>
              <w:pStyle w:val="Compact"/>
            </w:pPr>
            <w:r>
              <w:t xml:space="preserve">Data about minors; post-mortem control; guardianship consent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— counsel-first · NOT PROCESSED YET</w:t>
            </w:r>
            <w:r>
              <w:t xml:space="preserve"> </w:t>
            </w:r>
            <w:r>
              <w:t xml:space="preserve">— adults-only today;</w:t>
            </w:r>
            <w:r>
              <w:t xml:space="preserve"> </w:t>
            </w:r>
            <w:r>
              <w:rPr>
                <w:b/>
                <w:bCs/>
              </w:rPr>
              <w:t xml:space="preserve">no minor data is processed.</w:t>
            </w:r>
            <w:r>
              <w:t xml:space="preserve"> </w:t>
            </w:r>
            <w:r>
              <w:t xml:space="preserve">A full DPIA + NPC consultation is required</w:t>
            </w:r>
            <w:r>
              <w:t xml:space="preserve"> </w:t>
            </w:r>
            <w:r>
              <w:rPr>
                <w:b/>
                <w:bCs/>
              </w:rPr>
              <w:t xml:space="preserve">before any design-to-build</w:t>
            </w:r>
            <w:r>
              <w:t xml:space="preserve">, not merely before launch.</w:t>
            </w:r>
            <w:r>
              <w:t xml:space="preserve"> </w:t>
            </w:r>
            <w:r>
              <w:rPr>
                <w:b/>
                <w:bCs/>
              </w:rPr>
              <w:t xml:space="preserve">FLAGGED.</w:t>
            </w:r>
            <w:r>
              <w:t xml:space="preserve"> </w:t>
            </w:r>
            <w:r>
              <w:t xml:space="preserve">Instrument:</w:t>
            </w:r>
            <w:r>
              <w:t xml:space="preserve"> </w:t>
            </w:r>
            <w:r>
              <w:rPr>
                <w:rStyle w:val="VerbatimChar"/>
              </w:rPr>
              <w:t xml:space="preserve">Phase3_Minors_and_Legacy_Counsel_Brief_2026-07-05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Intelligence (0032)</w:t>
            </w:r>
            <w:r>
              <w:t xml:space="preserve"> </w:t>
            </w:r>
            <w:r>
              <w:t xml:space="preserve">— vendor contract text extracted from uploads, sent to Claude API (Anthropic, US; OpenAI fallback) for analysis</w:t>
            </w:r>
          </w:p>
        </w:tc>
        <w:tc>
          <w:tcPr/>
          <w:p>
            <w:pPr>
              <w:pStyle w:val="Compact"/>
            </w:pPr>
            <w:r>
              <w:t xml:space="preserve">Vendors, and third parties named in contracts</w:t>
            </w:r>
          </w:p>
        </w:tc>
        <w:tc>
          <w:tcPr/>
          <w:p>
            <w:pPr>
              <w:pStyle w:val="Compact"/>
            </w:pPr>
            <w:r>
              <w:t xml:space="preserve">Cross-border transfer to US LLM sub-processor; possibly sensitive contract terms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[TO CONFIRM]</w:t>
            </w:r>
            <w:r>
              <w:t xml:space="preserve"> </w:t>
            </w:r>
            <w:r>
              <w:t xml:space="preserve">— Anthropic zero-retention mode + SCCs in place (policy § 10); DPIA to confirm scope. Listed for completeness; owner to confirm whether it merits a standalone DPIA or folds under R-03/vendor processing.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/ communications (0019)</w:t>
            </w:r>
            <w:r>
              <w:t xml:space="preserve"> </w:t>
            </w:r>
            <w:r>
              <w:t xml:space="preserve">— customer↔vendor↔coordinator messages, thread file attachments (docs/images/PDF), pasted external meeting links</w:t>
            </w:r>
          </w:p>
        </w:tc>
        <w:tc>
          <w:tcPr/>
          <w:p>
            <w:pPr>
              <w:pStyle w:val="Compact"/>
            </w:pPr>
            <w:r>
              <w:t xml:space="preserve">Customers, vendors, coordinators, guests</w:t>
            </w:r>
          </w:p>
        </w:tc>
        <w:tc>
          <w:tcPr/>
          <w:p>
            <w:pPr>
              <w:pStyle w:val="Compact"/>
            </w:pPr>
            <w:r>
              <w:t xml:space="preserve">Free-text messages may contain incidental sensitive data</w:t>
            </w:r>
          </w:p>
        </w:tc>
        <w:tc>
          <w:tcPr/>
          <w:p>
            <w:pPr>
              <w:pStyle w:val="Compact"/>
            </w:pPr>
            <w:r>
              <w:t xml:space="preserve">LOW–MED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[TO CONFIRM]</w:t>
            </w:r>
            <w:r>
              <w:t xml:space="preserve"> </w:t>
            </w:r>
            <w:r>
              <w:t xml:space="preserve">— video meetings retired 2026-05-16 (no video data stored); text + files persist to Postgres/R2. Owner to confirm standalone vs. folded.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Anti-Fraud &amp; Trust Integrity</w:t>
            </w:r>
            <w:r>
              <w:t xml:space="preserve"> </w:t>
            </w:r>
            <w:r>
              <w:t xml:space="preserve">— identity clustering (shared device/address/payment), per-cluster de-dup of vendor trust stats, vendor fraud scoring, + two-stage enforcement (reversible auto-suspend + four-eyes wipe/ban)</w:t>
            </w:r>
          </w:p>
        </w:tc>
        <w:tc>
          <w:tcPr/>
          <w:p>
            <w:pPr>
              <w:pStyle w:val="Compact"/>
            </w:pPr>
            <w:r>
              <w:t xml:space="preserve">Couples/guests (identity-clustered) + vendors (scored/enforced)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Involuntary profiling + automated decision with significant effects</w:t>
            </w:r>
            <w:r>
              <w:t xml:space="preserve"> </w:t>
            </w:r>
            <w:r>
              <w:t xml:space="preserve">(auto-suspend / ban); repurposed device/address/payment personal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 — counsel-first · LIVE AHEAD OF SIGN-OFF</w:t>
            </w:r>
            <w:r>
              <w:t xml:space="preserve"> </w:t>
            </w:r>
            <w:r>
              <w:t xml:space="preserve">— full DPIA now DRAFTED: see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08_DPIA_AntiFraud_Trust_Integrity_2026-07-07.md</w:t>
            </w:r>
            <w:r>
              <w:t xml:space="preserve">. Shipped to prod 2026-07-07 (PRs #2834/#2835/#2836/#2838/#2841) ahead of counsel review (owner-elected). Headline finding: processing is</w:t>
            </w:r>
            <w:r>
              <w:t xml:space="preserve"> </w:t>
            </w:r>
            <w:r>
              <w:rPr>
                <w:b/>
                <w:bCs/>
              </w:rPr>
              <w:t xml:space="preserve">undisclosed</w:t>
            </w:r>
            <w:r>
              <w:t xml:space="preserve"> </w:t>
            </w:r>
            <w:r>
              <w:t xml:space="preserve">— a Privacy Policy Anti-Fraud amendment (notice + § 12(f) basis + right to object) + a documented LIA + a formal automated-decision contest path are required. Pending DPO/counsel sign-off.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the register.</w:t>
      </w:r>
      <w:r>
        <w:t xml:space="preserve"> </w:t>
      </w:r>
      <w:r>
        <w:t xml:space="preserve">- Rows R-06 and R-07 are listed for completeness and are candidates for consolidation into adjacent DPIAs at the DPO’s discretion;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priority items.</w:t>
      </w:r>
      <w:r>
        <w:t xml:space="preserve"> </w:t>
      </w:r>
      <w:r>
        <w:t xml:space="preserve">- The four priority items for counsel are</w:t>
      </w:r>
      <w:r>
        <w:t xml:space="preserve"> </w:t>
      </w:r>
      <w:r>
        <w:rPr>
          <w:b/>
          <w:bCs/>
        </w:rPr>
        <w:t xml:space="preserve">R-01 (biometric)</w:t>
      </w:r>
      <w:r>
        <w:t xml:space="preserve">,</w:t>
      </w:r>
      <w:r>
        <w:t xml:space="preserve"> </w:t>
      </w:r>
      <w:r>
        <w:rPr>
          <w:b/>
          <w:bCs/>
        </w:rPr>
        <w:t xml:space="preserve">R-03 (vendor ID)</w:t>
      </w:r>
      <w:r>
        <w:t xml:space="preserve">,</w:t>
      </w:r>
      <w:r>
        <w:t xml:space="preserve"> </w:t>
      </w:r>
      <w:r>
        <w:rPr>
          <w:b/>
          <w:bCs/>
        </w:rPr>
        <w:t xml:space="preserve">R-05 (minors/legacy)</w:t>
      </w:r>
      <w:r>
        <w:t xml:space="preserve">, and — for confirmation of two narrow bases only —</w:t>
      </w:r>
      <w:r>
        <w:t xml:space="preserve"> </w:t>
      </w:r>
      <w:r>
        <w:rPr>
          <w:b/>
          <w:bCs/>
        </w:rPr>
        <w:t xml:space="preserve">R-02 (person graph)</w:t>
      </w:r>
      <w:r>
        <w:t xml:space="preserve">.</w:t>
      </w:r>
      <w:r>
        <w:t xml:space="preserve"> </w:t>
      </w:r>
      <w:r>
        <w:rPr>
          <w:b/>
          <w:bCs/>
        </w:rPr>
        <w:t xml:space="preserve">R-08 (anti-fraud) is now a fifth priority — and uniquely urgent because it is already LIVE in production ahead of counsel review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08_DPIA_AntiFraud_Trust_Integrity_2026-07-07.md</w:t>
      </w:r>
      <w:r>
        <w:t xml:space="preserve"> </w:t>
      </w:r>
      <w:r>
        <w:t xml:space="preserve">status banner); its transparency/disclosure gap should be closed promptly.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[TO CONFIRM date]</w:t>
      </w:r>
      <w:r>
        <w:t xml:space="preserve"> </w:t>
      </w:r>
      <w:r>
        <w:t xml:space="preserve">in every</w:t>
      </w:r>
      <w:r>
        <w:t xml:space="preserve"> </w:t>
      </w:r>
      <w:r>
        <w:t xml:space="preserve">“Last reviewed”</w:t>
      </w:r>
      <w:r>
        <w:t xml:space="preserve"> </w:t>
      </w:r>
      <w:r>
        <w:t xml:space="preserve">cell must be set by the DPO on adoption; R-02’s review date is the date this draft is signed off.</w:t>
      </w:r>
    </w:p>
    <w:p>
      <w:r>
        <w:pict>
          <v:rect style="width:0;height:1.5pt" o:hralign="center" o:hrstd="t" o:hr="t"/>
        </w:pict>
      </w:r>
    </w:p>
    <w:bookmarkEnd w:id="11"/>
    <w:bookmarkStart w:id="18" w:name="Xae2bd3fe1081ec6b60b5c8a79469ce1d7182efd"/>
    <w:p>
      <w:pPr>
        <w:pStyle w:val="Heading1"/>
      </w:pPr>
      <w:r>
        <w:t xml:space="preserve">Part 2 — Full DPIA: Person Graph (adults-only)</w:t>
      </w:r>
    </w:p>
    <w:p>
      <w:pPr>
        <w:pStyle w:val="BlockText"/>
      </w:pPr>
      <w:r>
        <w:t xml:space="preserve">Formalizes and expands the self-assessment in</w:t>
      </w:r>
      <w:r>
        <w:t xml:space="preserve"> </w:t>
      </w:r>
      <w:r>
        <w:rPr>
          <w:rStyle w:val="VerbatimChar"/>
        </w:rPr>
        <w:t xml:space="preserve">03_Strategy/Compliance_Pack_PersonGraph_DRAFT_2026-07-05.md</w:t>
      </w:r>
      <w:r>
        <w:t xml:space="preserve"> </w:t>
      </w:r>
      <w:r>
        <w:t xml:space="preserve">§ 2 into the NPC PIA/DPIA structure. Scope is strictly the</w:t>
      </w:r>
      <w:r>
        <w:t xml:space="preserve"> </w:t>
      </w:r>
      <w:r>
        <w:rPr>
          <w:b/>
          <w:bCs/>
        </w:rPr>
        <w:t xml:space="preserve">adults-only</w:t>
      </w:r>
      <w:r>
        <w:t xml:space="preserve"> </w:t>
      </w:r>
      <w:r>
        <w:t xml:space="preserve">Phase-2 person-graph features live behind flags as of 2026-07-05.</w:t>
      </w:r>
      <w:r>
        <w:t xml:space="preserve"> </w:t>
      </w:r>
      <w:r>
        <w:rPr>
          <w:b/>
          <w:bCs/>
        </w:rPr>
        <w:t xml:space="preserve">Minors and legacy (Phase 3) are expressly out of scope</w:t>
      </w:r>
      <w:r>
        <w:t xml:space="preserve"> </w:t>
      </w:r>
      <w:r>
        <w:t xml:space="preserve">and carry their own counsel-first DPIA (register R-05).</w:t>
      </w:r>
    </w:p>
    <w:bookmarkStart w:id="12" w:name="description-of-the-processing"/>
    <w:p>
      <w:pPr>
        <w:pStyle w:val="Heading2"/>
      </w:pPr>
      <w:r>
        <w:t xml:space="preserve">2.1 Description of the processing</w:t>
      </w:r>
    </w:p>
    <w:p>
      <w:pPr>
        <w:pStyle w:val="FirstParagraph"/>
      </w:pPr>
      <w:r>
        <w:rPr>
          <w:b/>
          <w:bCs/>
        </w:rPr>
        <w:t xml:space="preserve">What is processed.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 node</w:t>
      </w:r>
      <w:r>
        <w:t xml:space="preserve"> </w:t>
      </w:r>
      <w:r>
        <w:t xml:space="preserve">— a durable profile: name, optional photo, and the list of events the person takes part in. Every account is one person; a person may also be</w:t>
      </w:r>
      <w:r>
        <w:t xml:space="preserve"> </w:t>
      </w:r>
      <w:r>
        <w:rPr>
          <w:i/>
          <w:iCs/>
        </w:rPr>
        <w:t xml:space="preserve">seeded</w:t>
      </w:r>
      <w:r>
        <w:t xml:space="preserve"> </w:t>
      </w:r>
      <w:r>
        <w:t xml:space="preserve">by a host (e.g. added as a guest) and later</w:t>
      </w:r>
      <w:r>
        <w:t xml:space="preserve"> </w:t>
      </w:r>
      <w:r>
        <w:rPr>
          <w:i/>
          <w:iCs/>
        </w:rPr>
        <w:t xml:space="preserve">claimed</w:t>
      </w:r>
      <w:r>
        <w:t xml:space="preserve"> </w:t>
      </w:r>
      <w:r>
        <w:t xml:space="preserve">by the real person so their own history follows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— a relationship edge between two people. Type ∈ {spouse, parent, sibling, child, godparent, friend}; state ∈ {pending → confirmed}. Extended/derived relationships (grandparents, cousins, in-laws) are</w:t>
      </w:r>
      <w:r>
        <w:t xml:space="preserve"> </w:t>
      </w:r>
      <w:r>
        <w:rPr>
          <w:b/>
          <w:bCs/>
        </w:rPr>
        <w:t xml:space="preserve">computed on read, never stored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Life-story items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references (pointers), not copies</w:t>
      </w:r>
      <w:r>
        <w:t xml:space="preserve">, to a photo/clip/editorial the person appears in, so the item can also surface in that person’s own private archive. No image bytes are duplicated; media stays in its single system-of-record (R2).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Trusted-circle signal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computed, aggregated</w:t>
      </w:r>
      <w:r>
        <w:t xml:space="preserve"> </w:t>
      </w:r>
      <w:r>
        <w:t xml:space="preserve">count of how many people in a person’s circle explicitly endorsed a given vendor.</w:t>
      </w:r>
      <w:r>
        <w:t xml:space="preserve"> </w:t>
      </w:r>
      <w:r>
        <w:rPr>
          <w:b/>
          <w:bCs/>
        </w:rPr>
        <w:t xml:space="preserve">Not stored</w:t>
      </w:r>
      <w:r>
        <w:t xml:space="preserve"> </w:t>
      </w:r>
      <w:r>
        <w:t xml:space="preserve">as a per-person record.</w:t>
      </w:r>
    </w:p>
    <w:p>
      <w:pPr>
        <w:pStyle w:val="BodyText"/>
      </w:pPr>
      <w:r>
        <w:rPr>
          <w:b/>
          <w:bCs/>
        </w:rPr>
        <w:t xml:space="preserve">Why (purpose).</w:t>
      </w:r>
      <w:r>
        <w:t xml:space="preserve"> </w:t>
      </w:r>
      <w:r>
        <w:t xml:space="preserve">To let a person’s memories and confirmed relationships follow them across events (the product’s core</w:t>
      </w:r>
      <w:r>
        <w:t xml:space="preserve"> </w:t>
      </w:r>
      <w:r>
        <w:t xml:space="preserve">“living memories”</w:t>
      </w:r>
      <w:r>
        <w:t xml:space="preserve"> </w:t>
      </w:r>
      <w:r>
        <w:t xml:space="preserve">purpose), and to surface aggregate, consent-based vendor trust signals — without building a browsable social directory or any advertising/data-broker use.</w:t>
      </w:r>
    </w:p>
    <w:p>
      <w:pPr>
        <w:pStyle w:val="BodyText"/>
      </w:pPr>
      <w:r>
        <w:rPr>
          <w:b/>
          <w:bCs/>
        </w:rPr>
        <w:t xml:space="preserve">Data subjects.</w:t>
      </w:r>
      <w:r>
        <w:t xml:space="preserve"> </w:t>
      </w:r>
      <w:r>
        <w:t xml:space="preserve">Adult Setnayan account holders and adult persons seeded by a host and not-yet-claimed. No minors.</w:t>
      </w:r>
    </w:p>
    <w:p>
      <w:pPr>
        <w:pStyle w:val="BodyText"/>
      </w:pPr>
      <w:r>
        <w:rPr>
          <w:b/>
          <w:bCs/>
        </w:rPr>
        <w:t xml:space="preserve">Data categories.</w:t>
      </w:r>
      <w:r>
        <w:t xml:space="preserve"> </w:t>
      </w:r>
      <w:r>
        <w:t xml:space="preserve">- Identity: name, optional photo (already collected under policy § 1.1/§ 1.3).</w:t>
      </w:r>
      <w:r>
        <w:t xml:space="preserve"> </w:t>
      </w:r>
      <w:r>
        <w:t xml:space="preserve">- Relationship: first-degree declared edges only; extended kin derived, not stored.</w:t>
      </w:r>
      <w:r>
        <w:t xml:space="preserve"> </w:t>
      </w:r>
      <w:r>
        <w:t xml:space="preserve">- Content references: pointers to media the person appears in (governed by the source media’s own consent + retention).</w:t>
      </w:r>
      <w:r>
        <w:t xml:space="preserve"> </w:t>
      </w:r>
      <w:r>
        <w:t xml:space="preserve">- Derived/aggregate: trusted-circle count (computed, not stored).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collected here:</w:t>
      </w:r>
      <w:r>
        <w:t xml:space="preserve"> </w:t>
      </w:r>
      <w:r>
        <w:t xml:space="preserve">contact details of connected persons (name-only visibility), face/biometric origin (no face field in the graph schema), booking history as a trust input.</w:t>
      </w:r>
    </w:p>
    <w:p>
      <w:pPr>
        <w:pStyle w:val="BodyText"/>
      </w:pPr>
      <w:r>
        <w:rPr>
          <w:b/>
          <w:bCs/>
        </w:rPr>
        <w:t xml:space="preserve">Systems / data flows.</w:t>
      </w:r>
      <w:r>
        <w:t xml:space="preserve"> </w:t>
      </w:r>
      <w:r>
        <w:t xml:space="preserve">1. Person A initiates a connection request → B receives a just-in-time notice → B confirms or declines.</w:t>
      </w:r>
      <w:r>
        <w:t xml:space="preserve"> </w:t>
      </w:r>
      <w:r>
        <w:t xml:space="preserve">2. Edge becomes real</w:t>
      </w:r>
      <w:r>
        <w:t xml:space="preserve"> </w:t>
      </w:r>
      <w:r>
        <w:rPr>
          <w:b/>
          <w:bCs/>
        </w:rPr>
        <w:t xml:space="preserve">only on mutual confirmation</w:t>
      </w:r>
      <w:r>
        <w:t xml:space="preserve">; declined edges are suppressed immediately.</w:t>
      </w:r>
      <w:r>
        <w:t xml:space="preserve"> </w:t>
      </w:r>
      <w:r>
        <w:t xml:space="preserve">3. Life-story references are assembled from events where photo-sharing consent was given at RSVP; the person can hide any item or opt out of an event’s story without touching the host’s gallery.</w:t>
      </w:r>
      <w:r>
        <w:t xml:space="preserve"> </w:t>
      </w:r>
      <w:r>
        <w:t xml:space="preserve">4. Trusted-circle score is computed at read time from</w:t>
      </w:r>
      <w:r>
        <w:t xml:space="preserve"> </w:t>
      </w:r>
      <w:r>
        <w:rPr>
          <w:b/>
          <w:bCs/>
        </w:rPr>
        <w:t xml:space="preserve">explicit endorsements/reviews only</w:t>
      </w:r>
      <w:r>
        <w:t xml:space="preserve">, gated by min-N ≥ 5, degree ≤ 2, never from bookings, never purchasable.</w:t>
      </w:r>
      <w:r>
        <w:t xml:space="preserve"> </w:t>
      </w:r>
      <w:r>
        <w:t xml:space="preserve">5. Storage:</w:t>
      </w:r>
      <w:r>
        <w:t xml:space="preserve"> </w:t>
      </w:r>
      <w:r>
        <w:rPr>
          <w:rStyle w:val="VerbatimChar"/>
        </w:rPr>
        <w:t xml:space="preserve">person_connections</w:t>
      </w:r>
      <w:r>
        <w:t xml:space="preserve"> </w:t>
      </w:r>
      <w:r>
        <w:t xml:space="preserve">(edges) +</w:t>
      </w:r>
      <w:r>
        <w:t xml:space="preserve"> </w:t>
      </w:r>
      <w:r>
        <w:rPr>
          <w:rStyle w:val="VerbatimChar"/>
        </w:rPr>
        <w:t xml:space="preserve">person_story_items</w:t>
      </w:r>
      <w:r>
        <w:t xml:space="preserve"> </w:t>
      </w:r>
      <w:r>
        <w:t xml:space="preserve">(references) in Supabase Postgres (Singapore); referenced media in Cloudflare R2 (APAC/PH). Deny-by-default RLS; participant-scoped access only.</w:t>
      </w:r>
    </w:p>
    <w:bookmarkEnd w:id="12"/>
    <w:bookmarkStart w:id="13" w:name="necessity-proportionality-assessment"/>
    <w:p>
      <w:pPr>
        <w:pStyle w:val="Heading2"/>
      </w:pPr>
      <w:r>
        <w:t xml:space="preserve">2.2 Necessity &amp; proportionality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Lawful basis.</w:t>
      </w:r>
      <w:r>
        <w:t xml:space="preserve"> </w:t>
      </w:r>
      <w:r>
        <w:t xml:space="preserve">Consent (RA 10173 § 12(a)) via mutual confirmation for connections; existing event photo-consent (RSVP) for life-story references; legitimate interest / aggregate-only for the trusted-circle signal, gated so no individual is identifiable.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— DPO/counsel to confirm the precise § 12/§ 13 basis mapping per data category.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Necessity.</w:t>
      </w:r>
      <w:r>
        <w:t xml:space="preserve"> </w:t>
      </w:r>
      <w:r>
        <w:t xml:space="preserve">Each element is necessary for the stated purpose: connections require the counterpart’s identity to be meaningful; life-story references require a pointer to the source media; the trusted-circle signal requires endorsement counts. No element collects more than the purpose needs.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Proportionality / minimization applied.</w:t>
      </w:r>
    </w:p>
    <w:p>
      <w:pPr>
        <w:pStyle w:val="Compact"/>
        <w:numPr>
          <w:ilvl w:val="1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declared first-degree edges</w:t>
      </w:r>
      <w:r>
        <w:t xml:space="preserve"> </w:t>
      </w:r>
      <w:r>
        <w:t xml:space="preserve">are persisted; extended kin is derived, not stored.</w:t>
      </w:r>
    </w:p>
    <w:p>
      <w:pPr>
        <w:pStyle w:val="Compact"/>
        <w:numPr>
          <w:ilvl w:val="1"/>
          <w:numId w:val="1002"/>
        </w:numPr>
      </w:pPr>
      <w:r>
        <w:t xml:space="preserve">Cross-person visibility is</w:t>
      </w:r>
      <w:r>
        <w:t xml:space="preserve"> </w:t>
      </w:r>
      <w:r>
        <w:rPr>
          <w:b/>
          <w:bCs/>
        </w:rPr>
        <w:t xml:space="preserve">name-only</w:t>
      </w:r>
      <w:r>
        <w:t xml:space="preserve"> </w:t>
      </w:r>
      <w:r>
        <w:t xml:space="preserve">— no contact details cross the edge.</w:t>
      </w:r>
    </w:p>
    <w:p>
      <w:pPr>
        <w:pStyle w:val="Compact"/>
        <w:numPr>
          <w:ilvl w:val="1"/>
          <w:numId w:val="1002"/>
        </w:numPr>
      </w:pPr>
      <w:r>
        <w:t xml:space="preserve">Life-story items are</w:t>
      </w:r>
      <w:r>
        <w:t xml:space="preserve"> </w:t>
      </w:r>
      <w:r>
        <w:rPr>
          <w:b/>
          <w:bCs/>
        </w:rPr>
        <w:t xml:space="preserve">references, not copies</w:t>
      </w:r>
      <w:r>
        <w:t xml:space="preserve"> </w:t>
      </w:r>
      <w:r>
        <w:t xml:space="preserve">— no media duplication.</w:t>
      </w:r>
    </w:p>
    <w:p>
      <w:pPr>
        <w:pStyle w:val="Compact"/>
        <w:numPr>
          <w:ilvl w:val="1"/>
          <w:numId w:val="1002"/>
        </w:numPr>
      </w:pPr>
      <w:r>
        <w:t xml:space="preserve">Trusted-circle is</w:t>
      </w:r>
      <w:r>
        <w:t xml:space="preserve"> </w:t>
      </w:r>
      <w:r>
        <w:rPr>
          <w:b/>
          <w:bCs/>
        </w:rPr>
        <w:t xml:space="preserve">computed, not stored</w:t>
      </w:r>
      <w:r>
        <w:t xml:space="preserve">, and</w:t>
      </w:r>
      <w:r>
        <w:t xml:space="preserve"> </w:t>
      </w:r>
      <w:r>
        <w:rPr>
          <w:b/>
          <w:bCs/>
        </w:rPr>
        <w:t xml:space="preserve">aggregated (min-N ≥ 5)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graph is</w:t>
      </w:r>
      <w:r>
        <w:t xml:space="preserve"> </w:t>
      </w:r>
      <w:r>
        <w:rPr>
          <w:b/>
          <w:bCs/>
        </w:rPr>
        <w:t xml:space="preserve">not browsable</w:t>
      </w:r>
      <w:r>
        <w:t xml:space="preserve"> </w:t>
      </w:r>
      <w:r>
        <w:t xml:space="preserve">— no</w:t>
      </w:r>
      <w:r>
        <w:t xml:space="preserve"> </w:t>
      </w:r>
      <w:r>
        <w:t xml:space="preserve">“people you may know”</w:t>
      </w:r>
      <w:r>
        <w:t xml:space="preserve">, no directory, no broadcast.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processing is necessary and proportionate to the purpose, with data minimization enforced structurally (schema + RLS), not merely by policy.</w:t>
      </w:r>
    </w:p>
    <w:bookmarkEnd w:id="13"/>
    <w:bookmarkStart w:id="14" w:name="consultation"/>
    <w:p>
      <w:pPr>
        <w:pStyle w:val="Heading2"/>
      </w:pPr>
      <w:r>
        <w:t xml:space="preserve">2.3 Consultation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DPO:</w:t>
      </w:r>
      <w:r>
        <w:t xml:space="preserve"> </w:t>
      </w:r>
      <w:r>
        <w:t xml:space="preserve">this DPIA is prepared for DPO review and sign-off (Claire E. Buanhog). Two narrow items (cross-event archiving basis; long-lived memory retention basis) are referred to the DPO/counsel for confirmation — see § 2.5.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subjects:</w:t>
      </w:r>
      <w:r>
        <w:t xml:space="preserve"> </w:t>
      </w:r>
      <w:r>
        <w:t xml:space="preserve">consulted at the point of processing via just-in-time consent/notice strings (drafted in the Compliance Pack § 1) rather than a formal survey; mutual-confirmation design means no processing occurs without the counterpart’s active choice.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counsel / NPC:</w:t>
      </w:r>
      <w:r>
        <w:t xml:space="preserve"> </w:t>
      </w:r>
      <w:r>
        <w:t xml:space="preserve">not required for the adults-only graph beyond the two confirmation items;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before any Phase-3 (minors/legacy) work (register R-05).</w:t>
      </w:r>
    </w:p>
    <w:bookmarkEnd w:id="14"/>
    <w:bookmarkStart w:id="15" w:name="risk-assessment-table"/>
    <w:p>
      <w:pPr>
        <w:pStyle w:val="Heading2"/>
      </w:pPr>
      <w:r>
        <w:t xml:space="preserve">2.4 Risk assessment table</w:t>
      </w:r>
    </w:p>
    <w:p>
      <w:pPr>
        <w:pStyle w:val="FirstParagraph"/>
      </w:pPr>
      <w:r>
        <w:t xml:space="preserve">Inherent risk = likelihood × impact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controls. Residual risk = risk remaining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controls already built.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Controls already built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PG-1</w:t>
            </w:r>
          </w:p>
        </w:tc>
        <w:tc>
          <w:tcPr/>
          <w:p>
            <w:pPr>
              <w:pStyle w:val="Compact"/>
            </w:pPr>
            <w:r>
              <w:t xml:space="preserve">Exposing a person’s data to someone they did not consent to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Mutual confirmation required;</w:t>
            </w:r>
            <w:r>
              <w:t xml:space="preserve"> </w:t>
            </w:r>
            <w:r>
              <w:rPr>
                <w:b/>
                <w:bCs/>
              </w:rPr>
              <w:t xml:space="preserve">name-only, confirmed-only</w:t>
            </w:r>
            <w:r>
              <w:t xml:space="preserve"> </w:t>
            </w:r>
            <w:r>
              <w:t xml:space="preserve">cross-person visibility (SQL</w:t>
            </w:r>
            <w:r>
              <w:t xml:space="preserve"> </w:t>
            </w:r>
            <w:r>
              <w:rPr>
                <w:rStyle w:val="VerbatimChar"/>
              </w:rPr>
              <w:t xml:space="preserve">visible_connection_names</w:t>
            </w:r>
            <w:r>
              <w:t xml:space="preserve">); no contact details cross the edge; deny-by-default RLS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PG-2</w:t>
            </w:r>
          </w:p>
        </w:tc>
        <w:tc>
          <w:tcPr/>
          <w:p>
            <w:pPr>
              <w:pStyle w:val="Compact"/>
            </w:pPr>
            <w:r>
              <w:t xml:space="preserve">The graph becoming a browsable social directory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Participant-scoped RLS; no</w:t>
            </w:r>
            <w:r>
              <w:t xml:space="preserve"> </w:t>
            </w:r>
            <w:r>
              <w:t xml:space="preserve">“people you may know”</w:t>
            </w:r>
            <w:r>
              <w:t xml:space="preserve">; no browse/search; edges private to the two people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PG-3</w:t>
            </w:r>
          </w:p>
        </w:tc>
        <w:tc>
          <w:tcPr/>
          <w:p>
            <w:pPr>
              <w:pStyle w:val="Compact"/>
            </w:pPr>
            <w:r>
              <w:t xml:space="preserve">A person’s photo appearing in another’s archive without a basis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Built on event-level photo consent (RSVP); per-person</w:t>
            </w:r>
            <w:r>
              <w:t xml:space="preserve"> </w:t>
            </w:r>
            <w:r>
              <w:rPr>
                <w:b/>
                <w:bCs/>
              </w:rPr>
              <w:t xml:space="preserve">hide</w:t>
            </w:r>
            <w:r>
              <w:t xml:space="preserve"> </w:t>
            </w:r>
            <w:r>
              <w:t xml:space="preserve">+ per-event</w:t>
            </w:r>
            <w:r>
              <w:t xml:space="preserve"> </w:t>
            </w:r>
            <w:r>
              <w:rPr>
                <w:b/>
                <w:bCs/>
              </w:rPr>
              <w:t xml:space="preserve">opt-out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references not copies</w:t>
            </w:r>
            <w:r>
              <w:t xml:space="preserve">; host gallery untouched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  <w:r>
              <w:t xml:space="preserve"> </w:t>
            </w:r>
            <w:r>
              <w:t xml:space="preserve">— cross-event archiving basis to be confirmed with counsel (see §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PG-4</w:t>
            </w:r>
          </w:p>
        </w:tc>
        <w:tc>
          <w:tcPr/>
          <w:p>
            <w:pPr>
              <w:pStyle w:val="Compact"/>
            </w:pPr>
            <w:r>
              <w:t xml:space="preserve">Inferring sensitive information from relationship data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Extended kin</w:t>
            </w:r>
            <w:r>
              <w:t xml:space="preserve"> </w:t>
            </w:r>
            <w:r>
              <w:rPr>
                <w:b/>
                <w:bCs/>
              </w:rPr>
              <w:t xml:space="preserve">derived, not stored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min-N ≥ 5</w:t>
            </w:r>
            <w:r>
              <w:t xml:space="preserve"> </w:t>
            </w:r>
            <w:r>
              <w:t xml:space="preserve">on any aggregate; only declared first-degree edges persisted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PG-5</w:t>
            </w:r>
          </w:p>
        </w:tc>
        <w:tc>
          <w:tcPr/>
          <w:p>
            <w:pPr>
              <w:pStyle w:val="Compact"/>
            </w:pPr>
            <w:r>
              <w:t xml:space="preserve">Vendor recommendations exposing who-used-whom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Aggregate-only;</w:t>
            </w:r>
            <w:r>
              <w:t xml:space="preserve"> </w:t>
            </w:r>
            <w:r>
              <w:rPr>
                <w:b/>
                <w:bCs/>
              </w:rPr>
              <w:t xml:space="preserve">min-N ≥ 5</w:t>
            </w:r>
            <w:r>
              <w:t xml:space="preserve">; explicit-endorsement-only (</w:t>
            </w:r>
            <w:r>
              <w:rPr>
                <w:b/>
                <w:bCs/>
              </w:rPr>
              <w:t xml:space="preserve">never bookings</w:t>
            </w:r>
            <w:r>
              <w:t xml:space="preserve">); degree ≤ 2; not purchasable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PG-6</w:t>
            </w:r>
          </w:p>
        </w:tc>
        <w:tc>
          <w:tcPr/>
          <w:p>
            <w:pPr>
              <w:pStyle w:val="Compact"/>
            </w:pPr>
            <w:r>
              <w:t xml:space="preserve">Cross-event face recognition / biometric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Structurally impossible in this schema</w:t>
            </w:r>
            <w:r>
              <w:t xml:space="preserve"> </w:t>
            </w:r>
            <w:r>
              <w:t xml:space="preserve">— association is tag/QR/confirmed-identity only; no face origin field; face vectors stay</w:t>
            </w:r>
            <w:r>
              <w:t xml:space="preserve"> </w:t>
            </w:r>
            <w:r>
              <w:rPr>
                <w:b/>
                <w:bCs/>
              </w:rPr>
              <w:t xml:space="preserve">per-event</w:t>
            </w:r>
            <w:r>
              <w:t xml:space="preserve"> </w:t>
            </w:r>
            <w:r>
              <w:t xml:space="preserve">(policy § 1.4)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PG-7</w:t>
            </w:r>
          </w:p>
        </w:tc>
        <w:tc>
          <w:tcPr/>
          <w:p>
            <w:pPr>
              <w:pStyle w:val="Compact"/>
            </w:pPr>
            <w:r>
              <w:t xml:space="preserve">Pending requests leaking a name before consent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Names resolve</w:t>
            </w:r>
            <w:r>
              <w:t xml:space="preserve"> </w:t>
            </w:r>
            <w:r>
              <w:rPr>
                <w:b/>
                <w:bCs/>
              </w:rPr>
              <w:t xml:space="preserve">only for confirmed edges</w:t>
            </w:r>
            <w:r>
              <w:t xml:space="preserve">; pending requests show a neutral label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PG-8</w:t>
            </w:r>
          </w:p>
        </w:tc>
        <w:tc>
          <w:tcPr/>
          <w:p>
            <w:pPr>
              <w:pStyle w:val="Compact"/>
            </w:pPr>
            <w:r>
              <w:t xml:space="preserve">Data kept longer than justified (over-retention)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Follows event/account retention (policy § 4); hide/opt-out takes effect immediately; a reference dies with its source 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  <w:r>
              <w:t xml:space="preserve"> </w:t>
            </w:r>
            <w:r>
              <w:t xml:space="preserve">— long-lived</w:t>
            </w:r>
            <w:r>
              <w:t xml:space="preserve"> </w:t>
            </w:r>
            <w:r>
              <w:t xml:space="preserve">“memory”</w:t>
            </w:r>
            <w:r>
              <w:t xml:space="preserve"> </w:t>
            </w:r>
            <w:r>
              <w:t xml:space="preserve">retention basis to be confirmed with counsel (see § 2.5)</w:t>
            </w:r>
          </w:p>
        </w:tc>
      </w:tr>
    </w:tbl>
    <w:bookmarkEnd w:id="15"/>
    <w:bookmarkStart w:id="16" w:name="residual-risk-conclusion"/>
    <w:p>
      <w:pPr>
        <w:pStyle w:val="Heading2"/>
      </w:pPr>
      <w:r>
        <w:t xml:space="preserve">2.5 Residual-risk conclusion</w:t>
      </w:r>
    </w:p>
    <w:p>
      <w:pPr>
        <w:pStyle w:val="FirstParagraph"/>
      </w:pPr>
      <w:r>
        <w:t xml:space="preserve">Residual risk across the person graph is</w:t>
      </w:r>
      <w:r>
        <w:t xml:space="preserve"> </w:t>
      </w:r>
      <w:r>
        <w:rPr>
          <w:b/>
          <w:bCs/>
        </w:rPr>
        <w:t xml:space="preserve">Low overall.</w:t>
      </w:r>
      <w:r>
        <w:t xml:space="preserve"> </w:t>
      </w:r>
      <w:r>
        <w:t xml:space="preserve">The design applies data minimization and consent structurally — mutual confirmation, name-only + confirmed-only visibility, min-N ≥ 5 aggregation, references-not-copies, per-person hide / per-event opt-out, no cross-event face recognition, and deny-by-default RLS — so the two highest inherent risks (PG-1, PG-6) reduce to Low.</w:t>
      </w:r>
    </w:p>
    <w:p>
      <w:pPr>
        <w:pStyle w:val="BodyText"/>
      </w:pPr>
      <w:r>
        <w:rPr>
          <w:b/>
          <w:bCs/>
        </w:rPr>
        <w:t xml:space="preserve">Two items are flagged for counsel confirmation (not redesign):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PG-3 — cross-event photo archiving basis.</w:t>
      </w:r>
      <w:r>
        <w:t xml:space="preserve"> </w:t>
      </w:r>
      <w:r>
        <w:t xml:space="preserve">Confirm that the event-level RSVP photo consent is an adequate lawful basis for a photo the person appears in to also surface in</w:t>
      </w:r>
      <w:r>
        <w:t xml:space="preserve"> </w:t>
      </w:r>
      <w:r>
        <w:rPr>
          <w:i/>
          <w:iCs/>
        </w:rPr>
        <w:t xml:space="preserve">their own</w:t>
      </w:r>
      <w:r>
        <w:t xml:space="preserve"> </w:t>
      </w:r>
      <w:r>
        <w:t xml:space="preserve">private archive across events. (Counsel brief §4.4 reference.)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PG-8 — long-lived</w:t>
      </w:r>
      <w:r>
        <w:rPr>
          <w:b/>
          <w:bCs/>
        </w:rPr>
        <w:t xml:space="preserve"> </w:t>
      </w:r>
      <w:r>
        <w:rPr>
          <w:b/>
          <w:bCs/>
        </w:rPr>
        <w:t xml:space="preserve">“memory”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 basis.</w:t>
      </w:r>
      <w:r>
        <w:t xml:space="preserve"> </w:t>
      </w:r>
      <w:r>
        <w:t xml:space="preserve">Confirm the lawful basis and disclosure for intentionally long-lived preservation of memories (the product’s purpose), so retention is justified-and-disclosed rather than open-ended.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Proceed with the adults-only person graph</w:t>
      </w:r>
      <w:r>
        <w:t xml:space="preserve"> </w:t>
      </w:r>
      <w:r>
        <w:rPr>
          <w:b/>
          <w:bCs/>
        </w:rPr>
        <w:t xml:space="preserve">once (a) the Privacy Policy Person-Graph amendment (2026-07-05) is approved and (b) the two confirmation items above are answered</w:t>
      </w:r>
      <w:r>
        <w:t xml:space="preserve"> </w:t>
      </w:r>
      <w:r>
        <w:t xml:space="preserve">by the DPO/counsel. No redesign is indicated.</w:t>
      </w:r>
    </w:p>
    <w:bookmarkEnd w:id="16"/>
    <w:bookmarkStart w:id="17" w:name="sign-off"/>
    <w:p>
      <w:pPr>
        <w:pStyle w:val="Heading2"/>
      </w:pPr>
      <w:r>
        <w:t xml:space="preserve">2.6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Claire E. Buanhog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(for SETNAYAN SOFTWARE DEVELOPMENT SERVICE)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rPr>
          <w:rStyle w:val="VerbatimChar"/>
        </w:rPr>
        <w:t xml:space="preserve">[TO CONFIRM date]</w:t>
      </w:r>
      <w:r>
        <w:t xml:space="preserve"> </w:t>
      </w:r>
      <w:r>
        <w:t xml:space="preserve">(recommend: at any material change to the person-graph schema/consent, or 12 months from adoption, whichever is sooner).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compliant baseline prepared ahead of counsel; it is not a substitute for legal review. To be finalized with Claire E. Buanhog (DPO) and PH counsel. The Person-Graph Privacy Policy amendment publishes only after sign-off; the biometric (R-01), vendor-verification (R-03), and minors/legacy (R-05) DPIAs remain outstanding and counsel-first.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2026-07-07T15:17:50Z</dcterms:created>
  <dcterms:modified xsi:type="dcterms:W3CDTF">2026-07-07T15:17:50Z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