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66ae6dfd4c1a0c11e6ffa2365b644436f6b62f"/>
      <w:r>
        <w:t xml:space="preserve">Iteration 0025 — Profile Settings &amp; Privacy Controls</w:t>
      </w:r>
      <w:bookmarkEnd w:id="20"/>
    </w:p>
    <w:p>
      <w:pPr>
        <w:pStyle w:val="FirstParagraph"/>
      </w:pPr>
      <w:r>
        <w:rPr>
          <w:b/>
        </w:rPr>
        <w:t xml:space="preserve">Iteration number:</w:t>
      </w:r>
      <w:r>
        <w:t xml:space="preserve"> </w:t>
      </w:r>
      <w:r>
        <w:t xml:space="preserve">0025</w:t>
      </w:r>
      <w:r>
        <w:t xml:space="preserve"> </w:t>
      </w:r>
      <w:r>
        <w:rPr>
          <w:b/>
        </w:rPr>
        <w:t xml:space="preserve">Topic:</w:t>
      </w:r>
      <w:r>
        <w:t xml:space="preserve"> </w:t>
      </w:r>
      <w:r>
        <w:t xml:space="preserve">Profile Settings surface and the RA 10173 privacy-controls layer (account deletion + data export). Lives inside each existing dashboard (customer / vendor / admin) as a shared shell with role-specific tabs enabled.</w:t>
      </w:r>
      <w:r>
        <w:t xml:space="preserve"> </w:t>
      </w:r>
      <w:r>
        <w:rPr>
          <w:b/>
        </w:rPr>
        <w:t xml:space="preserve">Surface:</w:t>
      </w:r>
      <w:r>
        <w:t xml:space="preserve"> </w:t>
      </w:r>
      <w:r>
        <w:t xml:space="preserve">All three role surfaces under their respective dashboards. Same component shell, role-driven section visibility.</w:t>
      </w:r>
      <w:r>
        <w:t xml:space="preserve"> </w:t>
      </w:r>
      <w:r>
        <w:rPr>
          <w:b/>
        </w:rPr>
        <w:t xml:space="preserve">URL patterns:</w:t>
      </w:r>
      <w:r>
        <w:t xml:space="preserve"> </w:t>
      </w:r>
      <w:r>
        <w:t xml:space="preserve">- Customer:</w:t>
      </w:r>
      <w:r>
        <w:t xml:space="preserve"> </w:t>
      </w:r>
      <w:r>
        <w:rPr>
          <w:rStyle w:val="VerbatimChar"/>
        </w:rPr>
        <w:t xml:space="preserve">setnayan.com/dashboard/[event-id]/settings/</w:t>
      </w:r>
      <w:r>
        <w:t xml:space="preserve"> </w:t>
      </w:r>
      <w:r>
        <w:t xml:space="preserve">- Vendor:</w:t>
      </w:r>
      <w:r>
        <w:t xml:space="preserve"> </w:t>
      </w:r>
      <w:r>
        <w:rPr>
          <w:rStyle w:val="VerbatimChar"/>
        </w:rPr>
        <w:t xml:space="preserve">setnayan.com/dashboard/vendor/settings/</w:t>
      </w:r>
      <w:r>
        <w:t xml:space="preserve"> </w:t>
      </w:r>
      <w:r>
        <w:t xml:space="preserve">- Admin:</w:t>
      </w:r>
      <w:r>
        <w:t xml:space="preserve"> </w:t>
      </w:r>
      <w:r>
        <w:rPr>
          <w:rStyle w:val="VerbatimChar"/>
        </w:rPr>
        <w:t xml:space="preserve">setnayan.com/admin/settings/profile</w:t>
      </w:r>
    </w:p>
    <w:p>
      <w:pPr>
        <w:pStyle w:val="BodyText"/>
      </w:pPr>
      <w:r>
        <w:rPr>
          <w:b/>
        </w:rPr>
        <w:t xml:space="preserve">Builds on:</w:t>
      </w:r>
      <w:r>
        <w:t xml:space="preserve"> </w:t>
      </w:r>
      <w:r>
        <w:t xml:space="preserve">0000 (auth +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), 0002 (slug), 0013 (Supabase + R2 platform stack), 0019 (notification preferences consumed by chat), 0021 (couple dashboard chrome), 0022 (vendor dashboard chrome), 0023 (admin console chrome).</w:t>
      </w:r>
      <w:r>
        <w:t xml:space="preserve"> </w:t>
      </w:r>
      <w:r>
        <w:rPr>
          <w:b/>
        </w:rPr>
        <w:t xml:space="preserve">Provides to downstream iterations:</w:t>
      </w:r>
      <w:r>
        <w:t xml:space="preserve"> </w:t>
      </w:r>
      <w:r>
        <w:t xml:space="preserve">- 0026 (BIR / tax compliance) reads the payment-history view introduced here</w:t>
      </w:r>
      <w:r>
        <w:t xml:space="preserve"> </w:t>
      </w:r>
      <w:r>
        <w:t xml:space="preserve">- 0028 (email notifications) reads</w:t>
      </w:r>
      <w:r>
        <w:t xml:space="preserve"> </w:t>
      </w:r>
      <w:r>
        <w:rPr>
          <w:rStyle w:val="VerbatimChar"/>
        </w:rPr>
        <w:t xml:space="preserve">notification_preferences</w:t>
      </w:r>
      <w:r>
        <w:t xml:space="preserve"> </w:t>
      </w:r>
      <w:r>
        <w:t xml:space="preserve">- All future surfaces read</w:t>
      </w:r>
      <w:r>
        <w:t xml:space="preserve"> </w:t>
      </w:r>
      <w:r>
        <w:rPr>
          <w:rStyle w:val="VerbatimChar"/>
        </w:rPr>
        <w:t xml:space="preserve">users.theme_preference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users.locale_preference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Drafted 2026-05-12.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V1 launch-blocking — RA 10173 compliance is non-negotiable for any PH consumer platform per the locked Privacy &amp; Security Policy. The data-export and account-deletion features in tab 6 are the legally required pieces; the rest of the tabs are baseline UX hygiene.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this-iteration-exists"/>
      <w:r>
        <w:t xml:space="preserve">1. Why this iteration exists</w:t>
      </w:r>
      <w:bookmarkEnd w:id="21"/>
    </w:p>
    <w:p>
      <w:pPr>
        <w:pStyle w:val="FirstParagraph"/>
      </w:pPr>
      <w:r>
        <w:t xml:space="preserve">Every iteration before this one has shipped surface-specific settings inline (notification toggles inside chat, slug check inside the invitation editor, face-detection toggle inside the gallery). That scatter-pattern was acceptable while we were drafting iterations independently, but it leaves the user without a single place to:</w:t>
      </w:r>
    </w:p>
    <w:p>
      <w:pPr>
        <w:numPr>
          <w:ilvl w:val="0"/>
          <w:numId w:val="1001"/>
        </w:numPr>
        <w:pStyle w:val="Compact"/>
      </w:pPr>
      <w:r>
        <w:t xml:space="preserve">Change their email or password</w:t>
      </w:r>
    </w:p>
    <w:p>
      <w:pPr>
        <w:numPr>
          <w:ilvl w:val="0"/>
          <w:numId w:val="1001"/>
        </w:numPr>
        <w:pStyle w:val="Compact"/>
      </w:pPr>
      <w:r>
        <w:t xml:space="preserve">Pick a theme or locale</w:t>
      </w:r>
    </w:p>
    <w:p>
      <w:pPr>
        <w:numPr>
          <w:ilvl w:val="0"/>
          <w:numId w:val="1001"/>
        </w:numPr>
        <w:pStyle w:val="Compact"/>
      </w:pPr>
      <w:r>
        <w:t xml:space="preserve">Manage notification preferences across categories</w:t>
      </w:r>
    </w:p>
    <w:p>
      <w:pPr>
        <w:numPr>
          <w:ilvl w:val="0"/>
          <w:numId w:val="1001"/>
        </w:numPr>
        <w:pStyle w:val="Compact"/>
      </w:pPr>
      <w:r>
        <w:t xml:space="preserve">Exercise their RA 10173 rights (data export, account deletion, marketing consent withdrawal)</w:t>
      </w:r>
    </w:p>
    <w:p>
      <w:pPr>
        <w:pStyle w:val="FirstParagraph"/>
      </w:pPr>
      <w:r>
        <w:t xml:space="preserve">The Privacy &amp; Security Policy (locked 2026-05-12) names two rights that</w:t>
      </w:r>
      <w:r>
        <w:t xml:space="preserve"> </w:t>
      </w:r>
      <w:r>
        <w:rPr>
          <w:b/>
        </w:rPr>
        <w:t xml:space="preserve">must</w:t>
      </w:r>
      <w:r>
        <w:t xml:space="preserve"> </w:t>
      </w:r>
      <w:r>
        <w:t xml:space="preserve">be machine-actionable in the product, not</w:t>
      </w:r>
      <w:r>
        <w:t xml:space="preserve"> </w:t>
      </w:r>
      <w:r>
        <w:t xml:space="preserve">“</w:t>
      </w:r>
      <w:r>
        <w:t xml:space="preserve">email DPO and wait</w:t>
      </w:r>
      <w:r>
        <w:t xml:space="preserve">”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Right to data portability (§ 18):</w:t>
      </w:r>
      <w:r>
        <w:t xml:space="preserve"> </w:t>
      </w:r>
      <w:r>
        <w:t xml:space="preserve">the user can download all their data in a structured, commonly-used, machine-readable format.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Right to erasure (§ 16(e)):</w:t>
      </w:r>
      <w:r>
        <w:t xml:space="preserve"> </w:t>
      </w:r>
      <w:r>
        <w:t xml:space="preserve">the user can request deletion of their account and have it processed within a defined window.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contact DPO via email</w:t>
      </w:r>
      <w:r>
        <w:t xml:space="preserve">”</w:t>
      </w:r>
      <w:r>
        <w:t xml:space="preserve"> </w:t>
      </w:r>
      <w:r>
        <w:t xml:space="preserve">workflow technically satisfies the letter of RA 10173 but fails the spirit and exposes Setnayan to NPC complaints. Pulling both rights into a self-service Settings tab is the correct posture for a consumer platform of Setnayan’s scale.</w:t>
      </w:r>
    </w:p>
    <w:p>
      <w:pPr>
        <w:pStyle w:val="BodyText"/>
      </w:pPr>
      <w:r>
        <w:t xml:space="preserve">The other five tabs are the conventional surface every user expects to find under a Settings cog. Shipping them in one iteration means the cog-icon-leads-to-Settings invariant holds across all three roles from V1 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urface-architecture"/>
      <w:r>
        <w:t xml:space="preserve">2. Surface architecture</w:t>
      </w:r>
      <w:bookmarkEnd w:id="22"/>
    </w:p>
    <w:p>
      <w:pPr>
        <w:pStyle w:val="Heading3"/>
      </w:pPr>
      <w:bookmarkStart w:id="23" w:name="shared-shell-role-driven-sections"/>
      <w:r>
        <w:t xml:space="preserve">2.1 Shared shell, role-driven sections</w:t>
      </w:r>
      <w:bookmarkEnd w:id="23"/>
    </w:p>
    <w:p>
      <w:pPr>
        <w:pStyle w:val="FirstParagraph"/>
      </w:pPr>
      <w:r>
        <w:t xml:space="preserve">The Settings surface is one React component (</w:t>
      </w:r>
      <w:r>
        <w:rPr>
          <w:rStyle w:val="VerbatimChar"/>
        </w:rPr>
        <w:t xml:space="preserve">&lt;SettingsShell /&gt;</w:t>
      </w:r>
      <w:r>
        <w:t xml:space="preserve">) parameterized by the current role. It renders six tabs in a left-rail layout on desktop and a horizontal scroll on mobile. Each tab’s visibility is gated by role: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Profile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 (business name read-only)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Appearance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 + admin-only</w:t>
            </w:r>
            <w:r>
              <w:t xml:space="preserve"> </w:t>
            </w:r>
            <w:r>
              <w:t xml:space="preserve">“</w:t>
            </w:r>
            <w:r>
              <w:t xml:space="preserve">internal-account creation</w:t>
            </w:r>
            <w:r>
              <w:t xml:space="preserve">”</w:t>
            </w:r>
            <w:r>
              <w:t xml:space="preserve"> </w:t>
            </w:r>
            <w:r>
              <w:t xml:space="preserve">category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URL &amp; Slug</w:t>
            </w:r>
          </w:p>
        </w:tc>
        <w:tc>
          <w:p>
            <w:pPr>
              <w:pStyle w:val="Compact"/>
              <w:jc w:val="left"/>
            </w:pPr>
            <w:r>
              <w:t xml:space="preserve">full (event slug)</w:t>
            </w:r>
          </w:p>
        </w:tc>
        <w:tc>
          <w:p>
            <w:pPr>
              <w:pStyle w:val="Compact"/>
              <w:jc w:val="left"/>
            </w:pPr>
            <w:r>
              <w:t xml:space="preserve">full (vendor slug)</w:t>
            </w:r>
          </w:p>
        </w:tc>
        <w:tc>
          <w:p>
            <w:pPr>
              <w:pStyle w:val="Compact"/>
              <w:jc w:val="left"/>
            </w:pPr>
            <w:r>
              <w:t xml:space="preserve">n/a (hidden)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Payment Methods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n/a (vendor payouts live in 0022 § 6)</w:t>
            </w:r>
          </w:p>
        </w:tc>
        <w:tc>
          <w:p>
            <w:pPr>
              <w:pStyle w:val="Compact"/>
              <w:jc w:val="left"/>
            </w:pPr>
            <w:r>
              <w:t xml:space="preserve">n/a (hidden)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Privacy &amp; Data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partial (cannot self-delete · § 6.2 exception)</w:t>
            </w:r>
          </w:p>
        </w:tc>
      </w:tr>
    </w:tbl>
    <w:p>
      <w:pPr>
        <w:pStyle w:val="BodyText"/>
      </w:pPr>
      <w:r>
        <w:t xml:space="preserve">A user with multiple roles (</w:t>
      </w:r>
      <w:r>
        <w:rPr>
          <w:rStyle w:val="VerbatimChar"/>
        </w:rPr>
        <w:t xml:space="preserve">event_members.member_type</w:t>
      </w:r>
      <w:r>
        <w:t xml:space="preserve"> </w:t>
      </w:r>
      <w:r>
        <w:t xml:space="preserve">spans couple + guest, or a customer who later becomes a vendor) sees the Settings cog jump them to the role-appropriate Settings page. Switching role via the top-chrome</w:t>
      </w:r>
      <w:r>
        <w:t xml:space="preserve"> </w:t>
      </w:r>
      <w:r>
        <w:t xml:space="preserve">“</w:t>
      </w:r>
      <w:r>
        <w:t xml:space="preserve">Switch view</w:t>
      </w:r>
      <w:r>
        <w:t xml:space="preserve">”</w:t>
      </w:r>
      <w:r>
        <w:t xml:space="preserve"> </w:t>
      </w:r>
      <w:r>
        <w:t xml:space="preserve">pill (per one-app-three-doorways) re-renders Settings against the new role context.</w:t>
      </w:r>
    </w:p>
    <w:p>
      <w:pPr>
        <w:pStyle w:val="Heading3"/>
      </w:pPr>
      <w:bookmarkStart w:id="24" w:name="mobile-considerations"/>
      <w:r>
        <w:t xml:space="preserve">2.2 Mobile considerations</w:t>
      </w:r>
      <w:bookmarkEnd w:id="24"/>
    </w:p>
    <w:p>
      <w:pPr>
        <w:pStyle w:val="FirstParagraph"/>
      </w:pPr>
      <w:r>
        <w:t xml:space="preserve">Mobile views collapse the left-rail nav into a top-of-screen segmented control that horizontal-scrolls past the visible viewport. Every primary action (Save, Delete, Export) sits in the thumb zone (lower third). Destructive actions (delete account, withdraw consent) require a typed confirmation; mobile renders the typed-confirmation field with a 16pt minimum tap target.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he-six-tabs"/>
      <w:r>
        <w:t xml:space="preserve">3. The six tabs</w:t>
      </w:r>
      <w:bookmarkEnd w:id="25"/>
    </w:p>
    <w:p>
      <w:pPr>
        <w:pStyle w:val="Heading3"/>
      </w:pPr>
      <w:bookmarkStart w:id="26" w:name="tab-1-profile"/>
      <w:r>
        <w:t xml:space="preserve">3.1 Tab 1 — Profile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Customer’s social name; appears on chat bubbles + guest-list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name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read-only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Change requires admin re-verification per Vendor Agreement § 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Change triggers two-email verification flow: confirmation link to old address + confirmation link to new address; both must click within 24h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Current → new → confirm; new must satisfy 12-char min + 1 number + 1 symbol per Privacy Policy § 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 photo (customer)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  <w:r>
              <w:t xml:space="preserve"> </w:t>
            </w:r>
            <w:r>
              <w:rPr>
                <w:rStyle w:val="VerbatimChar"/>
              </w:rPr>
              <w:t xml:space="preserve">setnayan-media</w:t>
            </w:r>
            <w:r>
              <w:t xml:space="preserve"> </w:t>
            </w: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users/{user_id}/avatar/{uuid}.{ext}</w:t>
            </w:r>
            <w:r>
              <w:t xml:space="preserve"> </w:t>
            </w:r>
            <w:r>
              <w:t xml:space="preserve">· EXIF strip on upload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 logo (vendor)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Per Vendor Agreement § 1.1; propagates to all surfaces within 5 min via CDN purge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E.164 format · V1 stores only · SMS delivery wired in V1.5 (0028 dependency)</w:t>
            </w:r>
          </w:p>
        </w:tc>
      </w:tr>
    </w:tbl>
    <w:p>
      <w:pPr>
        <w:pStyle w:val="BodyText"/>
      </w:pPr>
      <w:r>
        <w:rPr>
          <w:b/>
        </w:rPr>
        <w:t xml:space="preserve">Email change flow safeguards:</w:t>
      </w:r>
      <w:r>
        <w:t xml:space="preserve"> </w:t>
      </w:r>
      <w:r>
        <w:t xml:space="preserve">The new email cannot already be associated with another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row. If the user has unread security-alert notifications older than 24h, the change is blocked with a</w:t>
      </w:r>
      <w:r>
        <w:t xml:space="preserve"> </w:t>
      </w:r>
      <w:r>
        <w:t xml:space="preserve">“</w:t>
      </w:r>
      <w:r>
        <w:t xml:space="preserve">review pending security alerts first</w:t>
      </w:r>
      <w:r>
        <w:t xml:space="preserve">”</w:t>
      </w:r>
      <w:r>
        <w:t xml:space="preserve"> </w:t>
      </w:r>
      <w:r>
        <w:t xml:space="preserve">message — defends against a compromised session changing email to lock out the legitimate owner.</w:t>
      </w:r>
    </w:p>
    <w:p>
      <w:pPr>
        <w:pStyle w:val="Heading3"/>
      </w:pPr>
      <w:bookmarkStart w:id="27" w:name="tab-2-appearance"/>
      <w:r>
        <w:t xml:space="preserve">3.2 Tab 2 — Appearance</w:t>
      </w:r>
      <w:bookmarkEnd w:id="27"/>
    </w:p>
    <w:p>
      <w:pPr>
        <w:pStyle w:val="FirstParagraph"/>
      </w:pPr>
      <w:r>
        <w:t xml:space="preserve">Three controls. All persist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(schema § 4) and apply immediately without page reload.</w:t>
      </w:r>
    </w:p>
    <w:p>
      <w:pPr>
        <w:pStyle w:val="BodyText"/>
      </w:pPr>
      <w:r>
        <w:rPr>
          <w:b/>
        </w:rPr>
        <w:t xml:space="preserve">Theme picker.</w:t>
      </w:r>
      <w:r>
        <w:t xml:space="preserve"> </w:t>
      </w:r>
      <w:r>
        <w:t xml:space="preserve">Four V1 themes per</w:t>
      </w:r>
      <w:r>
        <w:t xml:space="preserve"> </w:t>
      </w:r>
      <w:r>
        <w:rPr>
          <w:rStyle w:val="VerbatimChar"/>
        </w:rPr>
        <w:t xml:space="preserve">02_Specifications/Theme_System_Implementation_Spec.md</w:t>
      </w:r>
      <w:r>
        <w:t xml:space="preserve">:</w:t>
      </w:r>
      <w:r>
        <w:t xml:space="preserve"> </w:t>
      </w:r>
      <w:r>
        <w:t xml:space="preserve">- Setnayan Default (cream + ink + terracotta)</w:t>
      </w:r>
      <w:r>
        <w:t xml:space="preserve"> </w:t>
      </w:r>
      <w:r>
        <w:t xml:space="preserve">- Victorian (deeper ink + brass accents + serif heavier)</w:t>
      </w:r>
      <w:r>
        <w:t xml:space="preserve"> </w:t>
      </w:r>
      <w:r>
        <w:t xml:space="preserve">- Classy (cooler neutrals + minimal accent)</w:t>
      </w:r>
      <w:r>
        <w:t xml:space="preserve"> </w:t>
      </w:r>
      <w:r>
        <w:t xml:space="preserve">- iOS (system-grey + system-blue accent · Apple-Settings rendering)</w:t>
      </w:r>
    </w:p>
    <w:p>
      <w:pPr>
        <w:pStyle w:val="BodyText"/>
      </w:pPr>
      <w:r>
        <w:t xml:space="preserve">Selecting a theme writes</w:t>
      </w:r>
      <w:r>
        <w:t xml:space="preserve"> </w:t>
      </w:r>
      <w:r>
        <w:rPr>
          <w:rStyle w:val="VerbatimChar"/>
        </w:rPr>
        <w:t xml:space="preserve">users.theme_preference</w:t>
      </w:r>
      <w:r>
        <w:t xml:space="preserve"> </w:t>
      </w:r>
      <w:r>
        <w:t xml:space="preserve">and reloads the CSS variable bundle. Theme applies to every surface the user owns; vendors who want vendor-side public theming must hold a Vendor Pro Weekly subscription (forward-referenced in 0022 § 7) — without it, the customer-side marketplace listing always renders in Setnayan Default.</w:t>
      </w:r>
    </w:p>
    <w:p>
      <w:pPr>
        <w:pStyle w:val="BodyText"/>
      </w:pPr>
      <w:r>
        <w:rPr>
          <w:b/>
        </w:rPr>
        <w:t xml:space="preserve">Locale preference.</w:t>
      </w:r>
      <w:r>
        <w:t xml:space="preserve"> </w:t>
      </w:r>
      <w:r>
        <w:rPr>
          <w:rStyle w:val="VerbatimChar"/>
        </w:rPr>
        <w:t xml:space="preserve">EN | TL | CEB</w:t>
      </w:r>
      <w:r>
        <w:t xml:space="preserve"> </w:t>
      </w:r>
      <w:r>
        <w:t xml:space="preserve">segmented pill. Writes</w:t>
      </w:r>
      <w:r>
        <w:t xml:space="preserve"> </w:t>
      </w:r>
      <w:r>
        <w:rPr>
          <w:rStyle w:val="VerbatimChar"/>
        </w:rPr>
        <w:t xml:space="preserve">users.locale_preference</w:t>
      </w:r>
      <w:r>
        <w:t xml:space="preserve">. In-app strings load from the matching</w:t>
      </w:r>
      <w:r>
        <w:t xml:space="preserve"> </w:t>
      </w:r>
      <w:r>
        <w:rPr>
          <w:rStyle w:val="VerbatimChar"/>
        </w:rPr>
        <w:t xml:space="preserve">locale.&lt;code&gt;.ts</w:t>
      </w:r>
      <w:r>
        <w:t xml:space="preserve"> </w:t>
      </w:r>
      <w:r>
        <w:t xml:space="preserve">bundle. V1 ships the in-app string bundle for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only;</w:t>
      </w:r>
      <w:r>
        <w:t xml:space="preserve"> </w:t>
      </w:r>
      <w:r>
        <w:rPr>
          <w:rStyle w:val="VerbatimChar"/>
        </w:rPr>
        <w:t xml:space="preserve">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ceb</w:t>
      </w:r>
      <w:r>
        <w:t xml:space="preserve"> </w:t>
      </w:r>
      <w:r>
        <w:t xml:space="preserve">complete in V1.5 per the 0015 locale rollout. Until then, switching to</w:t>
      </w:r>
      <w:r>
        <w:t xml:space="preserve"> </w:t>
      </w:r>
      <w:r>
        <w:rPr>
          <w:rStyle w:val="VerbatimChar"/>
        </w:rPr>
        <w:t xml:space="preserve">tl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ceb</w:t>
      </w:r>
      <w:r>
        <w:t xml:space="preserve"> </w:t>
      </w:r>
      <w:r>
        <w:t xml:space="preserve">shows a</w:t>
      </w:r>
      <w:r>
        <w:t xml:space="preserve"> </w:t>
      </w:r>
      <w:r>
        <w:t xml:space="preserve">“</w:t>
      </w:r>
      <w:r>
        <w:t xml:space="preserve">Coming soon — your preference is saved</w:t>
      </w:r>
      <w:r>
        <w:t xml:space="preserve">”</w:t>
      </w:r>
      <w:r>
        <w:t xml:space="preserve"> </w:t>
      </w:r>
      <w:r>
        <w:t xml:space="preserve">notice and keeps rendering EN.</w:t>
      </w:r>
    </w:p>
    <w:p>
      <w:pPr>
        <w:pStyle w:val="BodyText"/>
      </w:pPr>
      <w:r>
        <w:rPr>
          <w:b/>
        </w:rPr>
        <w:t xml:space="preserve">Density.</w:t>
      </w:r>
      <w:r>
        <w:t xml:space="preserve"> </w:t>
      </w:r>
      <w:r>
        <w:t xml:space="preserve">Compact / Comfortable. Applies a CSS spacing-scale multiplier (1.0× vs 1.25×). Default is Comfortable. Compact targets vendors running dashboards on laptops who want denser tables.</w:t>
      </w:r>
    </w:p>
    <w:p>
      <w:pPr>
        <w:pStyle w:val="Heading4"/>
      </w:pPr>
      <w:bookmarkStart w:id="28" w:name="Xabf65322a6a4052ec2c4130ea4f60654270ed86"/>
      <w:r>
        <w:t xml:space="preserve">Dashboard language toggle (locked 2026-05-12 — EN/TL only in V1)</w:t>
      </w:r>
      <w:bookmarkEnd w:id="28"/>
    </w:p>
    <w:p>
      <w:pPr>
        <w:pStyle w:val="FirstParagraph"/>
      </w:pPr>
      <w:r>
        <w:t xml:space="preserve">While the marketing site (0015) supports EN / TL / CEB, V1 in-app dashboards ship with</w:t>
      </w:r>
      <w:r>
        <w:t xml:space="preserve"> </w:t>
      </w:r>
      <w:r>
        <w:rPr>
          <w:b/>
        </w:rPr>
        <w:t xml:space="preserve">English + Tagalog only</w:t>
      </w:r>
      <w:r>
        <w:t xml:space="preserve">. CEB deferred to V1.1.</w:t>
      </w:r>
    </w:p>
    <w:p>
      <w:pPr>
        <w:pStyle w:val="BodyText"/>
      </w:pPr>
      <w:r>
        <w:rPr>
          <w:b/>
        </w:rPr>
        <w:t xml:space="preserve">Settings → Appearance → Language:</w:t>
      </w:r>
    </w:p>
    <w:p>
      <w:pPr>
        <w:numPr>
          <w:ilvl w:val="0"/>
          <w:numId w:val="1003"/>
        </w:numPr>
        <w:pStyle w:val="Compact"/>
      </w:pPr>
      <w:r>
        <w:t xml:space="preserve">Toggle: English (</w:t>
      </w:r>
      <w:r>
        <w:rPr>
          <w:rStyle w:val="VerbatimChar"/>
        </w:rPr>
        <w:t xml:space="preserve">en</w:t>
      </w:r>
      <w:r>
        <w:t xml:space="preserve">) · Tagalog (</w:t>
      </w:r>
      <w:r>
        <w:rPr>
          <w:rStyle w:val="VerbatimChar"/>
        </w:rPr>
        <w:t xml:space="preserve">tl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Stored as</w:t>
      </w:r>
      <w:r>
        <w:t xml:space="preserve"> </w:t>
      </w:r>
      <w:r>
        <w:rPr>
          <w:rStyle w:val="VerbatimChar"/>
        </w:rPr>
        <w:t xml:space="preserve">users.language_preference</w:t>
      </w:r>
      <w:r>
        <w:t xml:space="preserve"> </w:t>
      </w:r>
      <w:r>
        <w:t xml:space="preserve">(extends from the existing</w:t>
      </w:r>
      <w:r>
        <w:t xml:space="preserve"> </w:t>
      </w:r>
      <w:r>
        <w:rPr>
          <w:rStyle w:val="VerbatimChar"/>
        </w:rPr>
        <w:t xml:space="preserve">users.theme_preference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Applied at SSR via Next.js i18n routing:</w:t>
      </w:r>
      <w:r>
        <w:t xml:space="preserve"> </w:t>
      </w:r>
      <w:r>
        <w:rPr>
          <w:rStyle w:val="VerbatimChar"/>
        </w:rPr>
        <w:t xml:space="preserve">setnayan.com/en/dashboard/...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setnayan.com/tl/dashboard/...</w:t>
      </w:r>
    </w:p>
    <w:p>
      <w:pPr>
        <w:numPr>
          <w:ilvl w:val="0"/>
          <w:numId w:val="1003"/>
        </w:numPr>
        <w:pStyle w:val="Compact"/>
      </w:pPr>
      <w:r>
        <w:t xml:space="preserve">All dashboard chrome strings live in</w:t>
      </w:r>
      <w:r>
        <w:t xml:space="preserve"> </w:t>
      </w:r>
      <w:r>
        <w:rPr>
          <w:rStyle w:val="VerbatimChar"/>
        </w:rPr>
        <w:t xml:space="preserve">apps/web/locales/dashboard.{lang}.json</w:t>
      </w:r>
      <w:r>
        <w:t xml:space="preserve"> </w:t>
      </w:r>
      <w:r>
        <w:t xml:space="preserve">bundles</w:t>
      </w:r>
    </w:p>
    <w:p>
      <w:pPr>
        <w:numPr>
          <w:ilvl w:val="0"/>
          <w:numId w:val="1003"/>
        </w:numPr>
        <w:pStyle w:val="Compact"/>
      </w:pPr>
      <w:r>
        <w:t xml:space="preserve">Date/number/currency formatting respects the locale (₱ stays as ₱; date format flips between MM/DD/YYYY for EN and DD MMM YYYY for TL)</w:t>
      </w:r>
    </w:p>
    <w:p>
      <w:pPr>
        <w:pStyle w:val="FirstParagraph"/>
      </w:pPr>
      <w:r>
        <w:t xml:space="preserve">V1 translation scope: dashboard chrome + bot-nav + button labels + form labels + empty states + error messages. Articles in the help center (0029) stay English-only in V1 per the 0029 decision.</w:t>
      </w:r>
    </w:p>
    <w:p>
      <w:pPr>
        <w:pStyle w:val="Heading3"/>
      </w:pPr>
      <w:bookmarkStart w:id="29" w:name="tab-3-notifications"/>
      <w:r>
        <w:t xml:space="preserve">3.3 Tab 3 — Notifications</w:t>
      </w:r>
      <w:bookmarkEnd w:id="29"/>
    </w:p>
    <w:p>
      <w:pPr>
        <w:pStyle w:val="FirstParagraph"/>
      </w:pPr>
      <w:r>
        <w:t xml:space="preserve">A master toggle (</w:t>
      </w:r>
      <w:r>
        <w:t xml:space="preserve">“</w:t>
      </w:r>
      <w:r>
        <w:t xml:space="preserve">All notifications</w:t>
      </w:r>
      <w:r>
        <w:t xml:space="preserve">”</w:t>
      </w:r>
      <w:r>
        <w:t xml:space="preserve">) sits at the top. When off, every row below is disabled (writes are blocked, UI is greyed) — same pattern as iOS Do Not Disturb.</w:t>
      </w:r>
    </w:p>
    <w:p>
      <w:pPr>
        <w:pStyle w:val="BodyText"/>
      </w:pPr>
      <w:r>
        <w:rPr>
          <w:b/>
        </w:rPr>
        <w:t xml:space="preserve">Category rows.</w:t>
      </w:r>
      <w:r>
        <w:t xml:space="preserve"> </w:t>
      </w:r>
      <w:r>
        <w:t xml:space="preserve">Each row shows the category label, a one-line explainer, and two checkboxes (in-app · email):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both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both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 (as bookings)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both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both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both OFF</w:t>
            </w:r>
            <w:r>
              <w:t xml:space="preserve"> </w:t>
            </w:r>
            <w:r>
              <w:t xml:space="preserve">— explicit opt-in per Privacy Policy § 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accounts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yes (admin only)</w:t>
            </w:r>
          </w:p>
        </w:tc>
        <w:tc>
          <w:p>
            <w:pPr>
              <w:pStyle w:val="Compact"/>
              <w:jc w:val="left"/>
            </w:pPr>
            <w:r>
              <w:t xml:space="preserve">both on</w:t>
            </w:r>
          </w:p>
        </w:tc>
      </w:tr>
    </w:tbl>
    <w:p>
      <w:pPr>
        <w:pStyle w:val="BodyText"/>
      </w:pPr>
      <w:r>
        <w:t xml:space="preserve">Each category writes a row into</w:t>
      </w:r>
      <w:r>
        <w:t xml:space="preserve"> </w:t>
      </w:r>
      <w:r>
        <w:rPr>
          <w:rStyle w:val="VerbatimChar"/>
        </w:rPr>
        <w:t xml:space="preserve">notification_preferences</w:t>
      </w:r>
      <w:r>
        <w:t xml:space="preserve"> </w:t>
      </w:r>
      <w:r>
        <w:t xml:space="preserve">(schema § 4). Email column requires a verified email on the account — if email is unverified, the email checkbox is disabled with a</w:t>
      </w:r>
      <w:r>
        <w:t xml:space="preserve"> </w:t>
      </w:r>
      <w:r>
        <w:t xml:space="preserve">“</w:t>
      </w:r>
      <w:r>
        <w:t xml:space="preserve">verify your email first</w:t>
      </w:r>
      <w:r>
        <w:t xml:space="preserve">”</w:t>
      </w:r>
      <w:r>
        <w:t xml:space="preserve"> </w:t>
      </w:r>
      <w:r>
        <w:t xml:space="preserve">hint.</w:t>
      </w:r>
    </w:p>
    <w:p>
      <w:pPr>
        <w:pStyle w:val="BodyText"/>
      </w:pPr>
      <w:r>
        <w:rPr>
          <w:b/>
        </w:rPr>
        <w:t xml:space="preserve">Quiet hours.</w:t>
      </w:r>
      <w:r>
        <w:t xml:space="preserve"> </w:t>
      </w:r>
      <w:r>
        <w:t xml:space="preserve">A single time-range picker (start hour → end hour, local time per IANA tz). When set, push and email notifications are queued during the window and delivered at the end. In-app notifications still surface (they’re passive — they don’t ping). Quiet hours apply across all categories; per-category quiet hours are V1.5.</w:t>
      </w:r>
    </w:p>
    <w:p>
      <w:pPr>
        <w:pStyle w:val="BodyText"/>
      </w:pPr>
      <w:r>
        <w:rPr>
          <w:b/>
        </w:rPr>
        <w:t xml:space="preserve">Default reminder offsets</w:t>
      </w:r>
      <w:r>
        <w:t xml:space="preserve"> </w:t>
      </w:r>
      <w:r>
        <w:t xml:space="preserve">(events category): T-7d, T-1d, T-1h. Not configurable in V1; configurable per-event in V1.5.</w:t>
      </w:r>
    </w:p>
    <w:p>
      <w:pPr>
        <w:pStyle w:val="Heading3"/>
      </w:pPr>
      <w:bookmarkStart w:id="30" w:name="tab-4-url-slug"/>
      <w:r>
        <w:t xml:space="preserve">3.4 Tab 4 — URL &amp; Slug</w:t>
      </w:r>
      <w:bookmarkEnd w:id="30"/>
    </w:p>
    <w:p>
      <w:pPr>
        <w:pStyle w:val="FirstParagraph"/>
      </w:pPr>
      <w:r>
        <w:t xml:space="preserve">Reuses the slug check component from 0002 § 4.</w:t>
      </w:r>
    </w:p>
    <w:p>
      <w:pPr>
        <w:pStyle w:val="BodyText"/>
      </w:pPr>
      <w:r>
        <w:rPr>
          <w:b/>
        </w:rPr>
        <w:t xml:space="preserve">Customer side:</w:t>
      </w:r>
      <w:r>
        <w:t xml:space="preserve"> </w:t>
      </w:r>
      <w:r>
        <w:t xml:space="preserve">the event slug (</w:t>
      </w:r>
      <w:r>
        <w:rPr>
          <w:rStyle w:val="VerbatimChar"/>
        </w:rPr>
        <w:t xml:space="preserve">setnayan.com/[event-slug]</w:t>
      </w:r>
      <w:r>
        <w:t xml:space="preserve">). Real-time availability check (debounced 300ms). On change, the 90-day SEO redirect explainer renders:</w:t>
      </w:r>
      <w:r>
        <w:t xml:space="preserve"> </w:t>
      </w:r>
      <w:r>
        <w:t xml:space="preserve">“</w:t>
      </w:r>
      <w:r>
        <w:t xml:space="preserve">Your old URL stays redirected to your new one for 90 days. After 90 days, the old slug becomes available for someone else.</w:t>
      </w:r>
      <w:r>
        <w:t xml:space="preserve">”</w:t>
      </w:r>
      <w:r>
        <w:t xml:space="preserve"> </w:t>
      </w:r>
      <w:r>
        <w:t xml:space="preserve">Schema:</w:t>
      </w:r>
      <w:r>
        <w:t xml:space="preserve"> </w:t>
      </w:r>
      <w:r>
        <w:rPr>
          <w:rStyle w:val="VerbatimChar"/>
        </w:rPr>
        <w:t xml:space="preserve">event_slug_redirects</w:t>
      </w:r>
      <w:r>
        <w:t xml:space="preserve"> </w:t>
      </w:r>
      <w:r>
        <w:t xml:space="preserve">already exists from 0002.</w:t>
      </w:r>
    </w:p>
    <w:p>
      <w:pPr>
        <w:pStyle w:val="BodyText"/>
      </w:pPr>
      <w:r>
        <w:rPr>
          <w:b/>
        </w:rPr>
        <w:t xml:space="preserve">Vendor side:</w:t>
      </w:r>
      <w:r>
        <w:t xml:space="preserve"> </w:t>
      </w:r>
      <w:r>
        <w:t xml:space="preserve">the vendor slug (</w:t>
      </w:r>
      <w:r>
        <w:rPr>
          <w:rStyle w:val="VerbatimChar"/>
        </w:rPr>
        <w:t xml:space="preserve">setnayan.com/v/[vendor-slug]</w:t>
      </w:r>
      <w:r>
        <w:t xml:space="preserve">). Same component. Vendor-slug changes also propagate to the vendor’s marketplace card and chat thread routing.</w:t>
      </w:r>
    </w:p>
    <w:p>
      <w:pPr>
        <w:pStyle w:val="BodyText"/>
      </w:pPr>
      <w:r>
        <w:rPr>
          <w:b/>
        </w:rPr>
        <w:t xml:space="preserve">Admin side:</w:t>
      </w:r>
      <w:r>
        <w:t xml:space="preserve"> </w:t>
      </w:r>
      <w:r>
        <w:t xml:space="preserve">tab hidden. Admins do not have public URLs.</w:t>
      </w:r>
    </w:p>
    <w:p>
      <w:pPr>
        <w:pStyle w:val="Heading3"/>
      </w:pPr>
      <w:bookmarkStart w:id="31" w:name="tab-5-payment-methods"/>
      <w:r>
        <w:t xml:space="preserve">3.5 Tab 5 — Payment Methods</w:t>
      </w:r>
      <w:bookmarkEnd w:id="31"/>
    </w:p>
    <w:p>
      <w:pPr>
        <w:pStyle w:val="FirstParagraph"/>
      </w:pPr>
      <w:r>
        <w:rPr>
          <w:b/>
        </w:rPr>
        <w:t xml:space="preserve">Customer side only.</w:t>
      </w:r>
      <w:r>
        <w:t xml:space="preserve"> </w:t>
      </w:r>
      <w:r>
        <w:t xml:space="preserve">Vendor side is hidden (vendor payouts are managed in 0022 § 6, not here). Admin side is hidden.</w:t>
      </w:r>
    </w:p>
    <w:p>
      <w:pPr>
        <w:pStyle w:val="BodyText"/>
      </w:pPr>
      <w:r>
        <w:rPr>
          <w:b/>
        </w:rPr>
        <w:t xml:space="preserve">V1 (apply-then-pay).</w:t>
      </w:r>
      <w:r>
        <w:t xml:space="preserve"> </w:t>
      </w:r>
      <w:r>
        <w:t xml:space="preserve">Static informational block:</w:t>
      </w:r>
    </w:p>
    <w:p>
      <w:pPr>
        <w:pStyle w:val="BlockText"/>
      </w:pPr>
      <w:r>
        <w:t xml:space="preserve">Setnayan accepts payments via BDO bank transfer and GCash. Each order generates a payment instruction email with a unique reference code. Pay using the reference code, then the Setnayan Team verifies the payment within 24 hours and your service activates.</w:t>
      </w:r>
    </w:p>
    <w:p>
      <w:pPr>
        <w:pStyle w:val="BlockText"/>
      </w:pPr>
      <w:r>
        <w:rPr>
          <w:b/>
        </w:rPr>
        <w:t xml:space="preserve">[View my payment history]</w:t>
      </w:r>
      <w:r>
        <w:t xml:space="preserve"> </w:t>
      </w:r>
      <w:r>
        <w:t xml:space="preserve">— links to a dedicated</w:t>
      </w:r>
      <w:r>
        <w:t xml:space="preserve"> </w:t>
      </w:r>
      <w:r>
        <w:rPr>
          <w:rStyle w:val="VerbatimChar"/>
        </w:rPr>
        <w:t xml:space="preserve">/dashboard/[event-id]/payments</w:t>
      </w:r>
      <w:r>
        <w:t xml:space="preserve"> </w:t>
      </w:r>
      <w:r>
        <w:t xml:space="preserve">view (introduced here) showing one row per</w:t>
      </w:r>
      <w:r>
        <w:t xml:space="preserve"> </w:t>
      </w:r>
      <w:r>
        <w:rPr>
          <w:rStyle w:val="VerbatimChar"/>
        </w:rPr>
        <w:t xml:space="preserve">service_orders</w:t>
      </w:r>
      <w:r>
        <w:t xml:space="preserve"> </w:t>
      </w:r>
      <w:r>
        <w:t xml:space="preserve">record with status, amount, reference code, and date.</w:t>
      </w:r>
    </w:p>
    <w:p>
      <w:pPr>
        <w:pStyle w:val="FirstParagraph"/>
      </w:pPr>
      <w:r>
        <w:rPr>
          <w:b/>
        </w:rPr>
        <w:t xml:space="preserve">V1.5 (planned).</w:t>
      </w:r>
      <w:r>
        <w:t xml:space="preserve"> </w:t>
      </w:r>
      <w:r>
        <w:t xml:space="preserve">This tab will expand to saved-card / saved-GCash management when Setnayan Pay automation lands. Schema is forward-compatible:</w:t>
      </w:r>
      <w:r>
        <w:t xml:space="preserve"> </w:t>
      </w:r>
      <w:r>
        <w:rPr>
          <w:rStyle w:val="VerbatimChar"/>
        </w:rPr>
        <w:t xml:space="preserve">customer_payment_methods (method_id, user_id, method_type, brand?, last4?, masked_account?, created_at, deleted_at?)</w:t>
      </w:r>
      <w:r>
        <w:t xml:space="preserve"> </w:t>
      </w:r>
      <w:r>
        <w:t xml:space="preserve">table reserved but not populated in V1.</w:t>
      </w:r>
    </w:p>
    <w:p>
      <w:pPr>
        <w:pStyle w:val="BodyText"/>
      </w:pPr>
      <w:r>
        <w:rPr>
          <w:b/>
        </w:rPr>
        <w:t xml:space="preserve">Payment history view.</w:t>
      </w:r>
      <w:r>
        <w:t xml:space="preserve"> </w:t>
      </w:r>
      <w:r>
        <w:t xml:space="preserve">Read-only table:</w:t>
      </w:r>
      <w:r>
        <w:t xml:space="preserve"> </w:t>
      </w:r>
      <w:r>
        <w:t xml:space="preserve">- Date · Service · Amount (₱) · Reference code · Status (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) · Receipt download (PDF — generated on demand via Cloudflare Worker)</w:t>
      </w:r>
      <w:r>
        <w:t xml:space="preserve"> </w:t>
      </w:r>
      <w:r>
        <w:t xml:space="preserve">- Filterable by date range and status</w:t>
      </w:r>
      <w:r>
        <w:t xml:space="preserve"> </w:t>
      </w:r>
      <w:r>
        <w:t xml:space="preserve">- CSV export for accountants (consumed by 0026 BIR compliance)</w:t>
      </w:r>
    </w:p>
    <w:p>
      <w:pPr>
        <w:pStyle w:val="Heading3"/>
      </w:pPr>
      <w:bookmarkStart w:id="32" w:name="tab-6-privacy-data-the-ra-10173-surface"/>
      <w:r>
        <w:t xml:space="preserve">3.6 Tab 6 — Privacy &amp; Data (the RA 10173 surface)</w:t>
      </w:r>
      <w:bookmarkEnd w:id="32"/>
    </w:p>
    <w:p>
      <w:pPr>
        <w:pStyle w:val="FirstParagraph"/>
      </w:pPr>
      <w:r>
        <w:t xml:space="preserve">This is the legally critical tab. Five subsections, in order.</w:t>
      </w:r>
    </w:p>
    <w:p>
      <w:pPr>
        <w:pStyle w:val="Heading4"/>
      </w:pPr>
      <w:bookmarkStart w:id="33" w:name="X4ba921dd960b9f810536d979d2f11d4c5b6e8d9"/>
      <w:r>
        <w:t xml:space="preserve">3.6.1 Data export — Right to data portability (RA 10173 § 18)</w:t>
      </w:r>
      <w:bookmarkEnd w:id="33"/>
    </w:p>
    <w:p>
      <w:pPr>
        <w:pStyle w:val="FirstParagraph"/>
      </w:pPr>
      <w:r>
        <w:rPr>
          <w:b/>
        </w:rPr>
        <w:t xml:space="preserve">Button:</w:t>
      </w:r>
      <w:r>
        <w:t xml:space="preserve"> </w:t>
      </w:r>
      <w:r>
        <w:t xml:space="preserve">“</w:t>
      </w:r>
      <w:r>
        <w:t xml:space="preserve">Download all my data</w:t>
      </w:r>
      <w:r>
        <w:t xml:space="preserve">”</w:t>
      </w:r>
    </w:p>
    <w:p>
      <w:pPr>
        <w:pStyle w:val="BodyText"/>
      </w:pPr>
      <w:r>
        <w:t xml:space="preserve">Clicking initiates an asynchronous background job. The button immediately becomes disabled with the new state</w:t>
      </w:r>
      <w:r>
        <w:t xml:space="preserve"> </w:t>
      </w:r>
      <w:r>
        <w:t xml:space="preserve">“</w:t>
      </w:r>
      <w:r>
        <w:t xml:space="preserve">Export in progress — we’ll email you when it’s ready</w:t>
      </w:r>
      <w:r>
        <w:t xml:space="preserve">”</w:t>
      </w:r>
      <w:r>
        <w:t xml:space="preserve"> </w:t>
      </w:r>
      <w:r>
        <w:t xml:space="preserve">and a status badge shows next to it. The user can leave the page; the job continues server-side.</w:t>
      </w:r>
    </w:p>
    <w:p>
      <w:pPr>
        <w:pStyle w:val="BodyText"/>
      </w:pPr>
      <w:r>
        <w:rPr>
          <w:b/>
        </w:rPr>
        <w:t xml:space="preserve">The job (Cloudflare Worker triggered via Supabase Edge Function):</w:t>
      </w:r>
    </w:p>
    <w:p>
      <w:pPr>
        <w:numPr>
          <w:ilvl w:val="0"/>
          <w:numId w:val="1004"/>
        </w:numPr>
        <w:pStyle w:val="Compact"/>
      </w:pPr>
      <w:r>
        <w:t xml:space="preserve">Insert a row into</w:t>
      </w:r>
      <w:r>
        <w:t xml:space="preserve"> </w:t>
      </w:r>
      <w:r>
        <w:rPr>
          <w:rStyle w:val="VerbatimChar"/>
        </w:rPr>
        <w:t xml:space="preserve">data_export_requests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Flip to</w:t>
      </w:r>
      <w:r>
        <w:t xml:space="preserve"> </w:t>
      </w:r>
      <w:r>
        <w:rPr>
          <w:rStyle w:val="VerbatimChar"/>
        </w:rPr>
        <w:t xml:space="preserve">status='generating'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Compile the user’s data into a temporary working directory: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profile.json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(PII included since this is the user’s own data) +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 </w:t>
      </w:r>
      <w:r>
        <w:t xml:space="preserve">rows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events.json</w:t>
      </w:r>
      <w:r>
        <w:t xml:space="preserve"> </w:t>
      </w:r>
      <w:r>
        <w:t xml:space="preserve">— for customers: every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row the user is on as couple/guest, plus seating chart, guest list, mood board palettes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services.json</w:t>
      </w:r>
      <w:r>
        <w:t xml:space="preserve"> </w:t>
      </w:r>
      <w:r>
        <w:t xml:space="preserve">— for vendors: every</w:t>
      </w:r>
      <w:r>
        <w:t xml:space="preserve"> </w:t>
      </w:r>
      <w:r>
        <w:rPr>
          <w:rStyle w:val="VerbatimChar"/>
        </w:rPr>
        <w:t xml:space="preserve">vendor_services</w:t>
      </w:r>
      <w:r>
        <w:t xml:space="preserve"> </w:t>
      </w:r>
      <w:r>
        <w:t xml:space="preserve">row, every</w:t>
      </w:r>
      <w:r>
        <w:t xml:space="preserve"> </w:t>
      </w:r>
      <w:r>
        <w:rPr>
          <w:rStyle w:val="VerbatimChar"/>
        </w:rPr>
        <w:t xml:space="preserve">service_bookings</w:t>
      </w:r>
      <w:r>
        <w:t xml:space="preserve"> </w:t>
      </w:r>
      <w:r>
        <w:t xml:space="preserve">row (with counterparty name + email redacted to first-letter + domain), every milestone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chat_messages.json</w:t>
      </w:r>
      <w:r>
        <w:t xml:space="preserve"> </w:t>
      </w:r>
      <w:r>
        <w:t xml:space="preserve">— every message sent or received. Messages where the counterparty has not consented to data export get the counterparty’s name redacted; the user’s own messages always render in full.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photos/</w:t>
      </w:r>
      <w:r>
        <w:t xml:space="preserve"> </w:t>
      </w:r>
      <w:r>
        <w:t xml:space="preserve">— every photo the user contributed via Papic or guest-camera (original quality if hot-tier; compressed if past the 90-day window), plus</w:t>
      </w:r>
      <w:r>
        <w:t xml:space="preserve"> </w:t>
      </w:r>
      <w:r>
        <w:rPr>
          <w:rStyle w:val="VerbatimChar"/>
        </w:rPr>
        <w:t xml:space="preserve">photos_manifest.json</w:t>
      </w:r>
      <w:r>
        <w:t xml:space="preserve"> </w:t>
      </w:r>
      <w:r>
        <w:t xml:space="preserve">mapping filenames to metadata (captured_at, geo if not stripped, tags)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payment_history.json</w:t>
      </w:r>
      <w:r>
        <w:t xml:space="preserve"> </w:t>
      </w:r>
      <w:r>
        <w:t xml:space="preserve">— for customers: every</w:t>
      </w:r>
      <w:r>
        <w:t xml:space="preserve"> </w:t>
      </w:r>
      <w:r>
        <w:rPr>
          <w:rStyle w:val="VerbatimChar"/>
        </w:rPr>
        <w:t xml:space="preserve">service_orders</w:t>
      </w:r>
      <w:r>
        <w:t xml:space="preserve"> </w:t>
      </w:r>
      <w:r>
        <w:t xml:space="preserve">row + receipt PDFs in a</w:t>
      </w:r>
      <w:r>
        <w:t xml:space="preserve"> </w:t>
      </w:r>
      <w:r>
        <w:rPr>
          <w:rStyle w:val="VerbatimChar"/>
        </w:rPr>
        <w:t xml:space="preserve">receipts/</w:t>
      </w:r>
      <w:r>
        <w:t xml:space="preserve"> </w:t>
      </w:r>
      <w:r>
        <w:t xml:space="preserve">subfolder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face_vectors.json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face_enrollments</w:t>
      </w:r>
      <w:r>
        <w:t xml:space="preserve"> </w:t>
      </w:r>
      <w:r>
        <w:t xml:space="preserve">row owned by the user (vector blob base64-encoded), one entry per event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README.txt</w:t>
      </w:r>
      <w:r>
        <w:t xml:space="preserve"> </w:t>
      </w:r>
      <w:r>
        <w:t xml:space="preserve">— explains the ZIP structure, lists what’s included, names the file formats, points at dpo@setnayan.com for questions</w:t>
      </w:r>
    </w:p>
    <w:p>
      <w:pPr>
        <w:numPr>
          <w:ilvl w:val="0"/>
          <w:numId w:val="1004"/>
        </w:numPr>
        <w:pStyle w:val="Compact"/>
      </w:pPr>
      <w:r>
        <w:t xml:space="preserve">ZIP the directory, upload to R2 bucket</w:t>
      </w:r>
      <w:r>
        <w:t xml:space="preserve"> </w:t>
      </w:r>
      <w:r>
        <w:rPr>
          <w:rStyle w:val="VerbatimChar"/>
        </w:rPr>
        <w:t xml:space="preserve">setnayan-exports</w:t>
      </w:r>
      <w:r>
        <w:t xml:space="preserve"> </w:t>
      </w:r>
      <w:r>
        <w:t xml:space="preserve">under key</w:t>
      </w:r>
      <w:r>
        <w:t xml:space="preserve"> </w:t>
      </w:r>
      <w:r>
        <w:rPr>
          <w:rStyle w:val="VerbatimChar"/>
        </w:rPr>
        <w:t xml:space="preserve">exports/{user_id}/{request_id}.zip</w:t>
      </w:r>
      <w:r>
        <w:t xml:space="preserve">. Bucket access is signed-URL-only; the URL TTL is 30 days from</w:t>
      </w:r>
      <w:r>
        <w:t xml:space="preserve"> </w:t>
      </w:r>
      <w:r>
        <w:rPr>
          <w:rStyle w:val="VerbatimChar"/>
        </w:rPr>
        <w:t xml:space="preserve">ready_at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Flip to</w:t>
      </w:r>
      <w:r>
        <w:t xml:space="preserve"> </w:t>
      </w:r>
      <w:r>
        <w:rPr>
          <w:rStyle w:val="VerbatimChar"/>
        </w:rPr>
        <w:t xml:space="preserve">status='ready'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r2_export_key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 = ready_at + 30 days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Send the user an email with subject</w:t>
      </w:r>
      <w:r>
        <w:t xml:space="preserve"> </w:t>
      </w:r>
      <w:r>
        <w:t xml:space="preserve">“</w:t>
      </w:r>
      <w:r>
        <w:t xml:space="preserve">Your Setnayan data is ready to download</w:t>
      </w:r>
      <w:r>
        <w:t xml:space="preserve">”</w:t>
      </w:r>
      <w:r>
        <w:t xml:space="preserve"> </w:t>
      </w:r>
      <w:r>
        <w:t xml:space="preserve">containing the signed URL and the expiry date.</w:t>
      </w:r>
    </w:p>
    <w:p>
      <w:pPr>
        <w:pStyle w:val="FirstParagraph"/>
      </w:pPr>
      <w:r>
        <w:rPr>
          <w:b/>
        </w:rPr>
        <w:t xml:space="preserve">SLA:</w:t>
      </w:r>
      <w:r>
        <w:t xml:space="preserve"> </w:t>
      </w:r>
      <w:r>
        <w:t xml:space="preserve">the job must complete within 7 days. In practice, most exports finish within minutes — only large photo galleries push toward the upper bound.</w:t>
      </w:r>
    </w:p>
    <w:p>
      <w:pPr>
        <w:pStyle w:val="BodyText"/>
      </w:pPr>
      <w:r>
        <w:rPr>
          <w:b/>
        </w:rPr>
        <w:t xml:space="preserve">On download: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downloaded_at</w:t>
      </w:r>
      <w:r>
        <w:t xml:space="preserve"> </w:t>
      </w:r>
      <w:r>
        <w:t xml:space="preserve">and flips status to</w:t>
      </w:r>
      <w:r>
        <w:t xml:space="preserve"> </w:t>
      </w:r>
      <w:r>
        <w:rPr>
          <w:rStyle w:val="VerbatimChar"/>
        </w:rPr>
        <w:t xml:space="preserve">'downloaded'</w:t>
      </w:r>
      <w:r>
        <w:t xml:space="preserve">. The signed URL remains valid until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so the user can re-download within the 30-day window.</w:t>
      </w:r>
    </w:p>
    <w:p>
      <w:pPr>
        <w:pStyle w:val="BodyText"/>
      </w:pPr>
      <w:r>
        <w:rPr>
          <w:b/>
        </w:rPr>
        <w:t xml:space="preserve">On expiry:</w:t>
      </w:r>
      <w:r>
        <w:t xml:space="preserve"> </w:t>
      </w:r>
      <w:r>
        <w:t xml:space="preserve">a scheduled job at 00:00 PHT daily flips any</w:t>
      </w:r>
      <w:r>
        <w:t xml:space="preserve"> </w:t>
      </w:r>
      <w:r>
        <w:rPr>
          <w:rStyle w:val="VerbatimChar"/>
        </w:rPr>
        <w:t xml:space="preserve">status='ready'</w:t>
      </w:r>
      <w:r>
        <w:t xml:space="preserve"> </w:t>
      </w:r>
      <w:r>
        <w:t xml:space="preserve">rows whose</w:t>
      </w:r>
      <w:r>
        <w:t xml:space="preserve"> </w:t>
      </w:r>
      <w:r>
        <w:rPr>
          <w:rStyle w:val="VerbatimChar"/>
        </w:rPr>
        <w:t xml:space="preserve">expires_at &lt; NOW()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'expired'</w:t>
      </w:r>
      <w:r>
        <w:t xml:space="preserve"> </w:t>
      </w:r>
      <w:r>
        <w:t xml:space="preserve">and deletes the R2 object. To download again, the user clicks the button to enqueue a fresh job.</w:t>
      </w:r>
    </w:p>
    <w:p>
      <w:pPr>
        <w:pStyle w:val="BodyText"/>
      </w:pPr>
      <w:r>
        <w:rPr>
          <w:b/>
        </w:rPr>
        <w:t xml:space="preserve">Rate limit:</w:t>
      </w:r>
      <w:r>
        <w:t xml:space="preserve"> </w:t>
      </w:r>
      <w:r>
        <w:t xml:space="preserve">one in-flight export per user. Multiple requests within 7 days while a previous export is still valid show:</w:t>
      </w:r>
      <w:r>
        <w:t xml:space="preserve"> </w:t>
      </w:r>
      <w:r>
        <w:t xml:space="preserve">“</w:t>
      </w:r>
      <w:r>
        <w:t xml:space="preserve">Your last export is still available — re-download or wait until it expires.</w:t>
      </w:r>
      <w:r>
        <w:t xml:space="preserve">”</w:t>
      </w:r>
    </w:p>
    <w:p>
      <w:pPr>
        <w:pStyle w:val="Heading4"/>
      </w:pPr>
      <w:bookmarkStart w:id="34" w:name="X074d7ebd683ba568955390a6e82a35aabe6bea0"/>
      <w:r>
        <w:t xml:space="preserve">3.6.2 Account deletion — Right to erasure (RA 10173 § 16(e))</w:t>
      </w:r>
      <w:bookmarkEnd w:id="34"/>
    </w:p>
    <w:p>
      <w:pPr>
        <w:pStyle w:val="FirstParagraph"/>
      </w:pPr>
      <w:r>
        <w:t xml:space="preserve">Two-tier delete: soft (reversible 30 days) and hard (irreversible).</w:t>
      </w:r>
    </w:p>
    <w:p>
      <w:pPr>
        <w:pStyle w:val="BodyText"/>
      </w:pPr>
      <w:r>
        <w:rPr>
          <w:b/>
        </w:rPr>
        <w:t xml:space="preserve">Soft delete (default path, immediate UX, reversible):</w:t>
      </w:r>
    </w:p>
    <w:p>
      <w:pPr>
        <w:numPr>
          <w:ilvl w:val="0"/>
          <w:numId w:val="1006"/>
        </w:numPr>
        <w:pStyle w:val="Compact"/>
      </w:pPr>
      <w:r>
        <w:t xml:space="preserve">User clicks</w:t>
      </w:r>
      <w:r>
        <w:t xml:space="preserve"> </w:t>
      </w:r>
      <w:r>
        <w:t xml:space="preserve">“</w:t>
      </w:r>
      <w:r>
        <w:t xml:space="preserve">Delete my account.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Modal opens with the full consequences laid out (see</w:t>
      </w:r>
      <w:r>
        <w:t xml:space="preserve"> </w:t>
      </w:r>
      <w:r>
        <w:t xml:space="preserve">“</w:t>
      </w:r>
      <w:r>
        <w:t xml:space="preserve">Consequences modal</w:t>
      </w:r>
      <w:r>
        <w:t xml:space="preserve">”</w:t>
      </w:r>
      <w:r>
        <w:t xml:space="preserve"> </w:t>
      </w:r>
      <w:r>
        <w:t xml:space="preserve">below).</w:t>
      </w:r>
    </w:p>
    <w:p>
      <w:pPr>
        <w:numPr>
          <w:ilvl w:val="0"/>
          <w:numId w:val="1006"/>
        </w:numPr>
        <w:pStyle w:val="Compact"/>
      </w:pPr>
      <w:r>
        <w:t xml:space="preserve">User must type their email address into a confirmation field to enable the</w:t>
      </w:r>
      <w:r>
        <w:t xml:space="preserve"> </w:t>
      </w:r>
      <w:r>
        <w:t xml:space="preserve">“</w:t>
      </w:r>
      <w:r>
        <w:t xml:space="preserve">Confirm deletion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06"/>
        </w:numPr>
        <w:pStyle w:val="Compact"/>
      </w:pPr>
      <w:r>
        <w:t xml:space="preserve">On confirm: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users.deleted_at = NOW()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users.deletion_initiated_by = users.user_id</w:t>
      </w:r>
      <w:r>
        <w:t xml:space="preserve"> </w:t>
      </w:r>
      <w:r>
        <w:t xml:space="preserve">(self-initiated)</w:t>
      </w:r>
    </w:p>
    <w:p>
      <w:pPr>
        <w:numPr>
          <w:ilvl w:val="1"/>
          <w:numId w:val="1007"/>
        </w:numPr>
        <w:pStyle w:val="Compact"/>
      </w:pPr>
      <w:r>
        <w:t xml:space="preserve">All active sessions invalidated (next API call returns 401)</w:t>
      </w:r>
    </w:p>
    <w:p>
      <w:pPr>
        <w:numPr>
          <w:ilvl w:val="1"/>
          <w:numId w:val="1007"/>
        </w:numPr>
        <w:pStyle w:val="Compact"/>
      </w:pPr>
      <w:r>
        <w:t xml:space="preserve">Confirmation email sent:</w:t>
      </w:r>
      <w:r>
        <w:t xml:space="preserve"> </w:t>
      </w:r>
      <w:r>
        <w:t xml:space="preserve">“</w:t>
      </w:r>
      <w:r>
        <w:t xml:space="preserve">Your Setnayan account is scheduled for deletion. Sign in within 30 days to restore it.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User is signed out and redirected to the marketing site</w:t>
      </w:r>
    </w:p>
    <w:p>
      <w:pPr>
        <w:pStyle w:val="FirstParagraph"/>
      </w:pPr>
      <w:r>
        <w:rPr>
          <w:b/>
        </w:rPr>
        <w:t xml:space="preserve">Consequences modal copy (locked):</w:t>
      </w:r>
    </w:p>
    <w:p>
      <w:pPr>
        <w:pStyle w:val="BlockText"/>
      </w:pPr>
      <w:r>
        <w:rPr>
          <w:b/>
        </w:rPr>
        <w:t xml:space="preserve">Deleting your account will:</w:t>
      </w:r>
      <w:r>
        <w:t xml:space="preserve"> </w:t>
      </w:r>
      <w:r>
        <w:t xml:space="preserve">- Hide your profile from vendors and other customers immediately.</w:t>
      </w:r>
      <w:r>
        <w:t xml:space="preserve"> </w:t>
      </w:r>
      <w:r>
        <w:t xml:space="preserve">- Cancel your access to all events and bookings you’re a part of.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Keep your data for 30 days</w:t>
      </w:r>
      <w:r>
        <w:t xml:space="preserve"> </w:t>
      </w:r>
      <w:r>
        <w:t xml:space="preserve">— sign in again within 30 days to restore your account fully. After 30 days, your data is permanently deleted.</w:t>
      </w:r>
    </w:p>
    <w:p>
      <w:pPr>
        <w:pStyle w:val="BlockText"/>
      </w:pPr>
      <w:r>
        <w:rPr>
          <w:b/>
        </w:rPr>
        <w:t xml:space="preserve">Some things stay</w:t>
      </w:r>
      <w:r>
        <w:t xml:space="preserve"> </w:t>
      </w:r>
      <w:r>
        <w:t xml:space="preserve">— for legal, accounting, and counterparty obligations:</w:t>
      </w:r>
      <w:r>
        <w:t xml:space="preserve"> </w:t>
      </w:r>
      <w:r>
        <w:t xml:space="preserve">- Active events and bookings remain visible to the other party (e.g., your vendor still sees the booking they’re contracted on).</w:t>
      </w:r>
      <w:r>
        <w:t xml:space="preserve"> </w:t>
      </w:r>
      <w:r>
        <w:t xml:space="preserve">- Audit logs of actions you’ve taken stay for 5 years, anonymized.</w:t>
      </w:r>
      <w:r>
        <w:t xml:space="preserve"> </w:t>
      </w:r>
      <w:r>
        <w:t xml:space="preserve">- Photos you contributed to other people’s galleries stay in those galleries (the gallery is theirs, not yours).</w:t>
      </w:r>
    </w:p>
    <w:p>
      <w:pPr>
        <w:pStyle w:val="BlockText"/>
      </w:pPr>
      <w:r>
        <w:rPr>
          <w:b/>
        </w:rPr>
        <w:t xml:space="preserve">Type your email address to confirm:</w:t>
      </w:r>
      <w:r>
        <w:t xml:space="preserve"> </w:t>
      </w:r>
      <w:r>
        <w:rPr>
          <w:rStyle w:val="VerbatimChar"/>
        </w:rPr>
        <w:t xml:space="preserve">[__________________]</w:t>
      </w:r>
    </w:p>
    <w:p>
      <w:pPr>
        <w:pStyle w:val="FirstParagraph"/>
      </w:pPr>
      <w:r>
        <w:rPr>
          <w:b/>
        </w:rPr>
        <w:t xml:space="preserve">Hard delete (irreversible, auto-triggered after 30 days OR via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Delete immediately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path):</w:t>
      </w:r>
    </w:p>
    <w:p>
      <w:pPr>
        <w:pStyle w:val="BodyText"/>
      </w:pPr>
      <w:r>
        <w:t xml:space="preserve">A scheduled job at 02:00 PHT daily processes all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rows where</w:t>
      </w:r>
      <w:r>
        <w:t xml:space="preserve"> </w:t>
      </w:r>
      <w:r>
        <w:rPr>
          <w:rStyle w:val="VerbatimChar"/>
        </w:rPr>
        <w:t xml:space="preserve">deleted_at &lt; NOW() - INTERVAL '30 days'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hard_deleted_at IS NULL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Null out / hash PII fields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display_name = '[deleted user]'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email = hash_sha256(user_id || '@deleted.setnayan.com')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phone = NULL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profile_photo_r2_key = NULL</w:t>
      </w:r>
      <w:r>
        <w:t xml:space="preserve"> </w:t>
      </w:r>
      <w:r>
        <w:t xml:space="preserve">(R2 object deleted by separate Worker)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business_name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logo_r2_key</w:t>
      </w:r>
      <w:r>
        <w:t xml:space="preserve">, etc. nulled for vendor rows</w:t>
      </w:r>
    </w:p>
    <w:p>
      <w:pPr>
        <w:numPr>
          <w:ilvl w:val="0"/>
          <w:numId w:val="1008"/>
        </w:numPr>
        <w:pStyle w:val="Compact"/>
      </w:pPr>
      <w:r>
        <w:t xml:space="preserve">Delete face vectors for any events older than the legal retention window (events ≥ 5 years old → vectors purged immediately; events within 5 years → retained until the event’s retention boundary).</w:t>
      </w:r>
    </w:p>
    <w:p>
      <w:pPr>
        <w:numPr>
          <w:ilvl w:val="0"/>
          <w:numId w:val="1008"/>
        </w:numPr>
        <w:pStyle w:val="Compact"/>
      </w:pPr>
      <w:r>
        <w:t xml:space="preserve">Anonymize cross-table references: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chat_messages.sender_user_id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[deleted user]</w:t>
      </w:r>
      <w:r>
        <w:t xml:space="preserve"> </w:t>
      </w:r>
      <w:r>
        <w:t xml:space="preserve">on the read API; the FK stays intact for audit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photos.uploader_user_id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[deleted user]</w:t>
      </w:r>
      <w:r>
        <w:t xml:space="preserve"> </w:t>
      </w:r>
      <w:r>
        <w:t xml:space="preserve">on the read API; FK intact</w:t>
      </w:r>
    </w:p>
    <w:p>
      <w:pPr>
        <w:numPr>
          <w:ilvl w:val="1"/>
          <w:numId w:val="1010"/>
        </w:numPr>
        <w:pStyle w:val="Compact"/>
      </w:pPr>
      <w:r>
        <w:t xml:space="preserve">Audit-log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deleted_user_X_YYYY-MM-DD</w:t>
      </w:r>
      <w:r>
        <w:t xml:space="preserve"> </w:t>
      </w:r>
      <w:r>
        <w:t xml:space="preserve">anonymized handle on every read</w:t>
      </w:r>
    </w:p>
    <w:p>
      <w:pPr>
        <w:numPr>
          <w:ilvl w:val="0"/>
          <w:numId w:val="1008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users.hard_deleted_at = NOW()</w:t>
      </w:r>
      <w:r>
        <w:t xml:space="preserve">. The row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deleted from the database — it’s anonymized. Hard-deleting the row would orphan every FK and break the 5-year audit-retention obligation under Privacy Policy § 5.</w:t>
      </w:r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Delete immediately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path:</w:t>
      </w:r>
      <w:r>
        <w:t xml:space="preserve"> </w:t>
      </w:r>
      <w:r>
        <w:t xml:space="preserve">advanced expander inside the modal. Same consequences, no 30-day grace, hard delete runs synchronously after the confirmation. Used by users who want their data gone now (e.g., after a privacy incident). Requires re-typing the email a second time as a friction guard.</w:t>
      </w:r>
    </w:p>
    <w:p>
      <w:pPr>
        <w:pStyle w:val="BodyText"/>
      </w:pPr>
      <w:r>
        <w:rPr>
          <w:b/>
        </w:rPr>
        <w:t xml:space="preserve">Restoration during grace window:</w:t>
      </w:r>
      <w:r>
        <w:t xml:space="preserve"> </w:t>
      </w:r>
      <w:r>
        <w:t xml:space="preserve">if a soft-deleted user signs in within 30 days, the login flow shows</w:t>
      </w:r>
      <w:r>
        <w:t xml:space="preserve"> </w:t>
      </w:r>
      <w:r>
        <w:t xml:space="preserve">“</w:t>
      </w:r>
      <w:r>
        <w:t xml:space="preserve">Your account is scheduled for deletion. Restore it now?</w:t>
      </w:r>
      <w:r>
        <w:t xml:space="preserve">”</w:t>
      </w:r>
      <w:r>
        <w:t xml:space="preserve"> </w:t>
      </w:r>
      <w:r>
        <w:t xml:space="preserve">→ confirm →</w:t>
      </w:r>
      <w:r>
        <w:t xml:space="preserve"> </w:t>
      </w:r>
      <w:r>
        <w:rPr>
          <w:rStyle w:val="VerbatimChar"/>
        </w:rPr>
        <w:t xml:space="preserve">users.deleted_at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users.deletion_initiated_by = NULL</w:t>
      </w:r>
      <w:r>
        <w:t xml:space="preserve">, restoration confirmation email sent.</w:t>
      </w:r>
    </w:p>
    <w:p>
      <w:pPr>
        <w:pStyle w:val="BodyText"/>
      </w:pPr>
      <w:r>
        <w:rPr>
          <w:b/>
        </w:rPr>
        <w:t xml:space="preserve">Exceptions that BLOCK deletion entirely:</w:t>
      </w:r>
    </w:p>
    <w:p>
      <w:pPr>
        <w:pStyle w:val="BodyText"/>
      </w:pPr>
      <w:r>
        <w:t xml:space="preserve">The Delete-account button is disabled (with a tooltip explaining why) when any of the following hold: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Active event within next 30 days (customer-side).</w:t>
      </w:r>
      <w:r>
        <w:t xml:space="preserve"> </w:t>
      </w:r>
      <w:r>
        <w:t xml:space="preserve">Show:</w:t>
      </w:r>
      <w:r>
        <w:t xml:space="preserve"> </w:t>
      </w:r>
      <w:r>
        <w:t xml:space="preserve">“</w:t>
      </w:r>
      <w:r>
        <w:t xml:space="preserve">You have an active wedding scheduled on [date]. Contact support to discuss deletion.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Active vendor bookings (vendor-side).</w:t>
      </w:r>
      <w:r>
        <w:t xml:space="preserve"> </w:t>
      </w:r>
      <w:r>
        <w:t xml:space="preserve">Show:</w:t>
      </w:r>
      <w:r>
        <w:t xml:space="preserve"> </w:t>
      </w:r>
      <w:r>
        <w:t xml:space="preserve">“</w:t>
      </w:r>
      <w:r>
        <w:t xml:space="preserve">You have [N] active bookings. Mark them completed or cancelled before deleting your account, or contact support.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Outstanding financial obligations.</w:t>
      </w:r>
      <w:r>
        <w:t xml:space="preserve"> </w:t>
      </w:r>
      <w:r>
        <w:t xml:space="preserve">Show:</w:t>
      </w:r>
      <w:r>
        <w:t xml:space="preserve"> </w:t>
      </w:r>
      <w:r>
        <w:t xml:space="preserve">“</w:t>
      </w:r>
      <w:r>
        <w:t xml:space="preserve">Outstanding balance of ₱[X]. Resolve unpaid orders before deleting your account.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Admin role.</w:t>
      </w:r>
      <w:r>
        <w:t xml:space="preserve"> </w:t>
      </w:r>
      <w:r>
        <w:t xml:space="preserve">Admins cannot self-delete. Show:</w:t>
      </w:r>
      <w:r>
        <w:t xml:space="preserve"> </w:t>
      </w:r>
      <w:r>
        <w:t xml:space="preserve">“</w:t>
      </w:r>
      <w:r>
        <w:t xml:space="preserve">Admin accounts must be deleted by another admin. Submit a deletion request via the admin console.</w:t>
      </w:r>
      <w:r>
        <w:t xml:space="preserve">”</w:t>
      </w:r>
      <w:r>
        <w:t xml:space="preserve"> </w:t>
      </w:r>
      <w:r>
        <w:t xml:space="preserve">This routes to a two-admin approval flow per Vendor Agreement § 9.1.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Sole</w:t>
      </w:r>
      <w:r>
        <w:rPr>
          <w:b/>
        </w:rPr>
        <w:t xml:space="preserve"> </w:t>
      </w:r>
      <w:r>
        <w:rPr>
          <w:rStyle w:val="VerbatimChar"/>
          <w:b/>
        </w:rPr>
        <w:t xml:space="preserve">is_internal=TRUE</w:t>
      </w:r>
      <w:r>
        <w:rPr>
          <w:b/>
        </w:rPr>
        <w:t xml:space="preserve"> </w:t>
      </w:r>
      <w:r>
        <w:rPr>
          <w:b/>
        </w:rPr>
        <w:t xml:space="preserve">owner.</w:t>
      </w:r>
      <w:r>
        <w:t xml:space="preserve"> </w:t>
      </w:r>
      <w:r>
        <w:t xml:space="preserve">If only one of the two § 10a internal accounts remains, that account cannot self-delete until a second internal account is added — protects the dogfooding invariant.</w:t>
      </w:r>
    </w:p>
    <w:p>
      <w:pPr>
        <w:pStyle w:val="Heading4"/>
      </w:pPr>
      <w:bookmarkStart w:id="35" w:name="face-data-management-privacy-policy-6.1"/>
      <w:r>
        <w:t xml:space="preserve">3.6.3 Face data management — Privacy Policy § 6.1</w:t>
      </w:r>
      <w:bookmarkEnd w:id="35"/>
    </w:p>
    <w:p>
      <w:pPr>
        <w:pStyle w:val="FirstParagraph"/>
      </w:pPr>
      <w:r>
        <w:rPr>
          <w:b/>
        </w:rPr>
        <w:t xml:space="preserve">Per-event toggle:</w:t>
      </w:r>
      <w:r>
        <w:t xml:space="preserve"> </w:t>
      </w:r>
      <w:r>
        <w:t xml:space="preserve">“</w:t>
      </w:r>
      <w:r>
        <w:t xml:space="preserve">Enable face detection on my photos for [Event Name].</w:t>
      </w:r>
      <w:r>
        <w:t xml:space="preserve">”</w:t>
      </w:r>
      <w:r>
        <w:t xml:space="preserve"> </w:t>
      </w:r>
      <w:r>
        <w:t xml:space="preserve">Default ON (per the per-event-scoped face-detection rule in the master CLAUDE.md decision log). Toggling off:</w:t>
      </w:r>
      <w:r>
        <w:t xml:space="preserve"> </w:t>
      </w:r>
      <w:r>
        <w:t xml:space="preserve">- Sets</w:t>
      </w:r>
      <w:r>
        <w:t xml:space="preserve"> </w:t>
      </w:r>
      <w:r>
        <w:rPr>
          <w:rStyle w:val="VerbatimChar"/>
        </w:rPr>
        <w:t xml:space="preserve">face_enrollments.revoked_at = NOW()</w:t>
      </w:r>
      <w:r>
        <w:t xml:space="preserve"> </w:t>
      </w:r>
      <w:r>
        <w:t xml:space="preserve">for the user’s enrollments in that event</w:t>
      </w:r>
      <w:r>
        <w:t xml:space="preserve"> </w:t>
      </w:r>
      <w:r>
        <w:t xml:space="preserve">- Within the next 5-min refresh cycle, face vectors are purged from the in-memory matcher</w:t>
      </w:r>
      <w:r>
        <w:t xml:space="preserve"> </w:t>
      </w:r>
      <w:r>
        <w:t xml:space="preserve">- Future photos of the user are not auto-tagged; the user retains all QR-scan tagging paths</w:t>
      </w:r>
    </w:p>
    <w:p>
      <w:pPr>
        <w:pStyle w:val="BodyText"/>
      </w:pPr>
      <w:r>
        <w:rPr>
          <w:b/>
        </w:rPr>
        <w:t xml:space="preserve">Per-event enrollment status badge: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Enrolled</w:t>
      </w:r>
      <w:r>
        <w:t xml:space="preserve"> </w:t>
      </w:r>
      <w:r>
        <w:t xml:space="preserve">— green dot with the enrollment source (RSVP / portal upload / kiosk)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 enrolled</w:t>
      </w:r>
      <w:r>
        <w:t xml:space="preserve"> </w:t>
      </w:r>
      <w:r>
        <w:t xml:space="preserve">— grey dot with</w:t>
      </w:r>
      <w:r>
        <w:t xml:space="preserve"> </w:t>
      </w:r>
      <w:r>
        <w:t xml:space="preserve">“</w:t>
      </w:r>
      <w:r>
        <w:t xml:space="preserve">Add my face data</w:t>
      </w:r>
      <w:r>
        <w:t xml:space="preserve">”</w:t>
      </w:r>
      <w:r>
        <w:t xml:space="preserve"> </w:t>
      </w:r>
      <w:r>
        <w:t xml:space="preserve">CTA linking to the guest portal upload (per 0002 § 5)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Opted out</w:t>
      </w:r>
      <w:r>
        <w:t xml:space="preserve"> </w:t>
      </w:r>
      <w:r>
        <w:t xml:space="preserve">— red dot with</w:t>
      </w:r>
      <w:r>
        <w:t xml:space="preserve"> </w:t>
      </w:r>
      <w:r>
        <w:t xml:space="preserve">“</w:t>
      </w:r>
      <w:r>
        <w:t xml:space="preserve">Re-enable</w:t>
      </w:r>
      <w:r>
        <w:t xml:space="preserve">”</w:t>
      </w:r>
      <w:r>
        <w:t xml:space="preserve"> </w:t>
      </w:r>
      <w:r>
        <w:t xml:space="preserve">CTA</w:t>
      </w:r>
    </w:p>
    <w:p>
      <w:pPr>
        <w:pStyle w:val="BodyText"/>
      </w:pPr>
      <w:r>
        <w:rPr>
          <w:b/>
        </w:rPr>
        <w:t xml:space="preserve">Global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Delete all my face data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button.</w:t>
      </w:r>
      <w:r>
        <w:t xml:space="preserve"> </w:t>
      </w:r>
      <w:r>
        <w:t xml:space="preserve">Scope: every event, every enrollment source. Confirmation required. On confirm, every matching</w:t>
      </w:r>
      <w:r>
        <w:t xml:space="preserve"> </w:t>
      </w:r>
      <w:r>
        <w:rPr>
          <w:rStyle w:val="VerbatimChar"/>
        </w:rPr>
        <w:t xml:space="preserve">face_enrollments</w:t>
      </w:r>
      <w:r>
        <w:t xml:space="preserve"> </w:t>
      </w:r>
      <w:r>
        <w:t xml:space="preserve">row is marked</w:t>
      </w:r>
      <w:r>
        <w:t xml:space="preserve"> </w:t>
      </w:r>
      <w:r>
        <w:rPr>
          <w:rStyle w:val="VerbatimChar"/>
        </w:rPr>
        <w:t xml:space="preserve">revoked_at = NOW()</w:t>
      </w:r>
      <w:r>
        <w:t xml:space="preserve"> </w:t>
      </w:r>
      <w:r>
        <w:t xml:space="preserve">and the underlying vector blobs are purged at the next 5-min refresh.</w:t>
      </w:r>
    </w:p>
    <w:p>
      <w:pPr>
        <w:pStyle w:val="Heading4"/>
      </w:pPr>
      <w:bookmarkStart w:id="36" w:name="marketing-consent-privacy-policy-6.2"/>
      <w:r>
        <w:t xml:space="preserve">3.6.4 Marketing consent — Privacy Policy § 6.2</w:t>
      </w:r>
      <w:bookmarkEnd w:id="36"/>
    </w:p>
    <w:p>
      <w:pPr>
        <w:pStyle w:val="FirstParagraph"/>
      </w:pPr>
      <w:r>
        <w:t xml:space="preserve">Two toggles, both default OFF (explicit opt-in per RA 10173):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Setnayan may feature my event in marketing samples</w:t>
      </w:r>
      <w:r>
        <w:rPr>
          <w:b/>
        </w:rPr>
        <w:t xml:space="preserve">”</w:t>
      </w:r>
      <w:r>
        <w:t xml:space="preserve"> </w:t>
      </w:r>
      <w:r>
        <w:t xml:space="preserve">— writes</w:t>
      </w:r>
      <w:r>
        <w:t xml:space="preserve"> </w:t>
      </w:r>
      <w:r>
        <w:rPr>
          <w:rStyle w:val="VerbatimChar"/>
        </w:rPr>
        <w:t xml:space="preserve">users.marketing_consent_event_features</w:t>
      </w:r>
      <w:r>
        <w:t xml:space="preserve">. When ON, Setnayan may use the event’s logo (vendor logos with separate consent), public photos (couple-tagged as public), and testimonial quotes (collected via separate consent form) in marketing materials.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Setnayan may contact me about new features and product updates</w:t>
      </w:r>
      <w:r>
        <w:rPr>
          <w:b/>
        </w:rPr>
        <w:t xml:space="preserve">”</w:t>
      </w:r>
      <w:r>
        <w:t xml:space="preserve"> </w:t>
      </w:r>
      <w:r>
        <w:t xml:space="preserve">— writes</w:t>
      </w:r>
      <w:r>
        <w:t xml:space="preserve"> </w:t>
      </w:r>
      <w:r>
        <w:rPr>
          <w:rStyle w:val="VerbatimChar"/>
        </w:rPr>
        <w:t xml:space="preserve">users.marketing_consent_product_updates</w:t>
      </w:r>
      <w:r>
        <w:t xml:space="preserve">. Drives the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 </w:t>
      </w:r>
      <w:r>
        <w:t xml:space="preserve">notification category in tab 3 (when this flips OFF, the marketing toggles in tab 3 auto-disable and grey out).</w:t>
      </w:r>
    </w:p>
    <w:p>
      <w:pPr>
        <w:pStyle w:val="FirstParagraph"/>
      </w:pPr>
      <w:r>
        <w:t xml:space="preserve">Withdrawal is immediate. Any in-flight email campaigns drop the user from the next batch within 24h.</w:t>
      </w:r>
    </w:p>
    <w:p>
      <w:pPr>
        <w:pStyle w:val="Heading4"/>
      </w:pPr>
      <w:bookmarkStart w:id="37" w:name="dpo-contact"/>
      <w:r>
        <w:t xml:space="preserve">3.6.5 DPO contact</w:t>
      </w:r>
      <w:bookmarkEnd w:id="37"/>
    </w:p>
    <w:p>
      <w:pPr>
        <w:pStyle w:val="FirstParagraph"/>
      </w:pPr>
      <w:r>
        <w:t xml:space="preserve">Static block at the bottom of the Privacy tab:</w:t>
      </w:r>
    </w:p>
    <w:p>
      <w:pPr>
        <w:pStyle w:val="BlockText"/>
      </w:pPr>
      <w:r>
        <w:rPr>
          <w:b/>
        </w:rPr>
        <w:t xml:space="preserve">Data Privacy Officer</w:t>
      </w:r>
      <w:r>
        <w:t xml:space="preserve"> </w:t>
      </w:r>
      <w:r>
        <w:t xml:space="preserve">All requests under the PH Data Privacy Act (RA 10173) — access, correction, blocking, erasure, data portability, complaint, or any other right — are handled by Setnayan’s DPO within 15 business days per § 21 of our Privacy Policy.</w:t>
      </w:r>
    </w:p>
    <w:p>
      <w:pPr>
        <w:pStyle w:val="BlockText"/>
      </w:pPr>
      <w:r>
        <w:rPr>
          <w:b/>
        </w:rPr>
        <w:t xml:space="preserve">dpo@setnayan.com</w:t>
      </w:r>
    </w:p>
    <w:p>
      <w:pPr>
        <w:pStyle w:val="BlockText"/>
      </w:pPr>
      <w:r>
        <w:t xml:space="preserve">[Read the full Privacy &amp; Security Policy →]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Read the full Privacy &amp; Security Policy</w:t>
      </w:r>
      <w:r>
        <w:t xml:space="preserve">”</w:t>
      </w:r>
      <w:r>
        <w:t xml:space="preserve"> </w:t>
      </w:r>
      <w:r>
        <w:t xml:space="preserve">link routes to</w:t>
      </w:r>
      <w:r>
        <w:t xml:space="preserve"> </w:t>
      </w:r>
      <w:r>
        <w:rPr>
          <w:rStyle w:val="VerbatimChar"/>
        </w:rPr>
        <w:t xml:space="preserve">setnayan.com/privacy</w:t>
      </w:r>
      <w:r>
        <w:t xml:space="preserve"> </w:t>
      </w:r>
      <w:r>
        <w:t xml:space="preserve">which renders the policy from</w:t>
      </w:r>
      <w:r>
        <w:t xml:space="preserve"> </w:t>
      </w:r>
      <w:r>
        <w:rPr>
          <w:rStyle w:val="VerbatimChar"/>
        </w:rPr>
        <w:t xml:space="preserve">01_Contracts/Setnayan_Privacy_and_Security_Policy.md</w:t>
      </w:r>
      <w:r>
        <w:t xml:space="preserve"> </w:t>
      </w:r>
      <w:r>
        <w:t xml:space="preserve">via the same MDX pipeline as the marketing site.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ata-model"/>
      <w:r>
        <w:t xml:space="preserve">4. Data model</w:t>
      </w:r>
      <w:bookmarkEnd w:id="38"/>
    </w:p>
    <w:p>
      <w:pPr>
        <w:pStyle w:val="Heading3"/>
      </w:pPr>
      <w:bookmarkStart w:id="39" w:name="new-tables"/>
      <w:r>
        <w:t xml:space="preserve">4.1 New tables</w:t>
      </w:r>
      <w:bookmarkEnd w:id="39"/>
    </w:p>
    <w:p>
      <w:pPr>
        <w:pStyle w:val="SourceCode"/>
      </w:pPr>
      <w:r>
        <w:rPr>
          <w:rStyle w:val="CommentTok"/>
        </w:rPr>
        <w:t xml:space="preserve">-- Asynchronous data-export job tracking (RA 10173 § 18)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data_export_requests (</w:t>
      </w:r>
      <w:r>
        <w:br/>
      </w:r>
      <w:r>
        <w:rPr>
          <w:rStyle w:val="NormalTok"/>
        </w:rPr>
        <w:t xml:space="preserve">  request_id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requested_at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'generating'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'downloaded'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r2_export_key   TEXT,</w:t>
      </w:r>
      <w:r>
        <w:br/>
      </w:r>
      <w:r>
        <w:rPr>
          <w:rStyle w:val="NormalTok"/>
        </w:rPr>
        <w:t xml:space="preserve">  ready_at        TIMESTAMPTZ,</w:t>
      </w:r>
      <w:r>
        <w:br/>
      </w:r>
      <w:r>
        <w:rPr>
          <w:rStyle w:val="NormalTok"/>
        </w:rPr>
        <w:t xml:space="preserve">  downloaded_at   TIMESTAMPTZ,</w:t>
      </w:r>
      <w:r>
        <w:br/>
      </w:r>
      <w:r>
        <w:rPr>
          <w:rStyle w:val="NormalTok"/>
        </w:rPr>
        <w:t xml:space="preserve">  expires_at      TIMESTAMPTZ,</w:t>
      </w:r>
      <w:r>
        <w:br/>
      </w:r>
      <w:r>
        <w:rPr>
          <w:rStyle w:val="NormalTok"/>
        </w:rPr>
        <w:t xml:space="preserve">  failure_reason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idx_data_export_user_status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data_export_requests (user_id,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idx_data_export_expires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data_export_requests (expires_at)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Per-user per-category notification preferences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notification_preferences (</w:t>
      </w:r>
      <w:r>
        <w:br/>
      </w:r>
      <w:r>
        <w:rPr>
          <w:rStyle w:val="NormalTok"/>
        </w:rPr>
        <w:t xml:space="preserve">  user_id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'vendors'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'events'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'account'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'internal_accounts'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in_app_enabled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email_enabled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quiet_hours_start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quiet_hours_end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Forward-reserved (V1.5): saved payment methods for Setnayan Pay automation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customer_payment_methods (</w:t>
      </w:r>
      <w:r>
        <w:br/>
      </w:r>
      <w:r>
        <w:rPr>
          <w:rStyle w:val="NormalTok"/>
        </w:rPr>
        <w:t xml:space="preserve">  method_id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method_type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'gcash'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'maya'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'bdo_account'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brand           TEXT,</w:t>
      </w:r>
      <w:r>
        <w:br/>
      </w:r>
      <w:r>
        <w:rPr>
          <w:rStyle w:val="NormalTok"/>
        </w:rPr>
        <w:t xml:space="preserve">  last4           TEXT,</w:t>
      </w:r>
      <w:r>
        <w:br/>
      </w:r>
      <w:r>
        <w:rPr>
          <w:rStyle w:val="NormalTok"/>
        </w:rPr>
        <w:t xml:space="preserve">  masked_account  TEXT,</w:t>
      </w:r>
      <w:r>
        <w:br/>
      </w:r>
      <w:r>
        <w:rPr>
          <w:rStyle w:val="NormalTok"/>
        </w:rPr>
        <w:t xml:space="preserve">  is_default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TIMESTAMPTZ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40" w:name="columns-added-to-users"/>
      <w:r>
        <w:t xml:space="preserve">4.2 Columns added to</w:t>
      </w:r>
      <w:r>
        <w:t xml:space="preserve"> </w:t>
      </w:r>
      <w:r>
        <w:rPr>
          <w:rStyle w:val="VerbatimChar"/>
        </w:rPr>
        <w:t xml:space="preserve">users</w:t>
      </w:r>
      <w:bookmarkEnd w:id="40"/>
    </w:p>
    <w:p>
      <w:pPr>
        <w:pStyle w:val="SourceCode"/>
      </w:pPr>
      <w:r>
        <w:rPr>
          <w:rStyle w:val="CommentTok"/>
        </w:rPr>
        <w:t xml:space="preserve">-- Soft + hard delete tracking (RA 10173 § 16(e))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deleted_at             TIMESTAMPTZ;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hard_deleted_at        TIMESTAMPTZ;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deletion_reason       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deletion_initiated_by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users(user_id);</w:t>
      </w:r>
      <w:r>
        <w:br/>
      </w:r>
      <w:r>
        <w:br/>
      </w:r>
      <w:r>
        <w:rPr>
          <w:rStyle w:val="CommentTok"/>
        </w:rPr>
        <w:t xml:space="preserve">-- Appearance preferences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theme_preference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'setnayan_default'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(theme_preference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'setnayan_default'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'victorian'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'classy'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'ios'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locale_preference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(locale_preference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'ceb'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density_preference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'comfortable'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(density_preference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'compact'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'comfortable'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Marketing consent (Privacy Policy § 6.2)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marketing_consent_event_features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marketing_consent_product_updates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 supporting the daily hard-delete sweeper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idx_users_pending_hard_delete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(deleted_at)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hard_deleted_at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Heading3"/>
      </w:pPr>
      <w:bookmarkStart w:id="41" w:name="rls-posture"/>
      <w:r>
        <w:t xml:space="preserve">4.3 RLS posture</w:t>
      </w:r>
      <w:bookmarkEnd w:id="41"/>
    </w:p>
    <w:p>
      <w:pPr>
        <w:pStyle w:val="FirstParagraph"/>
      </w:pPr>
      <w:r>
        <w:t xml:space="preserve">Every table above has Row-Level Security policies: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data_export_requests</w:t>
      </w:r>
      <w:r>
        <w:t xml:space="preserve">: user can read/write their own rows only; admin can read any row for support purposes; nobody can delete rows (immutable for audit)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notification_preferences</w:t>
      </w:r>
      <w:r>
        <w:t xml:space="preserve">: user can read/write their own rows only; admin read-only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customer_payment_methods</w:t>
      </w:r>
      <w:r>
        <w:t xml:space="preserve">: user only; admin no access (PCI-scope isolation)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new columns:</w:t>
      </w:r>
      <w:r>
        <w:t xml:space="preserve"> </w:t>
      </w:r>
      <w:r>
        <w:rPr>
          <w:rStyle w:val="VerbatimChar"/>
        </w:rPr>
        <w:t xml:space="preserve">theme_preference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locale_preference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density_preference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marketing_consent_*</w:t>
      </w:r>
      <w:r>
        <w:t xml:space="preserve"> </w:t>
      </w:r>
      <w:r>
        <w:t xml:space="preserve">are self-writable;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hard_deleted_at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deletion_reason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deletion_initiated_by</w:t>
      </w:r>
      <w:r>
        <w:t xml:space="preserve"> </w:t>
      </w:r>
      <w:r>
        <w:t xml:space="preserve">are writable only by the user themselves (for self-soft-delete) or by an admin (for admin-processed deletions) — DB-enforced via policy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background-jobs"/>
      <w:r>
        <w:t xml:space="preserve">5. Background jobs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data_export_generator</w:t>
            </w:r>
          </w:p>
        </w:tc>
        <w:tc>
          <w:p>
            <w:pPr>
              <w:pStyle w:val="Compact"/>
              <w:jc w:val="left"/>
            </w:pPr>
            <w:r>
              <w:t xml:space="preserve">event-driven (on insert into</w:t>
            </w:r>
            <w:r>
              <w:t xml:space="preserve"> </w:t>
            </w:r>
            <w:r>
              <w:rPr>
                <w:rStyle w:val="VerbatimChar"/>
              </w:rPr>
              <w:t xml:space="preserve">data_export_requests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Compiles the user’s ZIP and uploads to R2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data_export_expiry_sweeper</w:t>
            </w:r>
          </w:p>
        </w:tc>
        <w:tc>
          <w:p>
            <w:pPr>
              <w:pStyle w:val="Compact"/>
              <w:jc w:val="left"/>
            </w:pPr>
            <w:r>
              <w:t xml:space="preserve">daily 00:00 PHT</w:t>
            </w:r>
          </w:p>
        </w:tc>
        <w:tc>
          <w:p>
            <w:pPr>
              <w:pStyle w:val="Compact"/>
              <w:jc w:val="left"/>
            </w:pPr>
            <w:r>
              <w:t xml:space="preserve">Flips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for rows past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; deletes the R2 object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hard_delete_sweeper</w:t>
            </w:r>
          </w:p>
        </w:tc>
        <w:tc>
          <w:p>
            <w:pPr>
              <w:pStyle w:val="Compact"/>
              <w:jc w:val="left"/>
            </w:pPr>
            <w:r>
              <w:t xml:space="preserve">daily 02:00 PHT</w:t>
            </w:r>
          </w:p>
        </w:tc>
        <w:tc>
          <w:p>
            <w:pPr>
              <w:pStyle w:val="Compact"/>
              <w:jc w:val="left"/>
            </w:pPr>
            <w:r>
              <w:t xml:space="preserve">Processes</w:t>
            </w:r>
            <w:r>
              <w:t xml:space="preserve"> </w:t>
            </w:r>
            <w:r>
              <w:rPr>
                <w:rStyle w:val="VerbatimChar"/>
              </w:rPr>
              <w:t xml:space="preserve">users.deleted_at &lt; NOW() - 30d</w:t>
            </w:r>
            <w:r>
              <w:t xml:space="preserve"> </w:t>
            </w:r>
            <w:r>
              <w:t xml:space="preserve">rows · anonymizes PII · purges face vectors · sets</w:t>
            </w:r>
            <w:r>
              <w:t xml:space="preserve"> </w:t>
            </w:r>
            <w:r>
              <w:rPr>
                <w:rStyle w:val="VerbatimChar"/>
              </w:rPr>
              <w:t xml:space="preserve">hard_deleted_at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face_vector_revocation_refresh</w:t>
            </w:r>
          </w:p>
        </w:tc>
        <w:tc>
          <w:p>
            <w:pPr>
              <w:pStyle w:val="Compact"/>
              <w:jc w:val="left"/>
            </w:pPr>
            <w:r>
              <w:t xml:space="preserve">every 5 minutes</w:t>
            </w:r>
          </w:p>
        </w:tc>
        <w:tc>
          <w:p>
            <w:pPr>
              <w:pStyle w:val="Compact"/>
              <w:jc w:val="left"/>
            </w:pPr>
            <w:r>
              <w:t xml:space="preserve">Re-syncs the in-memory matcher with</w:t>
            </w:r>
            <w:r>
              <w:t xml:space="preserve"> </w:t>
            </w:r>
            <w:r>
              <w:rPr>
                <w:rStyle w:val="VerbatimChar"/>
              </w:rPr>
              <w:t xml:space="preserve">face_enrollments.revoked_at</w:t>
            </w:r>
            <w:r>
              <w:t xml:space="preserve"> </w:t>
            </w:r>
            <w:r>
              <w:t xml:space="preserve">changes (already exists per CLAUDE.md face-detection decision; this iteration consumes 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marketing_consent_propagator</w:t>
            </w:r>
          </w:p>
        </w:tc>
        <w:tc>
          <w:p>
            <w:pPr>
              <w:pStyle w:val="Compact"/>
              <w:jc w:val="left"/>
            </w:pPr>
            <w:r>
              <w:t xml:space="preserve">event-driven (on update of</w:t>
            </w:r>
            <w:r>
              <w:t xml:space="preserve"> </w:t>
            </w:r>
            <w:r>
              <w:rPr>
                <w:rStyle w:val="VerbatimChar"/>
              </w:rPr>
              <w:t xml:space="preserve">marketing_consent_*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Removes user from in-flight campaigns within 24h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rivacy-posture-summary"/>
      <w:r>
        <w:t xml:space="preserve">6. Privacy posture summary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Right (RA 10173)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exercised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 16(a) Right to be informed</w:t>
            </w:r>
          </w:p>
        </w:tc>
        <w:tc>
          <w:p>
            <w:pPr>
              <w:pStyle w:val="Compact"/>
              <w:jc w:val="left"/>
            </w:pPr>
            <w:r>
              <w:t xml:space="preserve">Privacy Policy + § 6.5 DPO block</w:t>
            </w:r>
          </w:p>
        </w:tc>
        <w:tc>
          <w:p>
            <w:pPr>
              <w:pStyle w:val="Compact"/>
              <w:jc w:val="left"/>
            </w:pPr>
            <w:r>
              <w:t xml:space="preserve">Policy is always 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 16(b) Right to access</w:t>
            </w:r>
          </w:p>
        </w:tc>
        <w:tc>
          <w:p>
            <w:pPr>
              <w:pStyle w:val="Compact"/>
              <w:jc w:val="left"/>
            </w:pPr>
            <w:r>
              <w:t xml:space="preserve">§ 6.1 data export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 16(c) Right to correction</w:t>
            </w:r>
          </w:p>
        </w:tc>
        <w:tc>
          <w:p>
            <w:pPr>
              <w:pStyle w:val="Compact"/>
              <w:jc w:val="left"/>
            </w:pPr>
            <w:r>
              <w:t xml:space="preserve">Tab 1 Profile (most fields) + DPO email for the rest</w:t>
            </w:r>
          </w:p>
        </w:tc>
        <w:tc>
          <w:p>
            <w:pPr>
              <w:pStyle w:val="Compact"/>
              <w:jc w:val="left"/>
            </w:pPr>
            <w:r>
              <w:t xml:space="preserve">Immediate (self-serve) or 15 business days (DPO)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 16(d) Right to object</w:t>
            </w:r>
          </w:p>
        </w:tc>
        <w:tc>
          <w:p>
            <w:pPr>
              <w:pStyle w:val="Compact"/>
              <w:jc w:val="left"/>
            </w:pPr>
            <w:r>
              <w:t xml:space="preserve">§ 6.3 (face data) + § 6.4 (marketing)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 16(e) Right to erasure</w:t>
            </w:r>
          </w:p>
        </w:tc>
        <w:tc>
          <w:p>
            <w:pPr>
              <w:pStyle w:val="Compact"/>
              <w:jc w:val="left"/>
            </w:pPr>
            <w:r>
              <w:t xml:space="preserve">§ 6.2 account deletion</w:t>
            </w:r>
          </w:p>
        </w:tc>
        <w:tc>
          <w:p>
            <w:pPr>
              <w:pStyle w:val="Compact"/>
              <w:jc w:val="left"/>
            </w:pPr>
            <w:r>
              <w:t xml:space="preserve">Immediate (soft) · 30 days (hard)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 18 Right to data portability</w:t>
            </w:r>
          </w:p>
        </w:tc>
        <w:tc>
          <w:p>
            <w:pPr>
              <w:pStyle w:val="Compact"/>
              <w:jc w:val="left"/>
            </w:pPr>
            <w:r>
              <w:t xml:space="preserve">§ 6.1 data export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 21 DPO obligation</w:t>
            </w:r>
          </w:p>
        </w:tc>
        <w:tc>
          <w:p>
            <w:pPr>
              <w:pStyle w:val="Compact"/>
              <w:jc w:val="left"/>
            </w:pPr>
            <w:r>
              <w:t xml:space="preserve">§ 6.5 contact block</w:t>
            </w:r>
          </w:p>
        </w:tc>
        <w:tc>
          <w:p>
            <w:pPr>
              <w:pStyle w:val="Compact"/>
              <w:jc w:val="left"/>
            </w:pPr>
            <w:r>
              <w:t xml:space="preserve">15 business days per request</w:t>
            </w:r>
          </w:p>
        </w:tc>
      </w:tr>
    </w:tbl>
    <w:p>
      <w:pPr>
        <w:pStyle w:val="BodyText"/>
      </w:pPr>
      <w:r>
        <w:t xml:space="preserve">Every right has a machine-actionable path through Settings. The DPO email remains the fallback for cases the UI doesn’t cover (correction of fields not editable by the user, complaint escalation, cross-account data requests).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build-order"/>
      <w:r>
        <w:t xml:space="preserve">7. Build order</w:t>
      </w:r>
      <w:bookmarkEnd w:id="44"/>
    </w:p>
    <w:p>
      <w:pPr>
        <w:pStyle w:val="FirstParagraph"/>
      </w:pPr>
      <w:r>
        <w:t xml:space="preserve">After the schema in § 4 lands (Sprint 0), the six tabs are mutually independent and can be implemented in parallel by different engineers: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this 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0</w:t>
            </w:r>
          </w:p>
        </w:tc>
        <w:tc>
          <w:p>
            <w:pPr>
              <w:pStyle w:val="Compact"/>
              <w:jc w:val="left"/>
            </w:pPr>
            <w:r>
              <w:t xml:space="preserve">Schema § 4 + RLS policies</w:t>
            </w:r>
          </w:p>
        </w:tc>
        <w:tc>
          <w:p>
            <w:pPr>
              <w:pStyle w:val="Compact"/>
              <w:jc w:val="left"/>
            </w:pPr>
            <w:r>
              <w:t xml:space="preserve">Everything blocks on these tables existing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Tab 6 § 6.2 (account deletion) + Tab 6 § 6.1 (data export)</w:t>
            </w:r>
          </w:p>
        </w:tc>
        <w:tc>
          <w:p>
            <w:pPr>
              <w:pStyle w:val="Compact"/>
              <w:jc w:val="left"/>
            </w:pPr>
            <w:r>
              <w:t xml:space="preserve">Legal compliance — must ship before V1 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Tab 1 (Profile)</w:t>
            </w:r>
          </w:p>
        </w:tc>
        <w:tc>
          <w:p>
            <w:pPr>
              <w:pStyle w:val="Compact"/>
              <w:jc w:val="left"/>
            </w:pPr>
            <w:r>
              <w:t xml:space="preserve">Baseline self-serve UX; unblocks email verification 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Tab 3 (Notifications)</w:t>
            </w:r>
          </w:p>
        </w:tc>
        <w:tc>
          <w:p>
            <w:pPr>
              <w:pStyle w:val="Compact"/>
              <w:jc w:val="left"/>
            </w:pPr>
            <w:r>
              <w:t xml:space="preserve">Consumed by 0019 chat for routing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Tab 2 (Appearance)</w:t>
            </w:r>
          </w:p>
        </w:tc>
        <w:tc>
          <w:p>
            <w:pPr>
              <w:pStyle w:val="Compact"/>
              <w:jc w:val="left"/>
            </w:pPr>
            <w:r>
              <w:t xml:space="preserve">Consumed by every surface; no downstream blockers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Tab 4 (URL &amp; Slug)</w:t>
            </w:r>
          </w:p>
        </w:tc>
        <w:tc>
          <w:p>
            <w:pPr>
              <w:pStyle w:val="Compact"/>
              <w:jc w:val="left"/>
            </w:pPr>
            <w:r>
              <w:t xml:space="preserve">Reuses the 0002 slug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Tab 5 (Payment Methods)</w:t>
            </w:r>
          </w:p>
        </w:tc>
        <w:tc>
          <w:p>
            <w:pPr>
              <w:pStyle w:val="Compact"/>
              <w:jc w:val="left"/>
            </w:pPr>
            <w:r>
              <w:t xml:space="preserve">V1 is mostly an informational tab + the payment-history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Tab 6 § 6.3 / § 6.4 / § 6.5 (Face data + Marketing + DPO block)</w:t>
            </w:r>
          </w:p>
        </w:tc>
        <w:tc>
          <w:p>
            <w:pPr>
              <w:pStyle w:val="Compact"/>
              <w:jc w:val="left"/>
            </w:pPr>
            <w:r>
              <w:t xml:space="preserve">Consumed by face matcher + email campaign tool · DPO block is static copy</w:t>
            </w:r>
          </w:p>
        </w:tc>
      </w:tr>
    </w:tbl>
    <w:p>
      <w:pPr>
        <w:pStyle w:val="BodyText"/>
      </w:pPr>
      <w:r>
        <w:t xml:space="preserve">The two RA 10173 features (export + deletion) are in Sprint 1 because launching without them exposes Setnayan to NPC complaints. Everything else is hygiene and can slip a sprint without legal exposure.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ompanions-and-next-steps"/>
      <w:r>
        <w:t xml:space="preserve">8. Companions and next steps</w:t>
      </w:r>
      <w:bookmarkEnd w:id="45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0021 (couple dashboard)</w:t>
      </w:r>
      <w:r>
        <w:t xml:space="preserve"> </w:t>
      </w:r>
      <w:r>
        <w:t xml:space="preserve">— adds the Settings cog to top chrome; routes to this iteration’s surface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0022 (vendor dashboard)</w:t>
      </w:r>
      <w:r>
        <w:t xml:space="preserve"> </w:t>
      </w:r>
      <w:r>
        <w:t xml:space="preserve">— adds the Settings cog to top chrome; vendor-side tab variants enabled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0023 (admin console)</w:t>
      </w:r>
      <w:r>
        <w:t xml:space="preserve"> </w:t>
      </w:r>
      <w:r>
        <w:t xml:space="preserve">— admin’s own profile settings hosted here (admin’s role-grant management lives separately in 0023)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0002 (slug check)</w:t>
      </w:r>
      <w:r>
        <w:t xml:space="preserve"> </w:t>
      </w:r>
      <w:r>
        <w:t xml:space="preserve">— Tab 4 reuses the slug-availability component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0026 (BIR / tax compliance)</w:t>
      </w:r>
      <w:r>
        <w:t xml:space="preserve"> </w:t>
      </w:r>
      <w:r>
        <w:t xml:space="preserve">— consumes the payment-history view from Tab 5 for receipt generation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0028 (email notifications)</w:t>
      </w:r>
      <w:r>
        <w:t xml:space="preserve"> </w:t>
      </w:r>
      <w:r>
        <w:t xml:space="preserve">— consumes</w:t>
      </w:r>
      <w:r>
        <w:t xml:space="preserve"> </w:t>
      </w:r>
      <w:r>
        <w:rPr>
          <w:rStyle w:val="VerbatimChar"/>
        </w:rPr>
        <w:t xml:space="preserve">notification_preferences</w:t>
      </w:r>
      <w:r>
        <w:t xml:space="preserve"> </w:t>
      </w:r>
      <w:r>
        <w:t xml:space="preserve">for routing email category opt-outs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/>
        </w:rPr>
        <w:t xml:space="preserve">01_Contracts/Setnayan_Privacy_and_Security_Policy.md</w:t>
      </w:r>
      <w:r>
        <w:t xml:space="preserve"> </w:t>
      </w:r>
      <w:r>
        <w:t xml:space="preserve">— the policy this iteration’s Privacy tab operationalizes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/>
        </w:rPr>
        <w:t xml:space="preserve">02_Specifications/Theme_System_Implementation_Spec.md</w:t>
      </w:r>
      <w:r>
        <w:t xml:space="preserve"> </w:t>
      </w:r>
      <w:r>
        <w:t xml:space="preserve">— the four V1 themes Tab 2 picks from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Vendor Agreement § 10a / § 10b</w:t>
      </w:r>
      <w:r>
        <w:t xml:space="preserve"> </w:t>
      </w:r>
      <w:r>
        <w:t xml:space="preserve">— internal-account markers consumed by Tab 1 (display badge) and Tab 6 (deletion exception)</w:t>
      </w:r>
    </w:p>
    <w:p>
      <w:pPr>
        <w:pStyle w:val="FirstParagraph"/>
      </w:pPr>
      <w:r>
        <w:t xml:space="preserve">The iteration ships when all six tabs are reachable from the Settings cog on every dashboard, the schema in § 4 is live in Supabase, the two background sweepers in § 5 are scheduled, and the export + deletion flows have passed end-to-end privacy review.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2026-05-12T08:20:35Z</dcterms:created>
  <dcterms:modified xsi:type="dcterms:W3CDTF">2026-05-12T08:20:35Z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