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etnayan-vendor-agreement-v1"/>
      <w:r>
        <w:t xml:space="preserve">Setnayan Vendor Agreement · v1</w:t>
      </w:r>
      <w:bookmarkEnd w:id="20"/>
    </w:p>
    <w:p>
      <w:pPr>
        <w:pStyle w:val="BlockText"/>
      </w:pPr>
      <w:r>
        <w:t xml:space="preserve">The contract every vendor agrees to before their profile publishes on Setnayan. Locked 2026-05-12 from the 20 operational rules dictated by ownership. This document is the source of truth for: verification requirements, tier rules, business terms, refund mechanics, and dispute mediation. The admin console (iteration 0023) enforces these rules at the system level; this document is what the vendor reads, accepts, and signs.</w:t>
      </w:r>
    </w:p>
    <w:p>
      <w:pPr>
        <w:pStyle w:val="Heading2"/>
      </w:pPr>
      <w:bookmarkStart w:id="21" w:name="vendor-verification"/>
      <w:r>
        <w:t xml:space="preserve">1. Vendor Verification</w:t>
      </w:r>
      <w:bookmarkEnd w:id="21"/>
    </w:p>
    <w:p>
      <w:pPr>
        <w:pStyle w:val="Heading3"/>
      </w:pPr>
      <w:bookmarkStart w:id="22" w:name="initial-requirements-all-vendors"/>
      <w:r>
        <w:t xml:space="preserve">1.1 Initial requirements (all vendors)</w:t>
      </w:r>
      <w:bookmarkEnd w:id="22"/>
    </w:p>
    <w:p>
      <w:pPr>
        <w:pStyle w:val="FirstParagraph"/>
      </w:pPr>
      <w:r>
        <w:t xml:space="preserve">Every applicant submits the following to enter the verification queue (admin surface 0023 — Verification). Setnayan Team reviews within</w:t>
      </w:r>
      <w:r>
        <w:t xml:space="preserve"> </w:t>
      </w:r>
      <w:r>
        <w:rPr>
          <w:b/>
        </w:rPr>
        <w:t xml:space="preserve">3 business days</w:t>
      </w:r>
      <w:r>
        <w:t xml:space="preserve"> </w:t>
      </w:r>
      <w:r>
        <w:t xml:space="preserve">per the launch SLA. Profile does not publish until status flips to Verified.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Notes</w:t>
            </w:r>
          </w:p>
        </w:tc>
      </w:tr>
      <w:tr>
        <w:tc>
          <w:p>
            <w:pPr>
              <w:pStyle w:val="Compact"/>
              <w:jc w:val="left"/>
            </w:pPr>
            <w:r>
              <w:t xml:space="preserve">Business name</w:t>
            </w:r>
          </w:p>
        </w:tc>
        <w:tc>
          <w:p>
            <w:pPr>
              <w:pStyle w:val="Compact"/>
              <w:jc w:val="left"/>
            </w:pPr>
            <w:r>
              <w:t xml:space="preserve">Text</w:t>
            </w:r>
          </w:p>
        </w:tc>
        <w:tc>
          <w:p>
            <w:pPr>
              <w:pStyle w:val="Compact"/>
              <w:jc w:val="left"/>
            </w:pPr>
            <w:r>
              <w:t xml:space="preserve">Must match DTI/SEC registration</w:t>
            </w:r>
          </w:p>
        </w:tc>
      </w:tr>
      <w:tr>
        <w:tc>
          <w:p>
            <w:pPr>
              <w:pStyle w:val="Compact"/>
              <w:jc w:val="left"/>
            </w:pPr>
            <w:r>
              <w:t xml:space="preserve">DTI / SEC registration certificate</w:t>
            </w:r>
          </w:p>
        </w:tc>
        <w:tc>
          <w:p>
            <w:pPr>
              <w:pStyle w:val="Compact"/>
              <w:jc w:val="left"/>
            </w:pPr>
            <w:r>
              <w:t xml:space="preserve">PDF or image</w:t>
            </w:r>
          </w:p>
        </w:tc>
        <w:tc>
          <w:p>
            <w:pPr>
              <w:pStyle w:val="Compact"/>
              <w:jc w:val="left"/>
            </w:pPr>
            <w:r>
              <w:t xml:space="preserve">Sole prop, corp, or partnership</w:t>
            </w:r>
          </w:p>
        </w:tc>
      </w:tr>
      <w:tr>
        <w:tc>
          <w:p>
            <w:pPr>
              <w:pStyle w:val="Compact"/>
              <w:jc w:val="left"/>
            </w:pPr>
            <w:r>
              <w:t xml:space="preserve">BIR Form 2303 (Certificate of Registration)</w:t>
            </w:r>
          </w:p>
        </w:tc>
        <w:tc>
          <w:p>
            <w:pPr>
              <w:pStyle w:val="Compact"/>
              <w:jc w:val="left"/>
            </w:pPr>
            <w:r>
              <w:t xml:space="preserve">PDF or image</w:t>
            </w:r>
          </w:p>
        </w:tc>
        <w:tc>
          <w:p>
            <w:pPr>
              <w:pStyle w:val="Compact"/>
              <w:jc w:val="left"/>
            </w:pPr>
            <w:r>
              <w:t xml:space="preserve">Tax registration proof</w:t>
            </w:r>
          </w:p>
        </w:tc>
      </w:tr>
      <w:tr>
        <w:tc>
          <w:p>
            <w:pPr>
              <w:pStyle w:val="Compact"/>
              <w:jc w:val="left"/>
            </w:pPr>
            <w:r>
              <w:t xml:space="preserve">Business address proof</w:t>
            </w:r>
          </w:p>
        </w:tc>
        <w:tc>
          <w:p>
            <w:pPr>
              <w:pStyle w:val="Compact"/>
              <w:jc w:val="left"/>
            </w:pPr>
            <w:r>
              <w:t xml:space="preserve">PDF or image</w:t>
            </w:r>
          </w:p>
        </w:tc>
        <w:tc>
          <w:p>
            <w:pPr>
              <w:pStyle w:val="Compact"/>
              <w:jc w:val="left"/>
            </w:pPr>
            <w:r>
              <w:t xml:space="preserve">Utility bill, lease contract, or barangay clearance</w:t>
            </w:r>
          </w:p>
        </w:tc>
      </w:tr>
      <w:tr>
        <w:tc>
          <w:p>
            <w:pPr>
              <w:pStyle w:val="Compact"/>
              <w:jc w:val="left"/>
            </w:pPr>
            <w:r>
              <w:t xml:space="preserve">Government-issued ID (primary representative)</w:t>
            </w:r>
          </w:p>
        </w:tc>
        <w:tc>
          <w:p>
            <w:pPr>
              <w:pStyle w:val="Compact"/>
              <w:jc w:val="left"/>
            </w:pPr>
            <w:r>
              <w:t xml:space="preserve">Front + back image</w:t>
            </w:r>
          </w:p>
        </w:tc>
        <w:tc>
          <w:p>
            <w:pPr>
              <w:pStyle w:val="Compact"/>
              <w:jc w:val="left"/>
            </w:pPr>
            <w:r>
              <w:t xml:space="preserve">Valid PH ID (passport, driver’s license, UMID, PRC)</w:t>
            </w:r>
          </w:p>
        </w:tc>
      </w:tr>
      <w:tr>
        <w:tc>
          <w:p>
            <w:pPr>
              <w:pStyle w:val="Compact"/>
              <w:jc w:val="left"/>
            </w:pPr>
            <w:r>
              <w:t xml:space="preserve">Service category selection</w:t>
            </w:r>
          </w:p>
        </w:tc>
        <w:tc>
          <w:p>
            <w:pPr>
              <w:pStyle w:val="Compact"/>
              <w:jc w:val="left"/>
            </w:pPr>
            <w:r>
              <w:t xml:space="preserve">Picker</w:t>
            </w:r>
          </w:p>
        </w:tc>
        <w:tc>
          <w:p>
            <w:pPr>
              <w:pStyle w:val="Compact"/>
              <w:jc w:val="left"/>
            </w:pPr>
            <w:r>
              <w:t xml:space="preserve">Choose from 28 canonical categories or request custom</w:t>
            </w:r>
          </w:p>
        </w:tc>
      </w:tr>
      <w:tr>
        <w:tc>
          <w:p>
            <w:pPr>
              <w:pStyle w:val="Compact"/>
              <w:jc w:val="left"/>
            </w:pPr>
            <w:r>
              <w:t xml:space="preserve">Service area coverage</w:t>
            </w:r>
          </w:p>
        </w:tc>
        <w:tc>
          <w:p>
            <w:pPr>
              <w:pStyle w:val="Compact"/>
              <w:jc w:val="left"/>
            </w:pPr>
            <w:r>
              <w:t xml:space="preserve">Map pin + radius</w:t>
            </w:r>
          </w:p>
        </w:tc>
        <w:tc>
          <w:p>
            <w:pPr>
              <w:pStyle w:val="Compact"/>
              <w:jc w:val="left"/>
            </w:pPr>
            <w:r>
              <w:t xml:space="preserve">HQ location + km radius for free transport</w:t>
            </w:r>
          </w:p>
        </w:tc>
      </w:tr>
      <w:tr>
        <w:tc>
          <w:p>
            <w:pPr>
              <w:pStyle w:val="Compact"/>
              <w:jc w:val="left"/>
            </w:pPr>
            <w:r>
              <w:t xml:space="preserve">Sample portfolio (3–10 items)</w:t>
            </w:r>
          </w:p>
        </w:tc>
        <w:tc>
          <w:p>
            <w:pPr>
              <w:pStyle w:val="Compact"/>
              <w:jc w:val="left"/>
            </w:pPr>
            <w:r>
              <w:t xml:space="preserve">Images / video URLs</w:t>
            </w:r>
          </w:p>
        </w:tc>
        <w:tc>
          <w:p>
            <w:pPr>
              <w:pStyle w:val="Compact"/>
              <w:jc w:val="left"/>
            </w:pPr>
            <w:r>
              <w:t xml:space="preserve">At least 3 to publish; 10 recommended</w:t>
            </w:r>
          </w:p>
        </w:tc>
      </w:tr>
      <w:tr>
        <w:tc>
          <w:p>
            <w:pPr>
              <w:pStyle w:val="Compact"/>
              <w:jc w:val="left"/>
            </w:pPr>
            <w:r>
              <w:rPr>
                <w:b/>
              </w:rPr>
              <w:t xml:space="preserve">Vendor logo</w:t>
            </w:r>
          </w:p>
        </w:tc>
        <w:tc>
          <w:p>
            <w:pPr>
              <w:pStyle w:val="Compact"/>
              <w:jc w:val="left"/>
            </w:pPr>
            <w:r>
              <w:t xml:space="preserve">PNG with transparent bg · 512×512 minimum · ≤ 2 MB</w:t>
            </w:r>
          </w:p>
        </w:tc>
        <w:tc>
          <w:p>
            <w:pPr>
              <w:pStyle w:val="Compact"/>
              <w:jc w:val="left"/>
            </w:pPr>
            <w:r>
              <w:rPr>
                <w:b/>
              </w:rPr>
              <w:t xml:space="preserve">MANDATORY · this is the avatar customers see in chat, vendor listings, and the vendor’s landing page. Per § 3.10, ALL vendor-side messages display the company logo regardless of which team member is actually replying — protecting the vendor’s brand identity consistency.</w:t>
            </w:r>
          </w:p>
        </w:tc>
      </w:tr>
      <w:tr>
        <w:tc>
          <w:p>
            <w:pPr>
              <w:pStyle w:val="Compact"/>
              <w:jc w:val="left"/>
            </w:pPr>
            <w:r>
              <w:t xml:space="preserve">Bank or e-wallet receiving account</w:t>
            </w:r>
          </w:p>
        </w:tc>
        <w:tc>
          <w:p>
            <w:pPr>
              <w:pStyle w:val="Compact"/>
              <w:jc w:val="left"/>
            </w:pPr>
            <w:r>
              <w:t xml:space="preserve">Account details</w:t>
            </w:r>
          </w:p>
        </w:tc>
        <w:tc>
          <w:p>
            <w:pPr>
              <w:pStyle w:val="Compact"/>
              <w:jc w:val="left"/>
            </w:pPr>
            <w:r>
              <w:t xml:space="preserve">BDO / BPI / Metrobank / GCash / Maya for payouts</w:t>
            </w:r>
          </w:p>
        </w:tc>
      </w:tr>
      <w:tr>
        <w:tc>
          <w:p>
            <w:pPr>
              <w:pStyle w:val="Compact"/>
              <w:jc w:val="left"/>
            </w:pPr>
            <w:r>
              <w:t xml:space="preserve">Mobile number + email</w:t>
            </w:r>
          </w:p>
        </w:tc>
        <w:tc>
          <w:p>
            <w:pPr>
              <w:pStyle w:val="Compact"/>
              <w:jc w:val="left"/>
            </w:pPr>
            <w:r>
              <w:t xml:space="preserve">Contacts</w:t>
            </w:r>
          </w:p>
        </w:tc>
        <w:tc>
          <w:p>
            <w:pPr>
              <w:pStyle w:val="Compact"/>
              <w:jc w:val="left"/>
            </w:pPr>
            <w:r>
              <w:t xml:space="preserve">Both must be verifiable</w:t>
            </w:r>
          </w:p>
        </w:tc>
      </w:tr>
    </w:tbl>
    <w:p>
      <w:pPr>
        <w:pStyle w:val="BodyText"/>
      </w:pPr>
      <w:r>
        <w:rPr>
          <w:b/>
        </w:rPr>
        <w:t xml:space="preserve">Optional but recommended:</w:t>
      </w:r>
      <w:r>
        <w:t xml:space="preserve"> </w:t>
      </w:r>
      <w:r>
        <w:t xml:space="preserve">- Mayor’s permit (city business permit)</w:t>
      </w:r>
      <w:r>
        <w:t xml:space="preserve"> </w:t>
      </w:r>
      <w:r>
        <w:t xml:space="preserve">- Insurance certificate (liability for on-site services)</w:t>
      </w:r>
      <w:r>
        <w:t xml:space="preserve"> </w:t>
      </w:r>
      <w:r>
        <w:t xml:space="preserve">- Photos of physical premises / studio</w:t>
      </w:r>
    </w:p>
    <w:p>
      <w:pPr>
        <w:pStyle w:val="Heading3"/>
      </w:pPr>
      <w:bookmarkStart w:id="23" w:name="certified-status-optional-upgrade"/>
      <w:r>
        <w:t xml:space="preserve">1.2 Certified status (optional upgrade)</w:t>
      </w:r>
      <w:bookmarkEnd w:id="23"/>
    </w:p>
    <w:p>
      <w:pPr>
        <w:pStyle w:val="FirstParagraph"/>
      </w:pPr>
      <w:r>
        <w:t xml:space="preserve">Verified vendors may apply for</w:t>
      </w:r>
      <w:r>
        <w:t xml:space="preserve"> </w:t>
      </w:r>
      <w:r>
        <w:rPr>
          <w:b/>
        </w:rPr>
        <w:t xml:space="preserve">Certified</w:t>
      </w:r>
      <w:r>
        <w:t xml:space="preserve"> </w:t>
      </w:r>
      <w:r>
        <w:t xml:space="preserve">status. Certification requires Setnayan Team to conduct an</w:t>
      </w:r>
      <w:r>
        <w:t xml:space="preserve"> </w:t>
      </w:r>
      <w:r>
        <w:rPr>
          <w:b/>
        </w:rPr>
        <w:t xml:space="preserve">on-site visit</w:t>
      </w:r>
      <w:r>
        <w:t xml:space="preserve"> </w:t>
      </w:r>
      <w:r>
        <w:t xml:space="preserve">at the vendor’s quarters / studio / production facility. The vendor agrees to:</w:t>
      </w:r>
    </w:p>
    <w:p>
      <w:pPr>
        <w:numPr>
          <w:ilvl w:val="0"/>
          <w:numId w:val="1001"/>
        </w:numPr>
        <w:pStyle w:val="Compact"/>
      </w:pPr>
      <w:r>
        <w:t xml:space="preserve">Cover costs for the Setnayan team’s site visit (transport + per-diem if outside Metro Manila / vendor’s home region)</w:t>
      </w:r>
    </w:p>
    <w:p>
      <w:pPr>
        <w:numPr>
          <w:ilvl w:val="0"/>
          <w:numId w:val="1001"/>
        </w:numPr>
        <w:pStyle w:val="Compact"/>
      </w:pPr>
      <w:r>
        <w:t xml:space="preserve">Allow inspection of equipment, workspace, team, sample inventory</w:t>
      </w:r>
    </w:p>
    <w:p>
      <w:pPr>
        <w:numPr>
          <w:ilvl w:val="0"/>
          <w:numId w:val="1001"/>
        </w:numPr>
        <w:pStyle w:val="Compact"/>
      </w:pPr>
      <w:r>
        <w:t xml:space="preserve">Sign the Certified Vendor Addendum (this Agreement § 2 + extras)</w:t>
      </w:r>
    </w:p>
    <w:p>
      <w:pPr>
        <w:pStyle w:val="FirstParagraph"/>
      </w:pPr>
      <w:r>
        <w:rPr>
          <w:b/>
        </w:rPr>
        <w:t xml:space="preserve">Why Certified matters:</w:t>
      </w:r>
      <w:r>
        <w:t xml:space="preserve"> </w:t>
      </w:r>
      <w:r>
        <w:t xml:space="preserve">Certified vendors sit one tier above Standard vendors in the marketplace ranking. They also gain access to</w:t>
      </w:r>
      <w:r>
        <w:t xml:space="preserve"> </w:t>
      </w:r>
      <w:r>
        <w:rPr>
          <w:b/>
        </w:rPr>
        <w:t xml:space="preserve">Boost</w:t>
      </w:r>
      <w:r>
        <w:t xml:space="preserve"> </w:t>
      </w:r>
      <w:r>
        <w:t xml:space="preserve">as a paid upgrade.</w:t>
      </w:r>
    </w:p>
    <w:p>
      <w:pPr>
        <w:pStyle w:val="Heading2"/>
      </w:pPr>
      <w:bookmarkStart w:id="24" w:name="three-tier-vendor-layering"/>
      <w:r>
        <w:t xml:space="preserve">2. Three-Tier Vendor Layering</w:t>
      </w:r>
      <w:bookmarkEnd w:id="24"/>
    </w:p>
    <w:p>
      <w:pPr>
        <w:pStyle w:val="FirstParagraph"/>
      </w:pPr>
      <w:r>
        <w:t xml:space="preserve">Setnayan ranks vendors in three tiers. Marketplace results sort Tier 1 → Tier 2 → Tier 3 within any category.</w:t>
      </w:r>
    </w:p>
    <w:p>
      <w:pPr>
        <w:pStyle w:val="Heading3"/>
      </w:pPr>
      <w:bookmarkStart w:id="25" w:name="tier-1-boosted"/>
      <w:r>
        <w:t xml:space="preserve">Tier 1 — Boosted</w:t>
      </w:r>
      <w:bookmarkEnd w:id="25"/>
    </w:p>
    <w:p>
      <w:pPr>
        <w:numPr>
          <w:ilvl w:val="0"/>
          <w:numId w:val="1002"/>
        </w:numPr>
        <w:pStyle w:val="Compact"/>
      </w:pPr>
      <w:r>
        <w:t xml:space="preserve">Available only to</w:t>
      </w:r>
      <w:r>
        <w:t xml:space="preserve"> </w:t>
      </w:r>
      <w:r>
        <w:rPr>
          <w:b/>
        </w:rPr>
        <w:t xml:space="preserve">Certified</w:t>
      </w:r>
      <w:r>
        <w:t xml:space="preserve"> </w:t>
      </w:r>
      <w:r>
        <w:t xml:space="preserve">vendors who purchase the Sponsored Boost upgrade</w:t>
      </w:r>
    </w:p>
    <w:p>
      <w:pPr>
        <w:numPr>
          <w:ilvl w:val="0"/>
          <w:numId w:val="1002"/>
        </w:numPr>
        <w:pStyle w:val="Compact"/>
      </w:pPr>
      <w:r>
        <w:t xml:space="preserve">Extended visibility radius (10 km → 30 km from HQ)</w:t>
      </w:r>
    </w:p>
    <w:p>
      <w:pPr>
        <w:numPr>
          <w:ilvl w:val="0"/>
          <w:numId w:val="1002"/>
        </w:numPr>
        <w:pStyle w:val="Compact"/>
      </w:pPr>
      <w:r>
        <w:t xml:space="preserve">“</w:t>
      </w:r>
      <w:r>
        <w:t xml:space="preserve">★ Boosted</w:t>
      </w:r>
      <w:r>
        <w:t xml:space="preserve">”</w:t>
      </w:r>
      <w:r>
        <w:t xml:space="preserve"> </w:t>
      </w:r>
      <w:r>
        <w:t xml:space="preserve">badge on profile and listing cards</w:t>
      </w:r>
    </w:p>
    <w:p>
      <w:pPr>
        <w:numPr>
          <w:ilvl w:val="0"/>
          <w:numId w:val="1002"/>
        </w:numPr>
        <w:pStyle w:val="Compact"/>
      </w:pPr>
      <w:r>
        <w:t xml:space="preserve">₱1,499/week per Boost · multi-purchase up to 2 boosts simultaneously (different categories or geographies)</w:t>
      </w:r>
    </w:p>
    <w:p>
      <w:pPr>
        <w:pStyle w:val="Heading3"/>
      </w:pPr>
      <w:bookmarkStart w:id="26" w:name="tier-2-certified"/>
      <w:r>
        <w:t xml:space="preserve">Tier 2 — Certified</w:t>
      </w:r>
      <w:bookmarkEnd w:id="26"/>
    </w:p>
    <w:p>
      <w:pPr>
        <w:numPr>
          <w:ilvl w:val="0"/>
          <w:numId w:val="1003"/>
        </w:numPr>
        <w:pStyle w:val="Compact"/>
      </w:pPr>
      <w:r>
        <w:t xml:space="preserve">Verified + completed on-site visit</w:t>
      </w:r>
    </w:p>
    <w:p>
      <w:pPr>
        <w:numPr>
          <w:ilvl w:val="0"/>
          <w:numId w:val="1003"/>
        </w:numPr>
        <w:pStyle w:val="Compact"/>
      </w:pPr>
      <w:r>
        <w:t xml:space="preserve">“</w:t>
      </w:r>
      <w:r>
        <w:t xml:space="preserve">✓ Certified</w:t>
      </w:r>
      <w:r>
        <w:t xml:space="preserve">”</w:t>
      </w:r>
      <w:r>
        <w:t xml:space="preserve"> </w:t>
      </w:r>
      <w:r>
        <w:t xml:space="preserve">badge on profile and listing cards</w:t>
      </w:r>
    </w:p>
    <w:p>
      <w:pPr>
        <w:numPr>
          <w:ilvl w:val="0"/>
          <w:numId w:val="1003"/>
        </w:numPr>
        <w:pStyle w:val="Compact"/>
      </w:pPr>
      <w:r>
        <w:t xml:space="preserve">Default visibility radius (10 km from HQ + free-transport pins)</w:t>
      </w:r>
    </w:p>
    <w:p>
      <w:pPr>
        <w:numPr>
          <w:ilvl w:val="0"/>
          <w:numId w:val="1003"/>
        </w:numPr>
        <w:pStyle w:val="Compact"/>
      </w:pPr>
      <w:r>
        <w:t xml:space="preserve">May upgrade to Boosted at any time</w:t>
      </w:r>
    </w:p>
    <w:p>
      <w:pPr>
        <w:pStyle w:val="Heading3"/>
      </w:pPr>
      <w:bookmarkStart w:id="27" w:name="tier-3-standard-verified"/>
      <w:r>
        <w:t xml:space="preserve">Tier 3 — Standard Verified</w:t>
      </w:r>
      <w:bookmarkEnd w:id="27"/>
    </w:p>
    <w:p>
      <w:pPr>
        <w:numPr>
          <w:ilvl w:val="0"/>
          <w:numId w:val="1004"/>
        </w:numPr>
        <w:pStyle w:val="Compact"/>
      </w:pPr>
      <w:r>
        <w:t xml:space="preserve">Initial requirements approved</w:t>
      </w:r>
    </w:p>
    <w:p>
      <w:pPr>
        <w:numPr>
          <w:ilvl w:val="0"/>
          <w:numId w:val="1004"/>
        </w:numPr>
        <w:pStyle w:val="Compact"/>
      </w:pPr>
      <w:r>
        <w:t xml:space="preserve">“</w:t>
      </w:r>
      <w:r>
        <w:t xml:space="preserve">✓ Verified</w:t>
      </w:r>
      <w:r>
        <w:t xml:space="preserve">”</w:t>
      </w:r>
      <w:r>
        <w:t xml:space="preserve"> </w:t>
      </w:r>
      <w:r>
        <w:t xml:space="preserve">badge</w:t>
      </w:r>
    </w:p>
    <w:p>
      <w:pPr>
        <w:numPr>
          <w:ilvl w:val="0"/>
          <w:numId w:val="1004"/>
        </w:numPr>
        <w:pStyle w:val="Compact"/>
      </w:pPr>
      <w:r>
        <w:t xml:space="preserve">Default visibility radius</w:t>
      </w:r>
    </w:p>
    <w:p>
      <w:pPr>
        <w:numPr>
          <w:ilvl w:val="0"/>
          <w:numId w:val="1004"/>
        </w:numPr>
        <w:pStyle w:val="Compact"/>
      </w:pPr>
      <w:r>
        <w:t xml:space="preserve">Cannot purchase Boost until certified</w:t>
      </w:r>
    </w:p>
    <w:p>
      <w:pPr>
        <w:pStyle w:val="FirstParagraph"/>
      </w:pPr>
      <w:r>
        <w:rPr>
          <w:b/>
        </w:rPr>
        <w:t xml:space="preserve">Visibility rule:</w:t>
      </w:r>
      <w:r>
        <w:t xml:space="preserve"> </w:t>
      </w:r>
      <w:r>
        <w:t xml:space="preserve">within any service category in any geography, Boosted always sorts above Certified, which always sorts above Standard. Within a tier, sorting is by relevance (rating × recency × completeness of profile).</w:t>
      </w:r>
    </w:p>
    <w:p>
      <w:pPr>
        <w:pStyle w:val="Heading2"/>
      </w:pPr>
      <w:bookmarkStart w:id="28" w:name="business-terms-binding-all-tiers"/>
      <w:r>
        <w:t xml:space="preserve">3. Business Terms (binding · all tiers)</w:t>
      </w:r>
      <w:bookmarkEnd w:id="28"/>
    </w:p>
    <w:p>
      <w:pPr>
        <w:pStyle w:val="Heading3"/>
      </w:pPr>
      <w:bookmarkStart w:id="29" w:name="payment-routing"/>
      <w:r>
        <w:t xml:space="preserve">3.1 Payment routing</w:t>
      </w:r>
      <w:bookmarkEnd w:id="29"/>
    </w:p>
    <w:p>
      <w:pPr>
        <w:pStyle w:val="FirstParagraph"/>
      </w:pPr>
      <w:r>
        <w:t xml:space="preserve">Vendors agree to accept payments routed through Setnayan when the customer chooses the</w:t>
      </w:r>
      <w:r>
        <w:t xml:space="preserve"> </w:t>
      </w:r>
      <w:r>
        <w:rPr>
          <w:b/>
        </w:rPr>
        <w:t xml:space="preserve">Setnayan Pay</w:t>
      </w:r>
      <w:r>
        <w:t xml:space="preserve"> </w:t>
      </w:r>
      <w:r>
        <w:t xml:space="preserve">option at checkout. A</w:t>
      </w:r>
      <w:r>
        <w:t xml:space="preserve"> </w:t>
      </w:r>
      <w:r>
        <w:rPr>
          <w:b/>
        </w:rPr>
        <w:t xml:space="preserve">3% convenience fee</w:t>
      </w:r>
      <w:r>
        <w:t xml:space="preserve"> </w:t>
      </w:r>
      <w:r>
        <w:t xml:space="preserve">is added to the customer’s invoice (paid by customer, not deducted from vendor’s earning). Vendor receives</w:t>
      </w:r>
      <w:r>
        <w:t xml:space="preserve"> </w:t>
      </w:r>
      <w:r>
        <w:rPr>
          <w:b/>
        </w:rPr>
        <w:t xml:space="preserve">full booking price</w:t>
      </w:r>
      <w:r>
        <w:t xml:space="preserve"> </w:t>
      </w:r>
      <w:r>
        <w:t xml:space="preserve">to their nominated bank or e-wallet account.</w:t>
      </w:r>
    </w:p>
    <w:p>
      <w:pPr>
        <w:pStyle w:val="BodyText"/>
      </w:pPr>
      <w:r>
        <w:t xml:space="preserve">Customers may always opt out of Setnayan Pay and pay the vendor directly via GCash / bank transfer / cash. In that case, no convenience fee applies and Setnayan does not handle the funds. Either way, Setnayan tracks the milestone in the customer’s Budget surface.</w:t>
      </w:r>
    </w:p>
    <w:p>
      <w:pPr>
        <w:pStyle w:val="Heading3"/>
      </w:pPr>
      <w:bookmarkStart w:id="30" w:name="payment-methods-at-vendor-preference"/>
      <w:r>
        <w:t xml:space="preserve">3.2 Payment methods at vendor preference</w:t>
      </w:r>
      <w:bookmarkEnd w:id="30"/>
    </w:p>
    <w:p>
      <w:pPr>
        <w:pStyle w:val="FirstParagraph"/>
      </w:pPr>
      <w:r>
        <w:t xml:space="preserve">For payouts (Setnayan Pay → vendor), the vendor selects one or multiple receiving channels in their dashboard:</w:t>
      </w:r>
      <w:r>
        <w:t xml:space="preserve"> </w:t>
      </w:r>
      <w:r>
        <w:t xml:space="preserve">- BDO / BPI / Metrobank / UnionBank / other PH banks</w:t>
      </w:r>
      <w:r>
        <w:t xml:space="preserve"> </w:t>
      </w:r>
      <w:r>
        <w:t xml:space="preserve">- GCash / Maya</w:t>
      </w:r>
      <w:r>
        <w:t xml:space="preserve"> </w:t>
      </w:r>
      <w:r>
        <w:t xml:space="preserve">- Cash pickup (Manila HQ only, with prior arrangement)</w:t>
      </w:r>
    </w:p>
    <w:p>
      <w:pPr>
        <w:pStyle w:val="BodyText"/>
      </w:pPr>
      <w:r>
        <w:t xml:space="preserve">Payouts release within</w:t>
      </w:r>
      <w:r>
        <w:t xml:space="preserve"> </w:t>
      </w:r>
      <w:r>
        <w:rPr>
          <w:b/>
        </w:rPr>
        <w:t xml:space="preserve">24 hours</w:t>
      </w:r>
      <w:r>
        <w:t xml:space="preserve"> </w:t>
      </w:r>
      <w:r>
        <w:t xml:space="preserve">of customer payment confirmation by Setnayan Team. Manual payment verification per § 5.</w:t>
      </w:r>
    </w:p>
    <w:p>
      <w:pPr>
        <w:pStyle w:val="Heading3"/>
      </w:pPr>
      <w:bookmarkStart w:id="31" w:name="exclusive-setnayan-offer"/>
      <w:r>
        <w:t xml:space="preserve">3.3 Exclusive Setnayan offer</w:t>
      </w:r>
      <w:bookmarkEnd w:id="31"/>
    </w:p>
    <w:p>
      <w:pPr>
        <w:pStyle w:val="FirstParagraph"/>
      </w:pPr>
      <w:r>
        <w:t xml:space="preserve">Every vendor commits at least one</w:t>
      </w:r>
      <w:r>
        <w:t xml:space="preserve"> </w:t>
      </w:r>
      <w:r>
        <w:rPr>
          <w:b/>
        </w:rPr>
        <w:t xml:space="preserve">exclusive offer</w:t>
      </w:r>
      <w:r>
        <w:t xml:space="preserve"> </w:t>
      </w:r>
      <w:r>
        <w:t xml:space="preserve">available only to Setnayan customers. The offer must be a real benefit (e.g., one free engagement session with the booking, an upgraded package tier at the standard price, a complimentary add-on). This is non-negotiable for listing. Customers can see the EXCLUSIVE badge on the vendor’s profile. Vendors update their exclusive offer once per quarter or as desired.</w:t>
      </w:r>
    </w:p>
    <w:p>
      <w:pPr>
        <w:pStyle w:val="Heading3"/>
      </w:pPr>
      <w:bookmarkStart w:id="32" w:name="competitive-pricing-commitment"/>
      <w:r>
        <w:t xml:space="preserve">3.4 Competitive pricing commitment</w:t>
      </w:r>
      <w:bookmarkEnd w:id="32"/>
    </w:p>
    <w:p>
      <w:pPr>
        <w:pStyle w:val="FirstParagraph"/>
      </w:pPr>
      <w:r>
        <w:t xml:space="preserve">Vendors agree that their listed Setnayan prices are</w:t>
      </w:r>
      <w:r>
        <w:t xml:space="preserve"> </w:t>
      </w:r>
      <w:r>
        <w:rPr>
          <w:b/>
        </w:rPr>
        <w:t xml:space="preserve">among their most competitive offers</w:t>
      </w:r>
      <w:r>
        <w:t xml:space="preserve"> </w:t>
      </w:r>
      <w:r>
        <w:t xml:space="preserve">— at minimum matching their best public-facing rates elsewhere (Facebook page, Instagram, walk-in). Higher prices on Setnayan are a violation. Setnayan will randomly audit this; repeat violations downgrade the vendor’s tier.</w:t>
      </w:r>
    </w:p>
    <w:p>
      <w:pPr>
        <w:pStyle w:val="Heading3"/>
      </w:pPr>
      <w:bookmarkStart w:id="33" w:name="off-platform-bookings-at-events"/>
      <w:r>
        <w:t xml:space="preserve">3.5 Off-platform bookings at events</w:t>
      </w:r>
      <w:bookmarkEnd w:id="33"/>
    </w:p>
    <w:p>
      <w:pPr>
        <w:pStyle w:val="FirstParagraph"/>
      </w:pPr>
      <w:r>
        <w:t xml:space="preserve">When customers approach the vendor at wedding expos, exhibits, or the vendor’s own events and the customer mentions Setnayan as how they heard of the vendor, the vendor agrees to</w:t>
      </w:r>
      <w:r>
        <w:t xml:space="preserve"> </w:t>
      </w:r>
      <w:r>
        <w:rPr>
          <w:b/>
        </w:rPr>
        <w:t xml:space="preserve">accept the booking through Setnayan</w:t>
      </w:r>
      <w:r>
        <w:t xml:space="preserve"> </w:t>
      </w:r>
      <w:r>
        <w:t xml:space="preserve">(not as a direct/cash booking outside the platform). Setnayan tracks this with a per-event QR code the vendor displays at their booth.</w:t>
      </w:r>
    </w:p>
    <w:p>
      <w:pPr>
        <w:pStyle w:val="Heading3"/>
      </w:pPr>
      <w:bookmarkStart w:id="34" w:name="reviews-are-permanent"/>
      <w:r>
        <w:t xml:space="preserve">3.6 Reviews are permanent</w:t>
      </w:r>
      <w:bookmarkEnd w:id="34"/>
    </w:p>
    <w:p>
      <w:pPr>
        <w:pStyle w:val="FirstParagraph"/>
      </w:pPr>
      <w:r>
        <w:t xml:space="preserve">Customer reviews</w:t>
      </w:r>
      <w:r>
        <w:t xml:space="preserve"> </w:t>
      </w:r>
      <w:r>
        <w:rPr>
          <w:b/>
        </w:rPr>
        <w:t xml:space="preserve">cannot be deleted</w:t>
      </w:r>
      <w:r>
        <w:t xml:space="preserve"> </w:t>
      </w:r>
      <w:r>
        <w:t xml:space="preserve">by the vendor. If a vendor believes a review is invalid (factually wrong, harassment, posted by non-customer, etc.), they file a</w:t>
      </w:r>
      <w:r>
        <w:t xml:space="preserve"> </w:t>
      </w:r>
      <w:r>
        <w:rPr>
          <w:b/>
        </w:rPr>
        <w:t xml:space="preserve">Review Mediation Request</w:t>
      </w:r>
      <w:r>
        <w:t xml:space="preserve"> </w:t>
      </w:r>
      <w:r>
        <w:t xml:space="preserve">through the admin console. Setnayan Team reviews evidence and either:</w:t>
      </w:r>
      <w:r>
        <w:t xml:space="preserve"> </w:t>
      </w:r>
      <w:r>
        <w:t xml:space="preserve">- Removes the review (if clearly invalid)</w:t>
      </w:r>
      <w:r>
        <w:t xml:space="preserve"> </w:t>
      </w:r>
      <w:r>
        <w:t xml:space="preserve">- Adds an admin-attributed clarification note alongside the review</w:t>
      </w:r>
      <w:r>
        <w:t xml:space="preserve"> </w:t>
      </w:r>
      <w:r>
        <w:t xml:space="preserve">- Lets the review stand (if substantively about a real interaction)</w:t>
      </w:r>
    </w:p>
    <w:p>
      <w:pPr>
        <w:pStyle w:val="Heading3"/>
      </w:pPr>
      <w:bookmarkStart w:id="35" w:name="X251cb20d97eb1364694385cfd27c6e6596b3dfc"/>
      <w:r>
        <w:t xml:space="preserve">3.7 Vendor bundles + Setnayan in-app integration</w:t>
      </w:r>
      <w:bookmarkEnd w:id="35"/>
    </w:p>
    <w:p>
      <w:pPr>
        <w:pStyle w:val="FirstParagraph"/>
      </w:pPr>
      <w:r>
        <w:t xml:space="preserve">Vendors may create</w:t>
      </w:r>
      <w:r>
        <w:t xml:space="preserve"> </w:t>
      </w:r>
      <w:r>
        <w:rPr>
          <w:b/>
        </w:rPr>
        <w:t xml:space="preserve">bundle packages</w:t>
      </w:r>
      <w:r>
        <w:t xml:space="preserve"> </w:t>
      </w:r>
      <w:r>
        <w:t xml:space="preserve">combining their own services with Setnayan in-app services (Save-the-Date Maker, Paparazzi seats, Live Stream Base, etc.). When a customer purchases a bundle, the in-app services automatically activate on the customer’s event. Bundle pricing is set by the vendor with Setnayan in-app components added at their listed prices (vendor cannot mark up Setnayan SKUs).</w:t>
      </w:r>
    </w:p>
    <w:p>
      <w:pPr>
        <w:pStyle w:val="Heading3"/>
      </w:pPr>
      <w:bookmarkStart w:id="36" w:name="price-changes"/>
      <w:r>
        <w:t xml:space="preserve">3.8 Price changes</w:t>
      </w:r>
      <w:bookmarkEnd w:id="36"/>
    </w:p>
    <w:p>
      <w:pPr>
        <w:pStyle w:val="FirstParagraph"/>
      </w:pPr>
      <w:r>
        <w:t xml:space="preserve">Vendors submit</w:t>
      </w:r>
      <w:r>
        <w:t xml:space="preserve"> </w:t>
      </w:r>
      <w:r>
        <w:rPr>
          <w:b/>
        </w:rPr>
        <w:t xml:space="preserve">price change requests</w:t>
      </w:r>
      <w:r>
        <w:t xml:space="preserve"> </w:t>
      </w:r>
      <w:r>
        <w:t xml:space="preserve">to Setnayan with a proposed effectivity date. Setnayan Team reviews for compliance with § 3.4 (competitive pricing commitment) and either approves or requests adjustment. Approved changes take effect on the proposed date; in-flight bookings stay at the price agreed at booking time.</w:t>
      </w:r>
    </w:p>
    <w:p>
      <w:pPr>
        <w:pStyle w:val="BodyText"/>
      </w:pPr>
      <w:r>
        <w:t xml:space="preserve">Default expectation: prices remain constant for at least</w:t>
      </w:r>
      <w:r>
        <w:t xml:space="preserve"> </w:t>
      </w:r>
      <w:r>
        <w:rPr>
          <w:b/>
        </w:rPr>
        <w:t xml:space="preserve">one calendar quarter</w:t>
      </w:r>
      <w:r>
        <w:t xml:space="preserve">. Mid-quarter adjustments require justification (cost increase, scope expansion, etc.).</w:t>
      </w:r>
    </w:p>
    <w:p>
      <w:pPr>
        <w:pStyle w:val="Heading3"/>
      </w:pPr>
      <w:bookmarkStart w:id="37" w:name="event-expo-broadcasts"/>
      <w:r>
        <w:t xml:space="preserve">3.9 Event / expo broadcasts</w:t>
      </w:r>
      <w:bookmarkEnd w:id="37"/>
    </w:p>
    <w:p>
      <w:pPr>
        <w:pStyle w:val="FirstParagraph"/>
      </w:pPr>
      <w:r>
        <w:t xml:space="preserve">When a vendor is participating in a wedding expo, exhibit, or hosting their own showcase event, they update their profile with the event details. Setnayan Team will notify the vendor’s existing customers and prospects in the relevant geography. This is a free service — part of being on Setnayan.</w:t>
      </w:r>
    </w:p>
    <w:p>
      <w:pPr>
        <w:pStyle w:val="Heading3"/>
      </w:pPr>
      <w:bookmarkStart w:id="38" w:name="Xc435b1631664caf8eebcb7c8c2680a5bda96345"/>
      <w:r>
        <w:t xml:space="preserve">3.10 Vendor identity in chat — logo always, never personal photo</w:t>
      </w:r>
      <w:bookmarkEnd w:id="38"/>
    </w:p>
    <w:p>
      <w:pPr>
        <w:pStyle w:val="FirstParagraph"/>
      </w:pPr>
      <w:r>
        <w:t xml:space="preserve">Every vendor-side message in Setnayan chat (iteration 0019 Communications) displays the</w:t>
      </w:r>
      <w:r>
        <w:t xml:space="preserve"> </w:t>
      </w:r>
      <w:r>
        <w:rPr>
          <w:b/>
        </w:rPr>
        <w:t xml:space="preserve">vendor’s company logo</w:t>
      </w:r>
      <w:r>
        <w:t xml:space="preserve"> </w:t>
      </w:r>
      <w:r>
        <w:t xml:space="preserve">as the avatar, regardless of which individual team member is actually replying. Customers communicating with</w:t>
      </w:r>
      <w:r>
        <w:t xml:space="preserve"> </w:t>
      </w:r>
      <w:r>
        <w:t xml:space="preserve">“</w:t>
      </w:r>
      <w:r>
        <w:t xml:space="preserve">Mariposa Bloom Photography</w:t>
      </w:r>
      <w:r>
        <w:t xml:space="preserve">”</w:t>
      </w:r>
      <w:r>
        <w:t xml:space="preserve"> </w:t>
      </w:r>
      <w:r>
        <w:t xml:space="preserve">always see Mariposa Bloom’s company logo and brand name — they never see the personal photo or name of the assistant, junior photographer, or admin who actually typed the reply.</w:t>
      </w:r>
    </w:p>
    <w:p>
      <w:pPr>
        <w:pStyle w:val="BodyText"/>
      </w:pPr>
      <w:r>
        <w:rPr>
          <w:b/>
        </w:rPr>
        <w:t xml:space="preserve">Why:</w:t>
      </w:r>
      <w:r>
        <w:t xml:space="preserve"> </w:t>
      </w:r>
      <w:r>
        <w:t xml:space="preserve">protects the vendor’s brand identity consistency. Customers form a relationship with the vendor as a business, not with whichever individual happens to be on shift. When the lead photographer hands off to an assistant for scheduling questions, the customer sees no discontinuity. This also lets vendors scale their team without confusing the customer relationship.</w:t>
      </w:r>
    </w:p>
    <w:p>
      <w:pPr>
        <w:pStyle w:val="BodyText"/>
      </w:pPr>
      <w:r>
        <w:rPr>
          <w:b/>
        </w:rPr>
        <w:t xml:space="preserve">What customers DO see:</w:t>
      </w:r>
      <w:r>
        <w:t xml:space="preserve"> </w:t>
      </w:r>
      <w:r>
        <w:t xml:space="preserve">- The vendor’s logo (the mandatory image uploaded per § 1.1)</w:t>
      </w:r>
      <w:r>
        <w:t xml:space="preserve"> </w:t>
      </w:r>
      <w:r>
        <w:t xml:space="preserve">- The vendor’s business name (</w:t>
      </w:r>
      <w:r>
        <w:t xml:space="preserve">“</w:t>
      </w:r>
      <w:r>
        <w:t xml:space="preserve">Mariposa Bloom Photography</w:t>
      </w:r>
      <w:r>
        <w:t xml:space="preserve">”</w:t>
      </w:r>
      <w:r>
        <w:t xml:space="preserve">)</w:t>
      </w:r>
      <w:r>
        <w:t xml:space="preserve"> </w:t>
      </w:r>
      <w:r>
        <w:t xml:space="preserve">- The message timestamp + read receipt</w:t>
      </w:r>
      <w:r>
        <w:t xml:space="preserve"> </w:t>
      </w:r>
      <w:r>
        <w:t xml:space="preserve">- Optionally, a vendor-internal-tag like</w:t>
      </w:r>
      <w:r>
        <w:t xml:space="preserve"> </w:t>
      </w:r>
      <w:r>
        <w:t xml:space="preserve">“</w:t>
      </w:r>
      <w:r>
        <w:t xml:space="preserve">Replied by booking team</w:t>
      </w:r>
      <w:r>
        <w:t xml:space="preserve">”</w:t>
      </w:r>
      <w:r>
        <w:t xml:space="preserve"> </w:t>
      </w:r>
      <w:r>
        <w:t xml:space="preserve">(vendor admin can toggle this on or off per their preference)</w:t>
      </w:r>
    </w:p>
    <w:p>
      <w:pPr>
        <w:pStyle w:val="BodyText"/>
      </w:pPr>
      <w:r>
        <w:rPr>
          <w:b/>
        </w:rPr>
        <w:t xml:space="preserve">What customers do NOT see:</w:t>
      </w:r>
      <w:r>
        <w:t xml:space="preserve"> </w:t>
      </w:r>
      <w:r>
        <w:t xml:space="preserve">- The personal name of the individual who typed the message</w:t>
      </w:r>
      <w:r>
        <w:t xml:space="preserve"> </w:t>
      </w:r>
      <w:r>
        <w:t xml:space="preserve">- The personal photo / avatar of that individual</w:t>
      </w:r>
      <w:r>
        <w:t xml:space="preserve"> </w:t>
      </w:r>
      <w:r>
        <w:t xml:space="preserve">- Any indicator that multiple people may be replying as the vendor</w:t>
      </w:r>
    </w:p>
    <w:p>
      <w:pPr>
        <w:pStyle w:val="BodyText"/>
      </w:pPr>
      <w:r>
        <w:rPr>
          <w:b/>
        </w:rPr>
        <w:t xml:space="preserve">Schema:</w:t>
      </w:r>
      <w:r>
        <w:t xml:space="preserve"> </w:t>
      </w:r>
      <w:r>
        <w:rPr>
          <w:rStyle w:val="VerbatimChar"/>
        </w:rPr>
        <w:t xml:space="preserve">chat_messages.sender_user_id</w:t>
      </w:r>
      <w:r>
        <w:t xml:space="preserve"> </w:t>
      </w:r>
      <w:r>
        <w:t xml:space="preserve">stores the actual individual (for audit / vendor-internal analytics);</w:t>
      </w:r>
      <w:r>
        <w:t xml:space="preserve"> </w:t>
      </w:r>
      <w:r>
        <w:rPr>
          <w:rStyle w:val="VerbatimChar"/>
        </w:rPr>
        <w:t xml:space="preserve">chat_threads.vendor_id</w:t>
      </w:r>
      <w:r>
        <w:t xml:space="preserve"> </w:t>
      </w:r>
      <w:r>
        <w:t xml:space="preserve">stores the vendor reference. The customer-facing display name + avatar resolve from</w:t>
      </w:r>
      <w:r>
        <w:t xml:space="preserve"> </w:t>
      </w:r>
      <w:r>
        <w:rPr>
          <w:rStyle w:val="VerbatimChar"/>
        </w:rPr>
        <w:t xml:space="preserve">vendors.business_name</w:t>
      </w:r>
      <w:r>
        <w:t xml:space="preserve"> </w:t>
      </w:r>
      <w:r>
        <w:t xml:space="preserve">+</w:t>
      </w:r>
      <w:r>
        <w:t xml:space="preserve"> </w:t>
      </w:r>
      <w:r>
        <w:rPr>
          <w:rStyle w:val="VerbatimChar"/>
        </w:rPr>
        <w:t xml:space="preserve">vendors.logo_r2_key</w:t>
      </w:r>
      <w:r>
        <w:t xml:space="preserve">. Setnayan-side audit log retains the individual sender for accountability purposes (e.g., if a customer reports inappropriate vendor messaging, admin can trace which team member sent it).</w:t>
      </w:r>
    </w:p>
    <w:p>
      <w:pPr>
        <w:pStyle w:val="BodyText"/>
      </w:pPr>
      <w:r>
        <w:rPr>
          <w:b/>
        </w:rPr>
        <w:t xml:space="preserve">Customer-side chat avatars</w:t>
      </w:r>
      <w:r>
        <w:t xml:space="preserve"> </w:t>
      </w:r>
      <w:r>
        <w:t xml:space="preserve">behave the same way per the Privacy Policy — customers always show their personal profile photo (or the photo-placeholder gradient if none uploaded). The</w:t>
      </w:r>
      <w:r>
        <w:t xml:space="preserve"> </w:t>
      </w:r>
      <w:r>
        <w:t xml:space="preserve">“</w:t>
      </w:r>
      <w:r>
        <w:t xml:space="preserve">company-logo masking</w:t>
      </w:r>
      <w:r>
        <w:t xml:space="preserve">”</w:t>
      </w:r>
      <w:r>
        <w:t xml:space="preserve"> </w:t>
      </w:r>
      <w:r>
        <w:t xml:space="preserve">rule applies only to vendor-side accounts.</w:t>
      </w:r>
    </w:p>
    <w:p>
      <w:pPr>
        <w:pStyle w:val="Heading2"/>
      </w:pPr>
      <w:bookmarkStart w:id="39" w:name="Xa828bb15f0d88cf3da60fe3bf5cde1684d01f72"/>
      <w:r>
        <w:t xml:space="preserve">4. Refunds, Force Majeure, and Failure to Deliver</w:t>
      </w:r>
      <w:bookmarkEnd w:id="39"/>
    </w:p>
    <w:p>
      <w:pPr>
        <w:pStyle w:val="Heading3"/>
      </w:pPr>
      <w:bookmarkStart w:id="40" w:name="vendor-fails-to-deliver-the-service"/>
      <w:r>
        <w:t xml:space="preserve">4.1 Vendor fails to deliver the service</w:t>
      </w:r>
      <w:bookmarkEnd w:id="40"/>
    </w:p>
    <w:p>
      <w:pPr>
        <w:pStyle w:val="FirstParagraph"/>
      </w:pPr>
      <w:r>
        <w:t xml:space="preserve">If the vendor fails to provide the contracted service (no-show, abandons mid-event, delivers materially different from agreement):</w:t>
      </w:r>
    </w:p>
    <w:p>
      <w:pPr>
        <w:numPr>
          <w:ilvl w:val="0"/>
          <w:numId w:val="1005"/>
        </w:numPr>
        <w:pStyle w:val="Compact"/>
      </w:pPr>
      <w:r>
        <w:rPr>
          <w:b/>
        </w:rPr>
        <w:t xml:space="preserve">Unpaid balance</w:t>
      </w:r>
      <w:r>
        <w:t xml:space="preserve"> </w:t>
      </w:r>
      <w:r>
        <w:t xml:space="preserve">is not transferred to the vendor</w:t>
      </w:r>
    </w:p>
    <w:p>
      <w:pPr>
        <w:numPr>
          <w:ilvl w:val="0"/>
          <w:numId w:val="1005"/>
        </w:numPr>
        <w:pStyle w:val="Compact"/>
      </w:pPr>
      <w:r>
        <w:rPr>
          <w:b/>
        </w:rPr>
        <w:t xml:space="preserve">Already-paid amounts</w:t>
      </w:r>
      <w:r>
        <w:t xml:space="preserve"> </w:t>
      </w:r>
      <w:r>
        <w:t xml:space="preserve">routed through Setnayan Pay are returned to the customer in full within 5 business days</w:t>
      </w:r>
    </w:p>
    <w:p>
      <w:pPr>
        <w:numPr>
          <w:ilvl w:val="0"/>
          <w:numId w:val="1005"/>
        </w:numPr>
        <w:pStyle w:val="Compact"/>
      </w:pPr>
      <w:r>
        <w:t xml:space="preserve">The vendor’s tier may be downgraded or suspended depending on severity</w:t>
      </w:r>
    </w:p>
    <w:p>
      <w:pPr>
        <w:numPr>
          <w:ilvl w:val="0"/>
          <w:numId w:val="1005"/>
        </w:numPr>
        <w:pStyle w:val="Compact"/>
      </w:pPr>
      <w:r>
        <w:t xml:space="preserve">Customer may post a review documenting the failure (which cannot be deleted per § 3.6)</w:t>
      </w:r>
    </w:p>
    <w:p>
      <w:pPr>
        <w:pStyle w:val="FirstParagraph"/>
      </w:pPr>
      <w:r>
        <w:t xml:space="preserve">If the vendor failed due to a legitimate emergency (illness, accident, family loss), they may file an appeal through dispute mediation (§ 5).</w:t>
      </w:r>
    </w:p>
    <w:p>
      <w:pPr>
        <w:pStyle w:val="Heading3"/>
      </w:pPr>
      <w:bookmarkStart w:id="41" w:name="force-majeure"/>
      <w:r>
        <w:t xml:space="preserve">4.2 Force Majeure</w:t>
      </w:r>
      <w:bookmarkEnd w:id="41"/>
    </w:p>
    <w:p>
      <w:pPr>
        <w:pStyle w:val="FirstParagraph"/>
      </w:pPr>
      <w:r>
        <w:t xml:space="preserve">In events of typhoon, earthquake, government lockdown, venue cancellation, declared disaster, or other genuine force majeure:</w:t>
      </w:r>
    </w:p>
    <w:p>
      <w:pPr>
        <w:numPr>
          <w:ilvl w:val="0"/>
          <w:numId w:val="1006"/>
        </w:numPr>
        <w:pStyle w:val="Compact"/>
      </w:pPr>
      <w:r>
        <w:t xml:space="preserve">Setnayan Team facilitates a</w:t>
      </w:r>
      <w:r>
        <w:t xml:space="preserve"> </w:t>
      </w:r>
      <w:r>
        <w:rPr>
          <w:b/>
        </w:rPr>
        <w:t xml:space="preserve">reschedule conversation</w:t>
      </w:r>
      <w:r>
        <w:t xml:space="preserve"> </w:t>
      </w:r>
      <w:r>
        <w:t xml:space="preserve">between vendor and customer</w:t>
      </w:r>
    </w:p>
    <w:p>
      <w:pPr>
        <w:numPr>
          <w:ilvl w:val="0"/>
          <w:numId w:val="1006"/>
        </w:numPr>
        <w:pStyle w:val="Compact"/>
      </w:pPr>
      <w:r>
        <w:t xml:space="preserve">Both parties open to discussion · neither party penalized</w:t>
      </w:r>
    </w:p>
    <w:p>
      <w:pPr>
        <w:numPr>
          <w:ilvl w:val="0"/>
          <w:numId w:val="1006"/>
        </w:numPr>
        <w:pStyle w:val="Compact"/>
      </w:pPr>
      <w:r>
        <w:t xml:space="preserve">No automatic refund; no automatic forfeiture</w:t>
      </w:r>
    </w:p>
    <w:p>
      <w:pPr>
        <w:numPr>
          <w:ilvl w:val="0"/>
          <w:numId w:val="1006"/>
        </w:numPr>
        <w:pStyle w:val="Compact"/>
      </w:pPr>
      <w:r>
        <w:t xml:space="preserve">If the rescheduled date works for both, the booking moves to the new date at the same price</w:t>
      </w:r>
    </w:p>
    <w:p>
      <w:pPr>
        <w:numPr>
          <w:ilvl w:val="0"/>
          <w:numId w:val="1006"/>
        </w:numPr>
        <w:pStyle w:val="Compact"/>
      </w:pPr>
      <w:r>
        <w:t xml:space="preserve">If a reschedule cannot be agreed upon, Setnayan mediates — typical outcome is a 50/50 split of any non-refundable deposit, or a credit-to-future-booking arrangement</w:t>
      </w:r>
    </w:p>
    <w:p>
      <w:pPr>
        <w:pStyle w:val="FirstParagraph"/>
      </w:pPr>
      <w:r>
        <w:t xml:space="preserve">Everything is</w:t>
      </w:r>
      <w:r>
        <w:t xml:space="preserve"> </w:t>
      </w:r>
      <w:r>
        <w:rPr>
          <w:b/>
        </w:rPr>
        <w:t xml:space="preserve">upon discussion</w:t>
      </w:r>
      <w:r>
        <w:t xml:space="preserve">. The platform does not enforce a one-size rule for force majeure because PH wedding circumstances vary too widely.</w:t>
      </w:r>
    </w:p>
    <w:p>
      <w:pPr>
        <w:pStyle w:val="Heading3"/>
      </w:pPr>
      <w:bookmarkStart w:id="42" w:name="mediation-rights"/>
      <w:r>
        <w:t xml:space="preserve">4.3 Mediation rights</w:t>
      </w:r>
      <w:bookmarkEnd w:id="42"/>
    </w:p>
    <w:p>
      <w:pPr>
        <w:pStyle w:val="FirstParagraph"/>
      </w:pPr>
      <w:r>
        <w:t xml:space="preserve">Setnayan reserves the right to mediate any dispute between vendor and customer. Mediation outcomes may include:</w:t>
      </w:r>
    </w:p>
    <w:p>
      <w:pPr>
        <w:numPr>
          <w:ilvl w:val="0"/>
          <w:numId w:val="1007"/>
        </w:numPr>
        <w:pStyle w:val="Compact"/>
      </w:pPr>
      <w:r>
        <w:t xml:space="preserve">Full refund to customer</w:t>
      </w:r>
    </w:p>
    <w:p>
      <w:pPr>
        <w:numPr>
          <w:ilvl w:val="0"/>
          <w:numId w:val="1007"/>
        </w:numPr>
        <w:pStyle w:val="Compact"/>
      </w:pPr>
      <w:r>
        <w:t xml:space="preserve">Partial refund / monetary credit</w:t>
      </w:r>
    </w:p>
    <w:p>
      <w:pPr>
        <w:numPr>
          <w:ilvl w:val="0"/>
          <w:numId w:val="1007"/>
        </w:numPr>
        <w:pStyle w:val="Compact"/>
      </w:pPr>
      <w:r>
        <w:t xml:space="preserve">Vendor goodwill credit (Setnayan absorbs cost)</w:t>
      </w:r>
    </w:p>
    <w:p>
      <w:pPr>
        <w:numPr>
          <w:ilvl w:val="0"/>
          <w:numId w:val="1007"/>
        </w:numPr>
        <w:pStyle w:val="Compact"/>
      </w:pPr>
      <w:r>
        <w:t xml:space="preserve">Future-booking credit</w:t>
      </w:r>
    </w:p>
    <w:p>
      <w:pPr>
        <w:numPr>
          <w:ilvl w:val="0"/>
          <w:numId w:val="1007"/>
        </w:numPr>
        <w:pStyle w:val="Compact"/>
      </w:pPr>
      <w:r>
        <w:t xml:space="preserve">Tier downgrade or vendor suspension (severe / repeat cases)</w:t>
      </w:r>
    </w:p>
    <w:p>
      <w:pPr>
        <w:pStyle w:val="FirstParagraph"/>
      </w:pPr>
      <w:r>
        <w:t xml:space="preserve">Mediation outcomes are logged in the admin console (Disputes surface) with admin attribution and resolution rationale.</w:t>
      </w:r>
    </w:p>
    <w:p>
      <w:pPr>
        <w:pStyle w:val="Heading2"/>
      </w:pPr>
      <w:bookmarkStart w:id="43" w:name="payment-reconciliation-v1"/>
      <w:r>
        <w:t xml:space="preserve">5. Payment Reconciliation (V1)</w:t>
      </w:r>
      <w:bookmarkEnd w:id="43"/>
    </w:p>
    <w:p>
      <w:pPr>
        <w:pStyle w:val="FirstParagraph"/>
      </w:pPr>
      <w:r>
        <w:t xml:space="preserve">V1 payment verification is manual:</w:t>
      </w:r>
    </w:p>
    <w:p>
      <w:pPr>
        <w:numPr>
          <w:ilvl w:val="0"/>
          <w:numId w:val="1008"/>
        </w:numPr>
        <w:pStyle w:val="Compact"/>
      </w:pPr>
      <w:r>
        <w:t xml:space="preserve">Customer or vendor pays via static BDO + GCash accounts (Setnayan-owned)</w:t>
      </w:r>
    </w:p>
    <w:p>
      <w:pPr>
        <w:numPr>
          <w:ilvl w:val="0"/>
          <w:numId w:val="1008"/>
        </w:numPr>
        <w:pStyle w:val="Compact"/>
      </w:pPr>
      <w:r>
        <w:t xml:space="preserve">Payer sends screenshot + reference number + order ID to Setnayan</w:t>
      </w:r>
    </w:p>
    <w:p>
      <w:pPr>
        <w:numPr>
          <w:ilvl w:val="0"/>
          <w:numId w:val="1008"/>
        </w:numPr>
        <w:pStyle w:val="Compact"/>
      </w:pPr>
      <w:r>
        <w:t xml:space="preserve">Setnayan Team cross-checks against BDO + GCash inboxes</w:t>
      </w:r>
    </w:p>
    <w:p>
      <w:pPr>
        <w:numPr>
          <w:ilvl w:val="0"/>
          <w:numId w:val="1008"/>
        </w:numPr>
        <w:pStyle w:val="Compact"/>
      </w:pPr>
      <w:r>
        <w:t xml:space="preserve">Confirmed payments activate the service / release payout within</w:t>
      </w:r>
      <w:r>
        <w:t xml:space="preserve"> </w:t>
      </w:r>
      <w:r>
        <w:rPr>
          <w:b/>
        </w:rPr>
        <w:t xml:space="preserve">24 hours</w:t>
      </w:r>
    </w:p>
    <w:p>
      <w:pPr>
        <w:numPr>
          <w:ilvl w:val="0"/>
          <w:numId w:val="1008"/>
        </w:numPr>
        <w:pStyle w:val="Compact"/>
      </w:pPr>
      <w:r>
        <w:t xml:space="preserve">Failed reconciliations route to a follow-up queue; Setnayan Team contacts the payer</w:t>
      </w:r>
    </w:p>
    <w:p>
      <w:pPr>
        <w:pStyle w:val="FirstParagraph"/>
      </w:pPr>
      <w:r>
        <w:t xml:space="preserve">V1.5 may introduce automated reconciliation via GCash Merchant API or PayMongo, at which point activation latency drops to minutes.</w:t>
      </w:r>
    </w:p>
    <w:p>
      <w:pPr>
        <w:pStyle w:val="Heading2"/>
      </w:pPr>
      <w:bookmarkStart w:id="44" w:name="premium-vendor-services"/>
      <w:r>
        <w:t xml:space="preserve">6. Premium Vendor Services</w:t>
      </w:r>
      <w:bookmarkEnd w:id="44"/>
    </w:p>
    <w:p>
      <w:pPr>
        <w:pStyle w:val="FirstParagraph"/>
      </w:pPr>
      <w:r>
        <w:t xml:space="preserve">Vendors can purchase optional premium upgrades through the Vendor Console (iteration 0022):</w:t>
      </w:r>
    </w:p>
    <w:p>
      <w:pPr>
        <w:numPr>
          <w:ilvl w:val="0"/>
          <w:numId w:val="1009"/>
        </w:numPr>
        <w:pStyle w:val="Compact"/>
      </w:pPr>
      <w:r>
        <w:rPr>
          <w:b/>
        </w:rPr>
        <w:t xml:space="preserve">Vendor Pro Weekly</w:t>
      </w:r>
      <w:r>
        <w:t xml:space="preserve"> </w:t>
      </w:r>
      <w:r>
        <w:t xml:space="preserve">(₱499/wk) — analytics dashboard, custom landing page styling, priority support</w:t>
      </w:r>
    </w:p>
    <w:p>
      <w:pPr>
        <w:numPr>
          <w:ilvl w:val="0"/>
          <w:numId w:val="1009"/>
        </w:numPr>
        <w:pStyle w:val="Compact"/>
      </w:pPr>
      <w:r>
        <w:rPr>
          <w:b/>
        </w:rPr>
        <w:t xml:space="preserve">Sponsored Boost</w:t>
      </w:r>
      <w:r>
        <w:t xml:space="preserve"> </w:t>
      </w:r>
      <w:r>
        <w:t xml:space="preserve">(₱1,499/wk · certified-only) — extended visibility radius 10km → 30km</w:t>
      </w:r>
    </w:p>
    <w:p>
      <w:pPr>
        <w:numPr>
          <w:ilvl w:val="0"/>
          <w:numId w:val="1009"/>
        </w:numPr>
        <w:pStyle w:val="Compact"/>
      </w:pPr>
      <w:r>
        <w:rPr>
          <w:b/>
        </w:rPr>
        <w:t xml:space="preserve">Extended Pins</w:t>
      </w:r>
      <w:r>
        <w:t xml:space="preserve"> </w:t>
      </w:r>
      <w:r>
        <w:t xml:space="preserve">(₱49/wk each) — additional geographic free-transport zones</w:t>
      </w:r>
    </w:p>
    <w:p>
      <w:pPr>
        <w:numPr>
          <w:ilvl w:val="0"/>
          <w:numId w:val="1009"/>
        </w:numPr>
        <w:pStyle w:val="Compact"/>
      </w:pPr>
      <w:r>
        <w:rPr>
          <w:b/>
        </w:rPr>
        <w:t xml:space="preserve">Custom Vendor Bundles</w:t>
      </w:r>
      <w:r>
        <w:t xml:space="preserve"> </w:t>
      </w:r>
      <w:r>
        <w:t xml:space="preserve">— create + manage multi-service packages syncing Setnayan in-app services</w:t>
      </w:r>
    </w:p>
    <w:p>
      <w:pPr>
        <w:pStyle w:val="FirstParagraph"/>
      </w:pPr>
      <w:r>
        <w:t xml:space="preserve">Premium services are entirely optional. A Standard Verified vendor with no premium services can still take bookings, accept payments, and grow on the platform — the premium tier just amplifies reach.</w:t>
      </w:r>
    </w:p>
    <w:p>
      <w:pPr>
        <w:pStyle w:val="Heading2"/>
      </w:pPr>
      <w:bookmarkStart w:id="45" w:name="vendor-landing-page"/>
      <w:r>
        <w:t xml:space="preserve">7. Vendor Landing Page</w:t>
      </w:r>
      <w:bookmarkEnd w:id="45"/>
    </w:p>
    <w:p>
      <w:pPr>
        <w:pStyle w:val="FirstParagraph"/>
      </w:pPr>
      <w:r>
        <w:t xml:space="preserve">Every Verified vendor receives a Setnayan-hosted landing page at</w:t>
      </w:r>
      <w:r>
        <w:t xml:space="preserve"> </w:t>
      </w:r>
      <w:r>
        <w:rPr>
          <w:rStyle w:val="VerbatimChar"/>
        </w:rPr>
        <w:t xml:space="preserve">setnayan.com/v/{vendor-slug}</w:t>
      </w:r>
      <w:r>
        <w:t xml:space="preserve">. This page is:</w:t>
      </w:r>
    </w:p>
    <w:p>
      <w:pPr>
        <w:numPr>
          <w:ilvl w:val="0"/>
          <w:numId w:val="1010"/>
        </w:numPr>
        <w:pStyle w:val="Compact"/>
      </w:pPr>
      <w:r>
        <w:t xml:space="preserve">Auto-generated from the vendor’s profile data</w:t>
      </w:r>
    </w:p>
    <w:p>
      <w:pPr>
        <w:numPr>
          <w:ilvl w:val="0"/>
          <w:numId w:val="1010"/>
        </w:numPr>
        <w:pStyle w:val="Compact"/>
      </w:pPr>
      <w:r>
        <w:t xml:space="preserve">Shareable as a public URL</w:t>
      </w:r>
    </w:p>
    <w:p>
      <w:pPr>
        <w:numPr>
          <w:ilvl w:val="0"/>
          <w:numId w:val="1010"/>
        </w:numPr>
        <w:pStyle w:val="Compact"/>
      </w:pPr>
      <w:r>
        <w:t xml:space="preserve">Bookmarkable / linkable from social bios</w:t>
      </w:r>
    </w:p>
    <w:p>
      <w:pPr>
        <w:numPr>
          <w:ilvl w:val="0"/>
          <w:numId w:val="1010"/>
        </w:numPr>
        <w:pStyle w:val="Compact"/>
      </w:pPr>
      <w:r>
        <w:t xml:space="preserve">Embeddable on the vendor’s external website via iframe (optional)</w:t>
      </w:r>
    </w:p>
    <w:p>
      <w:pPr>
        <w:numPr>
          <w:ilvl w:val="0"/>
          <w:numId w:val="1010"/>
        </w:numPr>
        <w:pStyle w:val="Compact"/>
      </w:pPr>
      <w:r>
        <w:t xml:space="preserve">The destination for QR codes the vendor prints / displays at expos</w:t>
      </w:r>
    </w:p>
    <w:p>
      <w:pPr>
        <w:pStyle w:val="FirstParagraph"/>
      </w:pPr>
      <w:r>
        <w:t xml:space="preserve">The landing page renders the vendor’s services, exclusive Setnayan offer, reviews, gallery, contact, and a</w:t>
      </w:r>
      <w:r>
        <w:t xml:space="preserve"> </w:t>
      </w:r>
      <w:r>
        <w:t xml:space="preserve">“</w:t>
      </w:r>
      <w:r>
        <w:t xml:space="preserve">Book through Setnayan</w:t>
      </w:r>
      <w:r>
        <w:t xml:space="preserve">”</w:t>
      </w:r>
      <w:r>
        <w:t xml:space="preserve"> </w:t>
      </w:r>
      <w:r>
        <w:t xml:space="preserve">CTA. Vendors with</w:t>
      </w:r>
      <w:r>
        <w:t xml:space="preserve"> </w:t>
      </w:r>
      <w:r>
        <w:rPr>
          <w:b/>
        </w:rPr>
        <w:t xml:space="preserve">Vendor Pro Weekly</w:t>
      </w:r>
      <w:r>
        <w:t xml:space="preserve"> </w:t>
      </w:r>
      <w:r>
        <w:t xml:space="preserve">unlock custom styling (color palette, hero image, type pairing) on this page.</w:t>
      </w:r>
    </w:p>
    <w:p>
      <w:pPr>
        <w:pStyle w:val="Heading2"/>
      </w:pPr>
      <w:bookmarkStart w:id="46" w:name="customer-facing-promos-comp-gifts"/>
      <w:r>
        <w:t xml:space="preserve">8. Customer-Facing Promos &amp; Comp Gifts</w:t>
      </w:r>
      <w:bookmarkEnd w:id="46"/>
    </w:p>
    <w:p>
      <w:pPr>
        <w:pStyle w:val="FirstParagraph"/>
      </w:pPr>
      <w:r>
        <w:t xml:space="preserve">Setnayan Team can issue:</w:t>
      </w:r>
    </w:p>
    <w:p>
      <w:pPr>
        <w:numPr>
          <w:ilvl w:val="0"/>
          <w:numId w:val="1011"/>
        </w:numPr>
        <w:pStyle w:val="Compact"/>
      </w:pPr>
      <w:r>
        <w:rPr>
          <w:b/>
        </w:rPr>
        <w:t xml:space="preserve">Complementary gifts</w:t>
      </w:r>
      <w:r>
        <w:t xml:space="preserve"> </w:t>
      </w:r>
      <w:r>
        <w:t xml:space="preserve">to specific customers (e.g., one free Save-the-Date render for a frustrated couple, an in-app credit for a customer whose vendor underperformed). Issued through the admin console’s</w:t>
      </w:r>
      <w:r>
        <w:t xml:space="preserve"> </w:t>
      </w:r>
      <w:r>
        <w:rPr>
          <w:b/>
        </w:rPr>
        <w:t xml:space="preserve">Comp Gifts</w:t>
      </w:r>
      <w:r>
        <w:t xml:space="preserve"> </w:t>
      </w:r>
      <w:r>
        <w:t xml:space="preserve">surface — admin searches the customer by name/email/event, picks the gift, adds a note. Gift activates within 5 minutes; customer receives in-UI notification.</w:t>
      </w:r>
    </w:p>
    <w:p>
      <w:pPr>
        <w:numPr>
          <w:ilvl w:val="0"/>
          <w:numId w:val="1011"/>
        </w:numPr>
        <w:pStyle w:val="Compact"/>
      </w:pPr>
      <w:r>
        <w:rPr>
          <w:b/>
        </w:rPr>
        <w:t xml:space="preserve">Promo campaigns</w:t>
      </w:r>
      <w:r>
        <w:t xml:space="preserve"> </w:t>
      </w:r>
      <w:r>
        <w:t xml:space="preserve">—</w:t>
      </w:r>
      <w:r>
        <w:t xml:space="preserve"> </w:t>
      </w:r>
      <w:r>
        <w:t xml:space="preserve">“</w:t>
      </w:r>
      <w:r>
        <w:t xml:space="preserve">Spend ≥₱X within date range Y, get complementary gift Z.</w:t>
      </w:r>
      <w:r>
        <w:t xml:space="preserve">”</w:t>
      </w:r>
      <w:r>
        <w:t xml:space="preserve"> </w:t>
      </w:r>
      <w:r>
        <w:t xml:space="preserve">Configured in the admin pricing surface. Auto-applies at checkout when conditions are met. Logged per-customer in the audit log.</w:t>
      </w:r>
    </w:p>
    <w:p>
      <w:pPr>
        <w:numPr>
          <w:ilvl w:val="0"/>
          <w:numId w:val="1011"/>
        </w:numPr>
        <w:pStyle w:val="Compact"/>
      </w:pPr>
      <w:r>
        <w:rPr>
          <w:b/>
        </w:rPr>
        <w:t xml:space="preserve">Vendor exclusive-offer freebies</w:t>
      </w:r>
      <w:r>
        <w:t xml:space="preserve"> </w:t>
      </w:r>
      <w:r>
        <w:t xml:space="preserve">— when vendors update their exclusive offer (per § 3.3), Setnayan can promote that freebie on the vendor’s landing page hero, in featured carousels, and in customer email digests.</w:t>
      </w:r>
    </w:p>
    <w:p>
      <w:pPr>
        <w:pStyle w:val="FirstParagraph"/>
      </w:pPr>
      <w:r>
        <w:t xml:space="preserve">All comp gifts and promo applications are logged in the admin console with admin attribution and the rationale field filled in.</w:t>
      </w:r>
    </w:p>
    <w:p>
      <w:pPr>
        <w:pStyle w:val="Heading2"/>
      </w:pPr>
      <w:bookmarkStart w:id="47" w:name="pricing-catalog-governance"/>
      <w:r>
        <w:t xml:space="preserve">9. Pricing Catalog Governance</w:t>
      </w:r>
      <w:bookmarkEnd w:id="47"/>
    </w:p>
    <w:p>
      <w:pPr>
        <w:pStyle w:val="FirstParagraph"/>
      </w:pPr>
      <w:r>
        <w:t xml:space="preserve">Setnayan’s in-app service prices (Save-the-Date, Paparazzi packs, Live Stream Base, etc.) remain</w:t>
      </w:r>
      <w:r>
        <w:t xml:space="preserve"> </w:t>
      </w:r>
      <w:r>
        <w:rPr>
          <w:b/>
        </w:rPr>
        <w:t xml:space="preserve">constant</w:t>
      </w:r>
      <w:r>
        <w:t xml:space="preserve"> </w:t>
      </w:r>
      <w:r>
        <w:t xml:space="preserve">with reviews scheduled at the start of each calendar quarter. Mid-quarter changes are rare and require two-admin approval.</w:t>
      </w:r>
    </w:p>
    <w:p>
      <w:pPr>
        <w:pStyle w:val="BodyText"/>
      </w:pPr>
      <w:r>
        <w:t xml:space="preserve">Setnayan may run</w:t>
      </w:r>
      <w:r>
        <w:t xml:space="preserve"> </w:t>
      </w:r>
      <w:r>
        <w:rPr>
          <w:b/>
        </w:rPr>
        <w:t xml:space="preserve">time-limited bundle promos</w:t>
      </w:r>
      <w:r>
        <w:t xml:space="preserve"> </w:t>
      </w:r>
      <w:r>
        <w:t xml:space="preserve">for in-app services (e.g.,</w:t>
      </w:r>
      <w:r>
        <w:t xml:space="preserve"> </w:t>
      </w:r>
      <w:r>
        <w:t xml:space="preserve">“</w:t>
      </w:r>
      <w:r>
        <w:t xml:space="preserve">Save-the-Date + Paparazzi 5-seat as a bundle for the month of June</w:t>
      </w:r>
      <w:r>
        <w:t xml:space="preserve">”</w:t>
      </w:r>
      <w:r>
        <w:t xml:space="preserve">). Bundle promos are configured by admin, time-bound, and clearly marked at checkout.</w:t>
      </w:r>
    </w:p>
    <w:p>
      <w:pPr>
        <w:pStyle w:val="BodyText"/>
      </w:pPr>
      <w:r>
        <w:t xml:space="preserve">Vendor exclusive offers (§ 3.3) are not Setnayan promos — they are vendor-funded. Setnayan only promotes them; vendor bears the cost.</w:t>
      </w:r>
    </w:p>
    <w:p>
      <w:pPr>
        <w:pStyle w:val="Heading2"/>
      </w:pPr>
      <w:bookmarkStart w:id="48" w:name="admin-role-granularity"/>
      <w:r>
        <w:t xml:space="preserve">10. Admin Role Granularity</w:t>
      </w:r>
      <w:bookmarkEnd w:id="48"/>
    </w:p>
    <w:p>
      <w:pPr>
        <w:pStyle w:val="FirstParagraph"/>
      </w:pPr>
      <w:r>
        <w:t xml:space="preserve">Setnayan Team is not a single role — there are seven role variants with overlapping permissions: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Primary responsibility</w:t>
            </w:r>
          </w:p>
        </w:tc>
        <w:tc>
          <w:tcPr>
            <w:tcBorders>
              <w:bottom w:val="single"/>
            </w:tcBorders>
            <w:vAlign w:val="bottom"/>
          </w:tcPr>
          <w:p>
            <w:pPr>
              <w:pStyle w:val="Compact"/>
              <w:jc w:val="left"/>
            </w:pPr>
            <w:r>
              <w:t xml:space="preserve">Surfaces accessed</w:t>
            </w:r>
          </w:p>
        </w:tc>
      </w:tr>
      <w:tr>
        <w:tc>
          <w:p>
            <w:pPr>
              <w:pStyle w:val="Compact"/>
              <w:jc w:val="left"/>
            </w:pPr>
            <w:r>
              <w:rPr>
                <w:b/>
              </w:rPr>
              <w:t xml:space="preserve">Ops Lead</w:t>
            </w:r>
          </w:p>
        </w:tc>
        <w:tc>
          <w:p>
            <w:pPr>
              <w:pStyle w:val="Compact"/>
              <w:jc w:val="left"/>
            </w:pPr>
            <w:r>
              <w:t xml:space="preserve">Full platform admin</w:t>
            </w:r>
          </w:p>
        </w:tc>
        <w:tc>
          <w:p>
            <w:pPr>
              <w:pStyle w:val="Compact"/>
              <w:jc w:val="left"/>
            </w:pPr>
            <w:r>
              <w:t xml:space="preserve">All surfaces</w:t>
            </w:r>
          </w:p>
        </w:tc>
      </w:tr>
      <w:tr>
        <w:tc>
          <w:p>
            <w:pPr>
              <w:pStyle w:val="Compact"/>
              <w:jc w:val="left"/>
            </w:pPr>
            <w:r>
              <w:rPr>
                <w:b/>
              </w:rPr>
              <w:t xml:space="preserve">Transactions Handler</w:t>
            </w:r>
          </w:p>
        </w:tc>
        <w:tc>
          <w:p>
            <w:pPr>
              <w:pStyle w:val="Compact"/>
              <w:jc w:val="left"/>
            </w:pPr>
            <w:r>
              <w:t xml:space="preserve">Payment reconciliation, payouts</w:t>
            </w:r>
          </w:p>
        </w:tc>
        <w:tc>
          <w:p>
            <w:pPr>
              <w:pStyle w:val="Compact"/>
              <w:jc w:val="left"/>
            </w:pPr>
            <w:r>
              <w:t xml:space="preserve">Payments + Audit log</w:t>
            </w:r>
          </w:p>
        </w:tc>
      </w:tr>
      <w:tr>
        <w:tc>
          <w:p>
            <w:pPr>
              <w:pStyle w:val="Compact"/>
              <w:jc w:val="left"/>
            </w:pPr>
            <w:r>
              <w:rPr>
                <w:b/>
              </w:rPr>
              <w:t xml:space="preserve">Verification Handler</w:t>
            </w:r>
          </w:p>
        </w:tc>
        <w:tc>
          <w:p>
            <w:pPr>
              <w:pStyle w:val="Compact"/>
              <w:jc w:val="left"/>
            </w:pPr>
            <w:r>
              <w:t xml:space="preserve">Vendor verification queue, on-site visit coordination</w:t>
            </w:r>
          </w:p>
        </w:tc>
        <w:tc>
          <w:p>
            <w:pPr>
              <w:pStyle w:val="Compact"/>
              <w:jc w:val="left"/>
            </w:pPr>
            <w:r>
              <w:t xml:space="preserve">Verification + Users</w:t>
            </w:r>
          </w:p>
        </w:tc>
      </w:tr>
      <w:tr>
        <w:tc>
          <w:p>
            <w:pPr>
              <w:pStyle w:val="Compact"/>
              <w:jc w:val="left"/>
            </w:pPr>
            <w:r>
              <w:rPr>
                <w:b/>
              </w:rPr>
              <w:t xml:space="preserve">Disputes Handler</w:t>
            </w:r>
          </w:p>
        </w:tc>
        <w:tc>
          <w:p>
            <w:pPr>
              <w:pStyle w:val="Compact"/>
              <w:jc w:val="left"/>
            </w:pPr>
            <w:r>
              <w:t xml:space="preserve">Mediation, refunds, goodwill credits</w:t>
            </w:r>
          </w:p>
        </w:tc>
        <w:tc>
          <w:p>
            <w:pPr>
              <w:pStyle w:val="Compact"/>
              <w:jc w:val="left"/>
            </w:pPr>
            <w:r>
              <w:t xml:space="preserve">Disputes + Refunds + Audit</w:t>
            </w:r>
          </w:p>
        </w:tc>
      </w:tr>
      <w:tr>
        <w:tc>
          <w:p>
            <w:pPr>
              <w:pStyle w:val="Compact"/>
              <w:jc w:val="left"/>
            </w:pPr>
            <w:r>
              <w:rPr>
                <w:b/>
              </w:rPr>
              <w:t xml:space="preserve">Payments Handler</w:t>
            </w:r>
          </w:p>
        </w:tc>
        <w:tc>
          <w:p>
            <w:pPr>
              <w:pStyle w:val="Compact"/>
              <w:jc w:val="left"/>
            </w:pPr>
            <w:r>
              <w:t xml:space="preserve">Same as Transactions but with broader reconciliation authority</w:t>
            </w:r>
          </w:p>
        </w:tc>
        <w:tc>
          <w:p>
            <w:pPr>
              <w:pStyle w:val="Compact"/>
              <w:jc w:val="left"/>
            </w:pPr>
            <w:r>
              <w:t xml:space="preserve">Payments + Refunds</w:t>
            </w:r>
          </w:p>
        </w:tc>
      </w:tr>
      <w:tr>
        <w:tc>
          <w:p>
            <w:pPr>
              <w:pStyle w:val="Compact"/>
              <w:jc w:val="left"/>
            </w:pPr>
            <w:r>
              <w:rPr>
                <w:b/>
              </w:rPr>
              <w:t xml:space="preserve">Customer Accounts Handler</w:t>
            </w:r>
          </w:p>
        </w:tc>
        <w:tc>
          <w:p>
            <w:pPr>
              <w:pStyle w:val="Compact"/>
              <w:jc w:val="left"/>
            </w:pPr>
            <w:r>
              <w:t xml:space="preserve">Customer onboarding, account states, comp gifts</w:t>
            </w:r>
          </w:p>
        </w:tc>
        <w:tc>
          <w:p>
            <w:pPr>
              <w:pStyle w:val="Compact"/>
              <w:jc w:val="left"/>
            </w:pPr>
            <w:r>
              <w:t xml:space="preserve">Users (customer filter) + Comp Gifts</w:t>
            </w:r>
          </w:p>
        </w:tc>
      </w:tr>
      <w:tr>
        <w:tc>
          <w:p>
            <w:pPr>
              <w:pStyle w:val="Compact"/>
              <w:jc w:val="left"/>
            </w:pPr>
            <w:r>
              <w:rPr>
                <w:b/>
              </w:rPr>
              <w:t xml:space="preserve">Vendor Accounts Handler</w:t>
            </w:r>
          </w:p>
        </w:tc>
        <w:tc>
          <w:p>
            <w:pPr>
              <w:pStyle w:val="Compact"/>
              <w:jc w:val="left"/>
            </w:pPr>
            <w:r>
              <w:t xml:space="preserve">Vendor onboarding, tier changes, exclusive-offer audits</w:t>
            </w:r>
          </w:p>
        </w:tc>
        <w:tc>
          <w:p>
            <w:pPr>
              <w:pStyle w:val="Compact"/>
              <w:jc w:val="left"/>
            </w:pPr>
            <w:r>
              <w:t xml:space="preserve">Users (vendor filter) + Pricing</w:t>
            </w:r>
          </w:p>
        </w:tc>
      </w:tr>
    </w:tbl>
    <w:p>
      <w:pPr>
        <w:pStyle w:val="BodyText"/>
      </w:pPr>
      <w:r>
        <w:t xml:space="preserve">A new admin can either be</w:t>
      </w:r>
      <w:r>
        <w:t xml:space="preserve"> </w:t>
      </w:r>
      <w:r>
        <w:rPr>
          <w:b/>
        </w:rPr>
        <w:t xml:space="preserve">assigned a specific role</w:t>
      </w:r>
      <w:r>
        <w:t xml:space="preserve"> </w:t>
      </w:r>
      <w:r>
        <w:t xml:space="preserve">(above) or routed to the</w:t>
      </w:r>
      <w:r>
        <w:t xml:space="preserve"> </w:t>
      </w:r>
      <w:r>
        <w:rPr>
          <w:b/>
        </w:rPr>
        <w:t xml:space="preserve">auto-analyzer</w:t>
      </w:r>
      <w:r>
        <w:t xml:space="preserve"> </w:t>
      </w:r>
      <w:r>
        <w:t xml:space="preserve">which suggests the right role based on the admin’s experience and the platform’s current backlog.</w:t>
      </w:r>
    </w:p>
    <w:p>
      <w:pPr>
        <w:pStyle w:val="BodyText"/>
      </w:pPr>
      <w:r>
        <w:rPr>
          <w:b/>
        </w:rPr>
        <w:t xml:space="preserve">All admin actions are logged</w:t>
      </w:r>
      <w:r>
        <w:t xml:space="preserve"> </w:t>
      </w:r>
      <w:r>
        <w:t xml:space="preserve">with timestamp, admin user, action type, target user/entity, before/after state, and free-form rationale field. The audit log is read-only and only Ops Lead can export it.</w:t>
      </w:r>
    </w:p>
    <w:p>
      <w:pPr>
        <w:pStyle w:val="BodyText"/>
      </w:pPr>
      <w:r>
        <w:rPr>
          <w:b/>
        </w:rPr>
        <w:t xml:space="preserve">Role provisioning</w:t>
      </w:r>
      <w:r>
        <w:t xml:space="preserve"> </w:t>
      </w:r>
      <w:r>
        <w:t xml:space="preserve">(creating a new admin) requires two-admin approval per the existing V1 lock — the requesting admin proposes the new admin’s email + role; a second admin (any non-requesting role) approves; the new admin role activates on approval.</w:t>
      </w:r>
    </w:p>
    <w:p>
      <w:pPr>
        <w:pStyle w:val="Heading3"/>
      </w:pPr>
      <w:bookmarkStart w:id="49" w:name="X7bab7597eb61d3611e31edac9a5b4e750dff77c"/>
      <w:r>
        <w:t xml:space="preserve">9.1 Two-admin approval scope — major decisions only</w:t>
      </w:r>
      <w:bookmarkEnd w:id="49"/>
    </w:p>
    <w:p>
      <w:pPr>
        <w:pStyle w:val="FirstParagraph"/>
      </w:pPr>
      <w:r>
        <w:t xml:space="preserve">Setnayan applies the</w:t>
      </w:r>
      <w:r>
        <w:t xml:space="preserve"> </w:t>
      </w:r>
      <w:r>
        <w:t xml:space="preserve">“</w:t>
      </w:r>
      <w:r>
        <w:t xml:space="preserve">four-eyes</w:t>
      </w:r>
      <w:r>
        <w:t xml:space="preserve">”</w:t>
      </w:r>
      <w:r>
        <w:t xml:space="preserve"> </w:t>
      </w:r>
      <w:r>
        <w:t xml:space="preserve">two-admin approval pattern</w:t>
      </w:r>
      <w:r>
        <w:t xml:space="preserve"> </w:t>
      </w:r>
      <w:r>
        <w:rPr>
          <w:b/>
        </w:rPr>
        <w:t xml:space="preserve">only to high-stakes, irreversible, or fraud-adjacent actions</w:t>
      </w:r>
      <w:r>
        <w:t xml:space="preserve">. Routine operational work — including payment reconciliation, vendor verification, comp gifts within bounds, standard refunds, and tier moves within policy — is</w:t>
      </w:r>
      <w:r>
        <w:t xml:space="preserve"> </w:t>
      </w:r>
      <w:r>
        <w:rPr>
          <w:b/>
        </w:rPr>
        <w:t xml:space="preserve">single-admin authority</w:t>
      </w:r>
      <w:r>
        <w:t xml:space="preserve"> </w:t>
      </w:r>
      <w:r>
        <w:t xml:space="preserve">so the team can run the day-to-day at speed.</w:t>
      </w:r>
    </w:p>
    <w:p>
      <w:pPr>
        <w:pStyle w:val="BodyText"/>
      </w:pPr>
      <w:r>
        <w:rPr>
          <w:b/>
        </w:rPr>
        <w:t xml:space="preserve">Actions that REQUIRE two-admin approval (the</w:t>
      </w:r>
      <w:r>
        <w:rPr>
          <w:b/>
        </w:rPr>
        <w:t xml:space="preserve"> </w:t>
      </w:r>
      <w:r>
        <w:rPr>
          <w:b/>
        </w:rPr>
        <w:t xml:space="preserve">“</w:t>
      </w:r>
      <w:r>
        <w:rPr>
          <w:b/>
        </w:rPr>
        <w:t xml:space="preserve">major decisions</w:t>
      </w:r>
      <w:r>
        <w:rPr>
          <w:b/>
        </w:rPr>
        <w:t xml:space="preserve">”</w:t>
      </w:r>
      <w:r>
        <w:rPr>
          <w:b/>
        </w:rPr>
        <w:t xml:space="preserve"> </w:t>
      </w:r>
      <w:r>
        <w:rPr>
          <w:b/>
        </w:rPr>
        <w:t xml:space="preserve">list):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Why two-admin</w:t>
            </w:r>
          </w:p>
        </w:tc>
      </w:tr>
      <w:tr>
        <w:tc>
          <w:p>
            <w:pPr>
              <w:pStyle w:val="Compact"/>
              <w:jc w:val="left"/>
            </w:pPr>
            <w:r>
              <w:t xml:space="preserve">Promote a user to any admin role</w:t>
            </w:r>
          </w:p>
        </w:tc>
        <w:tc>
          <w:p>
            <w:pPr>
              <w:pStyle w:val="Compact"/>
              <w:jc w:val="left"/>
            </w:pPr>
            <w:r>
              <w:t xml:space="preserve">Privilege escalation — irreversible damage potential</w:t>
            </w:r>
          </w:p>
        </w:tc>
      </w:tr>
      <w:tr>
        <w:tc>
          <w:p>
            <w:pPr>
              <w:pStyle w:val="Compact"/>
              <w:jc w:val="left"/>
            </w:pPr>
            <w:r>
              <w:t xml:space="preserve">Add an internal account (</w:t>
            </w:r>
            <w:r>
              <w:rPr>
                <w:rStyle w:val="VerbatimChar"/>
              </w:rPr>
              <w:t xml:space="preserve">users.is_internal = TRUE</w:t>
            </w:r>
            <w:r>
              <w:t xml:space="preserve">, per § 10a)</w:t>
            </w:r>
          </w:p>
        </w:tc>
        <w:tc>
          <w:p>
            <w:pPr>
              <w:pStyle w:val="Compact"/>
              <w:jc w:val="left"/>
            </w:pPr>
            <w:r>
              <w:t xml:space="preserve">Bypasses all billing permanently</w:t>
            </w:r>
          </w:p>
        </w:tc>
      </w:tr>
      <w:tr>
        <w:tc>
          <w:p>
            <w:pPr>
              <w:pStyle w:val="Compact"/>
              <w:jc w:val="left"/>
            </w:pPr>
            <w:r>
              <w:t xml:space="preserve">Add a team member to shared-pool eligibility (</w:t>
            </w:r>
            <w:r>
              <w:rPr>
                <w:rStyle w:val="VerbatimChar"/>
              </w:rPr>
              <w:t xml:space="preserve">users.is_team_member = TRUE</w:t>
            </w:r>
            <w:r>
              <w:t xml:space="preserve">, per § 10b)</w:t>
            </w:r>
          </w:p>
        </w:tc>
        <w:tc>
          <w:p>
            <w:pPr>
              <w:pStyle w:val="Compact"/>
              <w:jc w:val="left"/>
            </w:pPr>
            <w:r>
              <w:t xml:space="preserve">Grants ongoing pool draw rights</w:t>
            </w:r>
          </w:p>
        </w:tc>
      </w:tr>
      <w:tr>
        <w:tc>
          <w:p>
            <w:pPr>
              <w:pStyle w:val="Compact"/>
              <w:jc w:val="left"/>
            </w:pPr>
            <w:r>
              <w:t xml:space="preserve">Issue an</w:t>
            </w:r>
            <w:r>
              <w:t xml:space="preserve"> </w:t>
            </w:r>
            <w:r>
              <w:rPr>
                <w:rStyle w:val="VerbatimChar"/>
              </w:rPr>
              <w:t xml:space="preserve">unlimited_use_grant</w:t>
            </w:r>
            <w:r>
              <w:t xml:space="preserve"> </w:t>
            </w:r>
            <w:r>
              <w:t xml:space="preserve">worth</w:t>
            </w:r>
            <w:r>
              <w:t xml:space="preserve"> </w:t>
            </w:r>
            <w:r>
              <w:rPr>
                <w:b/>
              </w:rPr>
              <w:t xml:space="preserve">&gt; ₱10,000</w:t>
            </w:r>
            <w:r>
              <w:t xml:space="preserve"> </w:t>
            </w:r>
            <w:r>
              <w:t xml:space="preserve">retail to an external customer</w:t>
            </w:r>
          </w:p>
        </w:tc>
        <w:tc>
          <w:p>
            <w:pPr>
              <w:pStyle w:val="Compact"/>
              <w:jc w:val="left"/>
            </w:pPr>
            <w:r>
              <w:t xml:space="preserve">Material giveaway</w:t>
            </w:r>
          </w:p>
        </w:tc>
      </w:tr>
      <w:tr>
        <w:tc>
          <w:p>
            <w:pPr>
              <w:pStyle w:val="Compact"/>
              <w:jc w:val="left"/>
            </w:pPr>
            <w:r>
              <w:t xml:space="preserve">Modify Setnayan’s static BDO / GCash payment-receiving account numbers</w:t>
            </w:r>
          </w:p>
        </w:tc>
        <w:tc>
          <w:p>
            <w:pPr>
              <w:pStyle w:val="Compact"/>
              <w:jc w:val="left"/>
            </w:pPr>
            <w:r>
              <w:t xml:space="preserve">Payment redirection = fraud risk</w:t>
            </w:r>
          </w:p>
        </w:tc>
      </w:tr>
      <w:tr>
        <w:tc>
          <w:p>
            <w:pPr>
              <w:pStyle w:val="Compact"/>
              <w:jc w:val="left"/>
            </w:pPr>
            <w:r>
              <w:t xml:space="preserve">Mid-quarter price change on any in-app SKU</w:t>
            </w:r>
          </w:p>
        </w:tc>
        <w:tc>
          <w:p>
            <w:pPr>
              <w:pStyle w:val="Compact"/>
              <w:jc w:val="left"/>
            </w:pPr>
            <w:r>
              <w:t xml:space="preserve">Pricing governance (per § 8)</w:t>
            </w:r>
          </w:p>
        </w:tc>
      </w:tr>
      <w:tr>
        <w:tc>
          <w:p>
            <w:pPr>
              <w:pStyle w:val="Compact"/>
              <w:jc w:val="left"/>
            </w:pPr>
            <w:r>
              <w:t xml:space="preserve">Vendor force-delisting (revoke tier without due-process timeline)</w:t>
            </w:r>
          </w:p>
        </w:tc>
        <w:tc>
          <w:p>
            <w:pPr>
              <w:pStyle w:val="Compact"/>
              <w:jc w:val="left"/>
            </w:pPr>
            <w:r>
              <w:t xml:space="preserve">Vendor protection</w:t>
            </w:r>
          </w:p>
        </w:tc>
      </w:tr>
      <w:tr>
        <w:tc>
          <w:p>
            <w:pPr>
              <w:pStyle w:val="Compact"/>
              <w:jc w:val="left"/>
            </w:pPr>
            <w:r>
              <w:t xml:space="preserve">Refund any single transaction</w:t>
            </w:r>
            <w:r>
              <w:t xml:space="preserve"> </w:t>
            </w:r>
            <w:r>
              <w:rPr>
                <w:b/>
              </w:rPr>
              <w:t xml:space="preserve">&gt; ₱25,000</w:t>
            </w:r>
          </w:p>
        </w:tc>
        <w:tc>
          <w:p>
            <w:pPr>
              <w:pStyle w:val="Compact"/>
              <w:jc w:val="left"/>
            </w:pPr>
            <w:r>
              <w:t xml:space="preserve">Financial control</w:t>
            </w:r>
          </w:p>
        </w:tc>
      </w:tr>
      <w:tr>
        <w:tc>
          <w:p>
            <w:pPr>
              <w:pStyle w:val="Compact"/>
              <w:jc w:val="left"/>
            </w:pPr>
            <w:r>
              <w:t xml:space="preserve">Re-publish a previously rejected vendor application</w:t>
            </w:r>
          </w:p>
        </w:tc>
        <w:tc>
          <w:p>
            <w:pPr>
              <w:pStyle w:val="Compact"/>
              <w:jc w:val="left"/>
            </w:pPr>
            <w:r>
              <w:t xml:space="preserve">Verification integrity</w:t>
            </w:r>
          </w:p>
        </w:tc>
      </w:tr>
    </w:tbl>
    <w:p>
      <w:pPr>
        <w:pStyle w:val="BodyText"/>
      </w:pPr>
      <w:r>
        <w:rPr>
          <w:b/>
        </w:rPr>
        <w:t xml:space="preserve">Actions that are SINGLE-ADMIN authority (the</w:t>
      </w:r>
      <w:r>
        <w:rPr>
          <w:b/>
        </w:rPr>
        <w:t xml:space="preserve"> </w:t>
      </w:r>
      <w:r>
        <w:rPr>
          <w:b/>
        </w:rPr>
        <w:t xml:space="preserve">“</w:t>
      </w:r>
      <w:r>
        <w:rPr>
          <w:b/>
        </w:rPr>
        <w:t xml:space="preserve">lighter decisions</w:t>
      </w:r>
      <w:r>
        <w:rPr>
          <w:b/>
        </w:rPr>
        <w:t xml:space="preserve">”</w:t>
      </w:r>
      <w:r>
        <w:rPr>
          <w:b/>
        </w:rPr>
        <w:t xml:space="preserve"> </w:t>
      </w:r>
      <w:r>
        <w:rPr>
          <w:b/>
        </w:rPr>
        <w:t xml:space="preserve">list):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Authorized role(s)</w:t>
            </w:r>
          </w:p>
        </w:tc>
      </w:tr>
      <w:tr>
        <w:tc>
          <w:p>
            <w:pPr>
              <w:pStyle w:val="Compact"/>
              <w:jc w:val="left"/>
            </w:pPr>
            <w:r>
              <w:rPr>
                <w:b/>
              </w:rPr>
              <w:t xml:space="preserve">Accept / reconcile a payment</w:t>
            </w:r>
            <w:r>
              <w:t xml:space="preserve"> </w:t>
            </w:r>
            <w:r>
              <w:t xml:space="preserve">(match BDO inbox or GCash transaction to a</w:t>
            </w:r>
            <w:r>
              <w:t xml:space="preserve"> </w:t>
            </w:r>
            <w:r>
              <w:rPr>
                <w:rStyle w:val="VerbatimChar"/>
              </w:rPr>
              <w:t xml:space="preserve">service_orders</w:t>
            </w:r>
            <w:r>
              <w:t xml:space="preserve"> </w:t>
            </w:r>
            <w:r>
              <w:t xml:space="preserve">reference code, flip status</w:t>
            </w:r>
            <w:r>
              <w:t xml:space="preserve"> </w:t>
            </w:r>
            <w:r>
              <w:rPr>
                <w:rStyle w:val="VerbatimChar"/>
              </w:rPr>
              <w:t xml:space="preserve">pending_payment → paid</w:t>
            </w:r>
            <w:r>
              <w:t xml:space="preserve">)</w:t>
            </w:r>
          </w:p>
        </w:tc>
        <w:tc>
          <w:p>
            <w:pPr>
              <w:pStyle w:val="Compact"/>
              <w:jc w:val="left"/>
            </w:pPr>
            <w:r>
              <w:t xml:space="preserve">Transactions Handler · Payments Handler</w:t>
            </w:r>
          </w:p>
        </w:tc>
      </w:tr>
      <w:tr>
        <w:tc>
          <w:p>
            <w:pPr>
              <w:pStyle w:val="Compact"/>
              <w:jc w:val="left"/>
            </w:pPr>
            <w:r>
              <w:rPr>
                <w:b/>
              </w:rPr>
              <w:t xml:space="preserve">Approve a vendor verification queue item</w:t>
            </w:r>
            <w:r>
              <w:t xml:space="preserve"> </w:t>
            </w:r>
            <w:r>
              <w:t xml:space="preserve">(initial registration → Standard Verified)</w:t>
            </w:r>
          </w:p>
        </w:tc>
        <w:tc>
          <w:p>
            <w:pPr>
              <w:pStyle w:val="Compact"/>
              <w:jc w:val="left"/>
            </w:pPr>
            <w:r>
              <w:t xml:space="preserve">Verification Handler</w:t>
            </w:r>
          </w:p>
        </w:tc>
      </w:tr>
      <w:tr>
        <w:tc>
          <w:p>
            <w:pPr>
              <w:pStyle w:val="Compact"/>
              <w:jc w:val="left"/>
            </w:pPr>
            <w:r>
              <w:rPr>
                <w:b/>
              </w:rPr>
              <w:t xml:space="preserve">Schedule a Certified on-site visit</w:t>
            </w:r>
          </w:p>
        </w:tc>
        <w:tc>
          <w:p>
            <w:pPr>
              <w:pStyle w:val="Compact"/>
              <w:jc w:val="left"/>
            </w:pPr>
            <w:r>
              <w:t xml:space="preserve">Verification Handler</w:t>
            </w:r>
          </w:p>
        </w:tc>
      </w:tr>
      <w:tr>
        <w:tc>
          <w:p>
            <w:pPr>
              <w:pStyle w:val="Compact"/>
              <w:jc w:val="left"/>
            </w:pPr>
            <w:r>
              <w:rPr>
                <w:b/>
              </w:rPr>
              <w:t xml:space="preserve">Issue a comp gift</w:t>
            </w:r>
            <w:r>
              <w:t xml:space="preserve"> </w:t>
            </w:r>
            <w:r>
              <w:t xml:space="preserve">worth ≤ ₱10,000 retail</w:t>
            </w:r>
          </w:p>
        </w:tc>
        <w:tc>
          <w:p>
            <w:pPr>
              <w:pStyle w:val="Compact"/>
              <w:jc w:val="left"/>
            </w:pPr>
            <w:r>
              <w:t xml:space="preserve">Customer Accounts Handler · Vendor Accounts Handler</w:t>
            </w:r>
          </w:p>
        </w:tc>
      </w:tr>
      <w:tr>
        <w:tc>
          <w:p>
            <w:pPr>
              <w:pStyle w:val="Compact"/>
              <w:jc w:val="left"/>
            </w:pPr>
            <w:r>
              <w:rPr>
                <w:b/>
              </w:rPr>
              <w:t xml:space="preserve">Process a refund</w:t>
            </w:r>
            <w:r>
              <w:t xml:space="preserve"> </w:t>
            </w:r>
            <w:r>
              <w:t xml:space="preserve">≤ ₱25,000</w:t>
            </w:r>
          </w:p>
        </w:tc>
        <w:tc>
          <w:p>
            <w:pPr>
              <w:pStyle w:val="Compact"/>
              <w:jc w:val="left"/>
            </w:pPr>
            <w:r>
              <w:t xml:space="preserve">Disputes Handler · Payments Handler</w:t>
            </w:r>
          </w:p>
        </w:tc>
      </w:tr>
      <w:tr>
        <w:tc>
          <w:p>
            <w:pPr>
              <w:pStyle w:val="Compact"/>
              <w:jc w:val="left"/>
            </w:pPr>
            <w:r>
              <w:rPr>
                <w:b/>
              </w:rPr>
              <w:t xml:space="preserve">Suspend / restore a customer account</w:t>
            </w:r>
          </w:p>
        </w:tc>
        <w:tc>
          <w:p>
            <w:pPr>
              <w:pStyle w:val="Compact"/>
              <w:jc w:val="left"/>
            </w:pPr>
            <w:r>
              <w:t xml:space="preserve">Customer Accounts Handler</w:t>
            </w:r>
          </w:p>
        </w:tc>
      </w:tr>
      <w:tr>
        <w:tc>
          <w:p>
            <w:pPr>
              <w:pStyle w:val="Compact"/>
              <w:jc w:val="left"/>
            </w:pPr>
            <w:r>
              <w:rPr>
                <w:b/>
              </w:rPr>
              <w:t xml:space="preserve">Vendor tier upgrade / downgrade</w:t>
            </w:r>
            <w:r>
              <w:t xml:space="preserve"> </w:t>
            </w:r>
            <w:r>
              <w:t xml:space="preserve">within normal policy (Standard → Certified after on-site visit · Certified → Boosted after purchase confirmation)</w:t>
            </w:r>
          </w:p>
        </w:tc>
        <w:tc>
          <w:p>
            <w:pPr>
              <w:pStyle w:val="Compact"/>
              <w:jc w:val="left"/>
            </w:pPr>
            <w:r>
              <w:t xml:space="preserve">Vendor Accounts Handler</w:t>
            </w:r>
          </w:p>
        </w:tc>
      </w:tr>
      <w:tr>
        <w:tc>
          <w:p>
            <w:pPr>
              <w:pStyle w:val="Compact"/>
              <w:jc w:val="left"/>
            </w:pPr>
            <w:r>
              <w:rPr>
                <w:b/>
              </w:rPr>
              <w:t xml:space="preserve">Send a dispute mediation message</w:t>
            </w:r>
          </w:p>
        </w:tc>
        <w:tc>
          <w:p>
            <w:pPr>
              <w:pStyle w:val="Compact"/>
              <w:jc w:val="left"/>
            </w:pPr>
            <w:r>
              <w:t xml:space="preserve">Disputes Handler</w:t>
            </w:r>
          </w:p>
        </w:tc>
      </w:tr>
      <w:tr>
        <w:tc>
          <w:p>
            <w:pPr>
              <w:pStyle w:val="Compact"/>
              <w:jc w:val="left"/>
            </w:pPr>
            <w:r>
              <w:rPr>
                <w:b/>
              </w:rPr>
              <w:t xml:space="preserve">Tag a vendor inquiry</w:t>
            </w:r>
            <w:r>
              <w:t xml:space="preserve"> </w:t>
            </w:r>
            <w:r>
              <w:t xml:space="preserve">/ triage routing</w:t>
            </w:r>
          </w:p>
        </w:tc>
        <w:tc>
          <w:p>
            <w:pPr>
              <w:pStyle w:val="Compact"/>
              <w:jc w:val="left"/>
            </w:pPr>
            <w:r>
              <w:t xml:space="preserve">Any role with inbox access</w:t>
            </w:r>
          </w:p>
        </w:tc>
      </w:tr>
      <w:tr>
        <w:tc>
          <w:p>
            <w:pPr>
              <w:pStyle w:val="Compact"/>
              <w:jc w:val="left"/>
            </w:pPr>
            <w:r>
              <w:rPr>
                <w:b/>
              </w:rPr>
              <w:t xml:space="preserve">Adjust customer-pipeline analytics filters</w:t>
            </w:r>
          </w:p>
        </w:tc>
        <w:tc>
          <w:p>
            <w:pPr>
              <w:pStyle w:val="Compact"/>
              <w:jc w:val="left"/>
            </w:pPr>
            <w:r>
              <w:t xml:space="preserve">Ops Lead</w:t>
            </w:r>
          </w:p>
        </w:tc>
      </w:tr>
      <w:tr>
        <w:tc>
          <w:p>
            <w:pPr>
              <w:pStyle w:val="Compact"/>
              <w:jc w:val="left"/>
            </w:pPr>
            <w:r>
              <w:rPr>
                <w:b/>
              </w:rPr>
              <w:t xml:space="preserve">Export an audit log slice</w:t>
            </w:r>
          </w:p>
        </w:tc>
        <w:tc>
          <w:p>
            <w:pPr>
              <w:pStyle w:val="Compact"/>
              <w:jc w:val="left"/>
            </w:pPr>
            <w:r>
              <w:t xml:space="preserve">Ops Lead</w:t>
            </w:r>
          </w:p>
        </w:tc>
      </w:tr>
    </w:tbl>
    <w:p>
      <w:pPr>
        <w:pStyle w:val="BodyText"/>
      </w:pPr>
      <w:r>
        <w:rPr>
          <w:b/>
        </w:rPr>
        <w:t xml:space="preserve">How the two-admin approval flow works (V1 mechanics):</w:t>
      </w:r>
    </w:p>
    <w:p>
      <w:pPr>
        <w:numPr>
          <w:ilvl w:val="0"/>
          <w:numId w:val="1012"/>
        </w:numPr>
        <w:pStyle w:val="Compact"/>
      </w:pPr>
      <w:r>
        <w:rPr>
          <w:b/>
        </w:rPr>
        <w:t xml:space="preserve">Admin A initiates</w:t>
      </w:r>
      <w:r>
        <w:t xml:space="preserve"> </w:t>
      </w:r>
      <w:r>
        <w:t xml:space="preserve">the action via admin console → action enters</w:t>
      </w:r>
      <w:r>
        <w:t xml:space="preserve"> </w:t>
      </w:r>
      <w:r>
        <w:rPr>
          <w:rStyle w:val="VerbatimChar"/>
        </w:rPr>
        <w:t xml:space="preserve">pending_approval</w:t>
      </w:r>
      <w:r>
        <w:t xml:space="preserve"> </w:t>
      </w:r>
      <w:r>
        <w:t xml:space="preserve">state</w:t>
      </w:r>
    </w:p>
    <w:p>
      <w:pPr>
        <w:numPr>
          <w:ilvl w:val="0"/>
          <w:numId w:val="1012"/>
        </w:numPr>
        <w:pStyle w:val="Compact"/>
      </w:pPr>
      <w:r>
        <w:t xml:space="preserve">Row written to</w:t>
      </w:r>
      <w:r>
        <w:t xml:space="preserve"> </w:t>
      </w:r>
      <w:r>
        <w:rPr>
          <w:rStyle w:val="VerbatimChar"/>
        </w:rPr>
        <w:t xml:space="preserve">admin_approval_requests (request_id, initiated_by, action_type, payload_json, status, rationale, created_at, expires_at, approver_id?, decided_at?, decision_reason?)</w:t>
      </w:r>
    </w:p>
    <w:p>
      <w:pPr>
        <w:numPr>
          <w:ilvl w:val="0"/>
          <w:numId w:val="1012"/>
        </w:numPr>
        <w:pStyle w:val="Compact"/>
      </w:pPr>
      <w:r>
        <w:rPr>
          <w:b/>
        </w:rPr>
        <w:t xml:space="preserve">Pending notifications</w:t>
      </w:r>
      <w:r>
        <w:t xml:space="preserve"> </w:t>
      </w:r>
      <w:r>
        <w:t xml:space="preserve">appear in all other admins’ console under</w:t>
      </w:r>
      <w:r>
        <w:t xml:space="preserve"> </w:t>
      </w:r>
      <w:r>
        <w:t xml:space="preserve">“</w:t>
      </w:r>
      <w:r>
        <w:t xml:space="preserve">Pending approvals (N)</w:t>
      </w:r>
      <w:r>
        <w:t xml:space="preserve">”</w:t>
      </w:r>
      <w:r>
        <w:t xml:space="preserve"> </w:t>
      </w:r>
      <w:r>
        <w:t xml:space="preserve">with action details + Admin A’s free-form rationale</w:t>
      </w:r>
    </w:p>
    <w:p>
      <w:pPr>
        <w:numPr>
          <w:ilvl w:val="0"/>
          <w:numId w:val="1012"/>
        </w:numPr>
        <w:pStyle w:val="Compact"/>
      </w:pPr>
      <w:r>
        <w:rPr>
          <w:b/>
        </w:rPr>
        <w:t xml:space="preserve">Admin B (must be different person) reviews</w:t>
      </w:r>
      <w:r>
        <w:t xml:space="preserve"> </w:t>
      </w:r>
      <w:r>
        <w:t xml:space="preserve">and either:</w:t>
      </w:r>
    </w:p>
    <w:p>
      <w:pPr>
        <w:numPr>
          <w:ilvl w:val="1"/>
          <w:numId w:val="1013"/>
        </w:numPr>
        <w:pStyle w:val="Compact"/>
      </w:pPr>
      <w:r>
        <w:rPr>
          <w:b/>
        </w:rPr>
        <w:t xml:space="preserve">Approves</w:t>
      </w:r>
      <w:r>
        <w:t xml:space="preserve"> </w:t>
      </w:r>
      <w:r>
        <w:t xml:space="preserve">→ status</w:t>
      </w:r>
      <w:r>
        <w:t xml:space="preserve"> </w:t>
      </w:r>
      <w:r>
        <w:rPr>
          <w:rStyle w:val="VerbatimChar"/>
        </w:rPr>
        <w:t xml:space="preserve">approved</w:t>
      </w:r>
      <w:r>
        <w:t xml:space="preserve">, action executes, full audit log entry written</w:t>
      </w:r>
    </w:p>
    <w:p>
      <w:pPr>
        <w:numPr>
          <w:ilvl w:val="1"/>
          <w:numId w:val="1013"/>
        </w:numPr>
        <w:pStyle w:val="Compact"/>
      </w:pPr>
      <w:r>
        <w:rPr>
          <w:b/>
        </w:rPr>
        <w:t xml:space="preserve">Rejects</w:t>
      </w:r>
      <w:r>
        <w:t xml:space="preserve"> </w:t>
      </w:r>
      <w:r>
        <w:t xml:space="preserve">→ status</w:t>
      </w:r>
      <w:r>
        <w:t xml:space="preserve"> </w:t>
      </w:r>
      <w:r>
        <w:rPr>
          <w:rStyle w:val="VerbatimChar"/>
        </w:rPr>
        <w:t xml:space="preserve">rejected</w:t>
      </w:r>
      <w:r>
        <w:t xml:space="preserve"> </w:t>
      </w:r>
      <w:r>
        <w:t xml:space="preserve">with Admin B’s reason; Admin A is notified; nothing happens</w:t>
      </w:r>
    </w:p>
    <w:p>
      <w:pPr>
        <w:numPr>
          <w:ilvl w:val="1"/>
          <w:numId w:val="1013"/>
        </w:numPr>
        <w:pStyle w:val="Compact"/>
      </w:pPr>
      <w:r>
        <w:rPr>
          <w:b/>
        </w:rPr>
        <w:t xml:space="preserve">Requests changes</w:t>
      </w:r>
      <w:r>
        <w:t xml:space="preserve"> </w:t>
      </w:r>
      <w:r>
        <w:t xml:space="preserve">→ status stays</w:t>
      </w:r>
      <w:r>
        <w:t xml:space="preserve"> </w:t>
      </w:r>
      <w:r>
        <w:rPr>
          <w:rStyle w:val="VerbatimChar"/>
        </w:rPr>
        <w:t xml:space="preserve">pending</w:t>
      </w:r>
      <w:r>
        <w:t xml:space="preserve">; Admin B comments; Admin A revises and re-submits</w:t>
      </w:r>
    </w:p>
    <w:p>
      <w:pPr>
        <w:numPr>
          <w:ilvl w:val="0"/>
          <w:numId w:val="1012"/>
        </w:numPr>
        <w:pStyle w:val="Compact"/>
      </w:pPr>
      <w:r>
        <w:rPr>
          <w:b/>
        </w:rPr>
        <w:t xml:space="preserve">DB constraint:</w:t>
      </w:r>
      <w:r>
        <w:t xml:space="preserve"> </w:t>
      </w:r>
      <w:r>
        <w:rPr>
          <w:rStyle w:val="VerbatimChar"/>
        </w:rPr>
        <w:t xml:space="preserve">CHECK (approver_id != initiated_by)</w:t>
      </w:r>
      <w:r>
        <w:t xml:space="preserve"> </w:t>
      </w:r>
      <w:r>
        <w:t xml:space="preserve">— same-admin self-approval is blocked</w:t>
      </w:r>
    </w:p>
    <w:p>
      <w:pPr>
        <w:numPr>
          <w:ilvl w:val="0"/>
          <w:numId w:val="1012"/>
        </w:numPr>
        <w:pStyle w:val="Compact"/>
      </w:pPr>
      <w:r>
        <w:rPr>
          <w:b/>
        </w:rPr>
        <w:t xml:space="preserve">Expiry:</w:t>
      </w:r>
      <w:r>
        <w:t xml:space="preserve"> </w:t>
      </w:r>
      <w:r>
        <w:t xml:space="preserve">7-day decision window; un-decided requests auto-expire and must be re-initiated</w:t>
      </w:r>
    </w:p>
    <w:p>
      <w:pPr>
        <w:numPr>
          <w:ilvl w:val="0"/>
          <w:numId w:val="1012"/>
        </w:numPr>
        <w:pStyle w:val="Compact"/>
      </w:pPr>
      <w:r>
        <w:rPr>
          <w:b/>
        </w:rPr>
        <w:t xml:space="preserve">Bootstrap exception:</w:t>
      </w:r>
      <w:r>
        <w:t xml:space="preserve"> </w:t>
      </w:r>
      <w:r>
        <w:t xml:space="preserve">when the platform has fewer than 2 admins, the founding Owner can self-promote one additional admin (typically the spouse) without two-admin approval; logged with a</w:t>
      </w:r>
      <w:r>
        <w:t xml:space="preserve"> </w:t>
      </w:r>
      <w:r>
        <w:rPr>
          <w:rStyle w:val="VerbatimChar"/>
        </w:rPr>
        <w:t xml:space="preserve">bootstrap=true</w:t>
      </w:r>
      <w:r>
        <w:t xml:space="preserve"> </w:t>
      </w:r>
      <w:r>
        <w:t xml:space="preserve">tag in the audit log. After the second admin exists, no further bootstrap exceptions; every subsequent admin promotion goes through the full flow.</w:t>
      </w:r>
    </w:p>
    <w:p>
      <w:pPr>
        <w:pStyle w:val="FirstParagraph"/>
      </w:pPr>
      <w:r>
        <w:rPr>
          <w:b/>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admin_approval_requests (</w:t>
      </w:r>
      <w:r>
        <w:br/>
      </w:r>
      <w:r>
        <w:rPr>
          <w:rStyle w:val="NormalTok"/>
        </w:rPr>
        <w:t xml:space="preserve">    request_id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initiated_by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action_type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'promote_admin' | 'add_internal_account' | etc.</w:t>
      </w:r>
      <w:r>
        <w:br/>
      </w:r>
      <w:r>
        <w:rPr>
          <w:rStyle w:val="NormalTok"/>
        </w:rPr>
        <w:t xml:space="preserve">    payload_json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proposed change details</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Admin A's free-form reason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'expired'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w:t>
      </w:r>
      <w:r>
        <w:br/>
      </w:r>
      <w:r>
        <w:rPr>
          <w:rStyle w:val="NormalTok"/>
        </w:rPr>
        <w:t xml:space="preserve">    approver_id         UUID </w:t>
      </w:r>
      <w:r>
        <w:rPr>
          <w:rStyle w:val="KeywordTok"/>
        </w:rPr>
        <w:t xml:space="preserve">REFERENCES</w:t>
      </w:r>
      <w:r>
        <w:rPr>
          <w:rStyle w:val="NormalTok"/>
        </w:rPr>
        <w:t xml:space="preserve"> users(user_id),</w:t>
      </w:r>
      <w:r>
        <w:br/>
      </w:r>
      <w:r>
        <w:rPr>
          <w:rStyle w:val="NormalTok"/>
        </w:rPr>
        <w:t xml:space="preserve">    decided_at          TIMESTAMPTZ,</w:t>
      </w:r>
      <w:r>
        <w:br/>
      </w:r>
      <w:r>
        <w:rPr>
          <w:rStyle w:val="NormalTok"/>
        </w:rPr>
        <w:t xml:space="preserve">    decision_reason     TEXT,</w:t>
      </w:r>
      <w:r>
        <w:br/>
      </w:r>
      <w:r>
        <w:rPr>
          <w:rStyle w:val="NormalTok"/>
        </w:rPr>
        <w:t xml:space="preserve">    </w:t>
      </w:r>
      <w:r>
        <w:rPr>
          <w:rStyle w:val="KeywordTok"/>
        </w:rPr>
        <w:t xml:space="preserve">CHECK</w:t>
      </w:r>
      <w:r>
        <w:rPr>
          <w:rStyle w:val="NormalTok"/>
        </w:rPr>
        <w:t xml:space="preserve"> (approver_id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approver_id </w:t>
      </w:r>
      <w:r>
        <w:rPr>
          <w:rStyle w:val="OperatorTok"/>
        </w:rPr>
        <w:t xml:space="preserve">!=</w:t>
      </w:r>
      <w:r>
        <w:rPr>
          <w:rStyle w:val="NormalTok"/>
        </w:rPr>
        <w:t xml:space="preserve"> initiated_by)</w:t>
      </w:r>
      <w:r>
        <w:br/>
      </w:r>
      <w:r>
        <w:rPr>
          <w:rStyle w:val="NormalTok"/>
        </w:rPr>
        <w:t xml:space="preserve">);</w:t>
      </w:r>
    </w:p>
    <w:p>
      <w:pPr>
        <w:pStyle w:val="FirstParagraph"/>
      </w:pPr>
      <w:r>
        <w:rPr>
          <w:b/>
        </w:rPr>
        <w:t xml:space="preserve">Why this scope is right for V1:</w:t>
      </w:r>
    </w:p>
    <w:p>
      <w:pPr>
        <w:numPr>
          <w:ilvl w:val="0"/>
          <w:numId w:val="1014"/>
        </w:numPr>
        <w:pStyle w:val="Compact"/>
      </w:pPr>
      <w:r>
        <w:rPr>
          <w:b/>
        </w:rPr>
        <w:t xml:space="preserve">Payment reconciliation is the team’s busiest activity.</w:t>
      </w:r>
      <w:r>
        <w:t xml:space="preserve"> </w:t>
      </w:r>
      <w:r>
        <w:t xml:space="preserve">A 24-hr SLA on dozens of daily payments × two-admin per payment would mathematically miss the SLA. Single-admin authority with full audit logging captures the fraud-mitigation value without the throughput cost.</w:t>
      </w:r>
    </w:p>
    <w:p>
      <w:pPr>
        <w:numPr>
          <w:ilvl w:val="0"/>
          <w:numId w:val="1014"/>
        </w:numPr>
        <w:pStyle w:val="Compact"/>
      </w:pPr>
      <w:r>
        <w:rPr>
          <w:b/>
        </w:rPr>
        <w:t xml:space="preserve">Vendor verification is queue-grindy.</w:t>
      </w:r>
      <w:r>
        <w:t xml:space="preserve"> </w:t>
      </w:r>
      <w:r>
        <w:t xml:space="preserve">Verification Handler clears dozens of vendors a week; gating each on a second admin would build a permanent backlog.</w:t>
      </w:r>
    </w:p>
    <w:p>
      <w:pPr>
        <w:numPr>
          <w:ilvl w:val="0"/>
          <w:numId w:val="1014"/>
        </w:numPr>
        <w:pStyle w:val="Compact"/>
      </w:pPr>
      <w:r>
        <w:rPr>
          <w:b/>
        </w:rPr>
        <w:t xml:space="preserve">Comp gifts ≤ ₱10K are forgiving.</w:t>
      </w:r>
      <w:r>
        <w:t xml:space="preserve"> </w:t>
      </w:r>
      <w:r>
        <w:t xml:space="preserve">Worst case of an over-issued comp at this scale is a one-time cost of &lt; ₱10K — well below the cost of slowing the team. Above ₱10K (where the dollar value gets material) flips to two-admin.</w:t>
      </w:r>
    </w:p>
    <w:p>
      <w:pPr>
        <w:numPr>
          <w:ilvl w:val="0"/>
          <w:numId w:val="1014"/>
        </w:numPr>
        <w:pStyle w:val="Compact"/>
      </w:pPr>
      <w:r>
        <w:rPr>
          <w:b/>
        </w:rPr>
        <w:t xml:space="preserve">Major decisions are infrequent.</w:t>
      </w:r>
      <w:r>
        <w:t xml:space="preserve"> </w:t>
      </w:r>
      <w:r>
        <w:t xml:space="preserve">New admin promotions, internal-account creation, payment-account changes, mid-quarter pricing moves — these happen on the order of once a week or less, where the two-admin friction is a feature not a bug.</w:t>
      </w:r>
    </w:p>
    <w:p>
      <w:pPr>
        <w:pStyle w:val="Heading2"/>
      </w:pPr>
      <w:bookmarkStart w:id="50" w:name="X5eb843f6355f44261cebb5635ceb603c734ee46"/>
      <w:r>
        <w:t xml:space="preserve">10a. Owner / Internal Accounts — permanent unlimited-use grants</w:t>
      </w:r>
      <w:bookmarkEnd w:id="50"/>
    </w:p>
    <w:p>
      <w:pPr>
        <w:pStyle w:val="FirstParagraph"/>
      </w:pPr>
      <w:r>
        <w:t xml:space="preserve">Setnayan ownership and designated internal accounts (founder + spouse + designated Setnayan Team members) operate the platform like any other customer for their own personal events — they create events, invite guests, book vendors.</w:t>
      </w:r>
      <w:r>
        <w:t xml:space="preserve"> </w:t>
      </w:r>
      <w:r>
        <w:rPr>
          <w:b/>
        </w:rPr>
        <w:t xml:space="preserve">All in-app services are FREE for these accounts permanently</w:t>
      </w:r>
      <w:r>
        <w:t xml:space="preserve"> </w:t>
      </w:r>
      <w:r>
        <w:t xml:space="preserve">via a dedicated grant flag, distinct from the per-customer comp gifts and per-event unlimited-use grants administered to external customers.</w:t>
      </w:r>
    </w:p>
    <w:p>
      <w:pPr>
        <w:pStyle w:val="BodyText"/>
      </w:pPr>
      <w:r>
        <w:rPr>
          <w:b/>
        </w:rPr>
        <w:t xml:space="preserve">How it works:</w:t>
      </w:r>
    </w:p>
    <w:p>
      <w:pPr>
        <w:numPr>
          <w:ilvl w:val="0"/>
          <w:numId w:val="1015"/>
        </w:numPr>
        <w:pStyle w:val="Compact"/>
      </w:pPr>
      <w:r>
        <w:rPr>
          <w:rStyle w:val="VerbatimChar"/>
        </w:rPr>
        <w:t xml:space="preserve">users.account_type = 'customer'</w:t>
      </w:r>
      <w:r>
        <w:t xml:space="preserve"> </w:t>
      </w:r>
      <w:r>
        <w:t xml:space="preserve">with</w:t>
      </w:r>
      <w:r>
        <w:t xml:space="preserve"> </w:t>
      </w:r>
      <w:r>
        <w:rPr>
          <w:rStyle w:val="VerbatimChar"/>
        </w:rPr>
        <w:t xml:space="preserve">users.is_internal = TRUE</w:t>
      </w:r>
      <w:r>
        <w:t xml:space="preserve"> </w:t>
      </w:r>
      <w:r>
        <w:t xml:space="preserve">on the owner + spouse + designated team accounts</w:t>
      </w:r>
    </w:p>
    <w:p>
      <w:pPr>
        <w:numPr>
          <w:ilvl w:val="0"/>
          <w:numId w:val="1015"/>
        </w:numPr>
        <w:pStyle w:val="Compact"/>
      </w:pPr>
      <w:r>
        <w:t xml:space="preserve">A permanent</w:t>
      </w:r>
      <w:r>
        <w:t xml:space="preserve"> </w:t>
      </w:r>
      <w:r>
        <w:rPr>
          <w:rStyle w:val="VerbatimChar"/>
        </w:rPr>
        <w:t xml:space="preserve">unlimited_use_grant</w:t>
      </w:r>
      <w:r>
        <w:t xml:space="preserve"> </w:t>
      </w:r>
      <w:r>
        <w:t xml:space="preserve">row is auto-issued at account creation for these users, with</w:t>
      </w:r>
      <w:r>
        <w:t xml:space="preserve"> </w:t>
      </w:r>
      <w:r>
        <w:rPr>
          <w:rStyle w:val="VerbatimChar"/>
        </w:rPr>
        <w:t xml:space="preserve">scope = 'all_services'</w:t>
      </w:r>
      <w:r>
        <w:t xml:space="preserve"> </w:t>
      </w:r>
      <w:r>
        <w:t xml:space="preserve">and</w:t>
      </w:r>
      <w:r>
        <w:t xml:space="preserve"> </w:t>
      </w:r>
      <w:r>
        <w:rPr>
          <w:rStyle w:val="VerbatimChar"/>
        </w:rPr>
        <w:t xml:space="preserve">expiry = null</w:t>
      </w:r>
    </w:p>
    <w:p>
      <w:pPr>
        <w:numPr>
          <w:ilvl w:val="0"/>
          <w:numId w:val="1015"/>
        </w:numPr>
        <w:pStyle w:val="Compact"/>
      </w:pPr>
      <w:r>
        <w:t xml:space="preserve">All apply-then-pay flows (Save-the-Date renders, Paparazzi packs, Live Stream, AI Highlights, Custom Monogram, etc.) check the grant before generating a payment instruction — internal accounts skip directly to</w:t>
      </w:r>
      <w:r>
        <w:t xml:space="preserve"> </w:t>
      </w:r>
      <w:r>
        <w:rPr>
          <w:rStyle w:val="VerbatimChar"/>
        </w:rPr>
        <w:t xml:space="preserve">status='paid'</w:t>
      </w:r>
      <w:r>
        <w:t xml:space="preserve"> </w:t>
      </w:r>
      <w:r>
        <w:t xml:space="preserve">with</w:t>
      </w:r>
      <w:r>
        <w:t xml:space="preserve"> </w:t>
      </w:r>
      <w:r>
        <w:rPr>
          <w:rStyle w:val="VerbatimChar"/>
        </w:rPr>
        <w:t xml:space="preserve">comp_grant_id</w:t>
      </w:r>
      <w:r>
        <w:t xml:space="preserve"> </w:t>
      </w:r>
      <w:r>
        <w:t xml:space="preserve">populated and</w:t>
      </w:r>
      <w:r>
        <w:t xml:space="preserve"> </w:t>
      </w:r>
      <w:r>
        <w:rPr>
          <w:rStyle w:val="VerbatimChar"/>
        </w:rPr>
        <w:t xml:space="preserve">amount_paid_php = 0</w:t>
      </w:r>
    </w:p>
    <w:p>
      <w:pPr>
        <w:numPr>
          <w:ilvl w:val="0"/>
          <w:numId w:val="1015"/>
        </w:numPr>
        <w:pStyle w:val="Compact"/>
      </w:pPr>
      <w:r>
        <w:t xml:space="preserve">Vendor bookings flowing through Setnayan Pay still charge the customer’s card / bank (the 3% convenience fee still applies if used), but Setnayan in-app SKUs are zero-cost</w:t>
      </w:r>
    </w:p>
    <w:p>
      <w:pPr>
        <w:numPr>
          <w:ilvl w:val="0"/>
          <w:numId w:val="1015"/>
        </w:numPr>
        <w:pStyle w:val="Compact"/>
      </w:pPr>
      <w:r>
        <w:t xml:space="preserve">Internal accounts still see the full marketplace, can book vendors, can use Guided / DIY modes, can invite guests — the only difference is the per-render cost is comped</w:t>
      </w:r>
    </w:p>
    <w:p>
      <w:pPr>
        <w:pStyle w:val="FirstParagraph"/>
      </w:pPr>
      <w:r>
        <w:rPr>
          <w:b/>
        </w:rPr>
        <w:t xml:space="preserve">Why this exists:</w:t>
      </w:r>
    </w:p>
    <w:p>
      <w:pPr>
        <w:numPr>
          <w:ilvl w:val="0"/>
          <w:numId w:val="1016"/>
        </w:numPr>
        <w:pStyle w:val="Compact"/>
      </w:pPr>
      <w:r>
        <w:t xml:space="preserve">Dogfooding — the owner uses Setnayan for their own life events, surfacing rough edges before customers hit them</w:t>
      </w:r>
    </w:p>
    <w:p>
      <w:pPr>
        <w:numPr>
          <w:ilvl w:val="0"/>
          <w:numId w:val="1016"/>
        </w:numPr>
        <w:pStyle w:val="Compact"/>
      </w:pPr>
      <w:r>
        <w:t xml:space="preserve">Demo accounts — Setnayan Team uses internal events to demo features to investors / partners / press</w:t>
      </w:r>
    </w:p>
    <w:p>
      <w:pPr>
        <w:numPr>
          <w:ilvl w:val="0"/>
          <w:numId w:val="1016"/>
        </w:numPr>
        <w:pStyle w:val="Compact"/>
      </w:pPr>
      <w:r>
        <w:t xml:space="preserve">Spouse + family accounts — same reasoning, partner uses the platform for their own events without bookkeeping noise</w:t>
      </w:r>
    </w:p>
    <w:p>
      <w:pPr>
        <w:numPr>
          <w:ilvl w:val="0"/>
          <w:numId w:val="1016"/>
        </w:numPr>
        <w:pStyle w:val="Compact"/>
      </w:pPr>
      <w:r>
        <w:t xml:space="preserve">Marketing samples (with separate written opt-in per Privacy Policy § 6.2) — content generated on internal accounts may be used as case studies</w:t>
      </w:r>
    </w:p>
    <w:p>
      <w:pPr>
        <w:pStyle w:val="FirstParagraph"/>
      </w:pPr>
      <w:r>
        <w:rPr>
          <w:b/>
        </w:rPr>
        <w:t xml:space="preserve">Constraints:</w:t>
      </w:r>
    </w:p>
    <w:p>
      <w:pPr>
        <w:numPr>
          <w:ilvl w:val="0"/>
          <w:numId w:val="1017"/>
        </w:numPr>
        <w:pStyle w:val="Compact"/>
      </w:pPr>
      <w:r>
        <w:t xml:space="preserve">Internal accounts are marked in the admin console with a 🟣 badge so any admin review knows they’re internal</w:t>
      </w:r>
    </w:p>
    <w:p>
      <w:pPr>
        <w:numPr>
          <w:ilvl w:val="0"/>
          <w:numId w:val="1017"/>
        </w:numPr>
        <w:pStyle w:val="Compact"/>
      </w:pPr>
      <w:r>
        <w:t xml:space="preserve">Internal-account activity is excluded from the customer-pipeline analytics (so the</w:t>
      </w:r>
      <w:r>
        <w:t xml:space="preserve"> </w:t>
      </w:r>
      <w:r>
        <w:t xml:space="preserve">“</w:t>
      </w:r>
      <w:r>
        <w:t xml:space="preserve">booked customers</w:t>
      </w:r>
      <w:r>
        <w:t xml:space="preserve">”</w:t>
      </w:r>
      <w:r>
        <w:t xml:space="preserve"> </w:t>
      </w:r>
      <w:r>
        <w:t xml:space="preserve">count reflects actual paying customers)</w:t>
      </w:r>
    </w:p>
    <w:p>
      <w:pPr>
        <w:numPr>
          <w:ilvl w:val="0"/>
          <w:numId w:val="1017"/>
        </w:numPr>
        <w:pStyle w:val="Compact"/>
      </w:pPr>
      <w:r>
        <w:t xml:space="preserve">Internal grants are bounded to</w:t>
      </w:r>
      <w:r>
        <w:t xml:space="preserve"> </w:t>
      </w:r>
      <w:r>
        <w:rPr>
          <w:b/>
        </w:rPr>
        <w:t xml:space="preserve">in-app services only</w:t>
      </w:r>
      <w:r>
        <w:t xml:space="preserve"> </w:t>
      </w:r>
      <w:r>
        <w:t xml:space="preserve">— vendor payments through Setnayan Pay still flow normally (the 3% convenience fee is the customer’s cost · vendor still receives full amount)</w:t>
      </w:r>
    </w:p>
    <w:p>
      <w:pPr>
        <w:numPr>
          <w:ilvl w:val="0"/>
          <w:numId w:val="1017"/>
        </w:numPr>
        <w:pStyle w:val="Compact"/>
      </w:pPr>
      <w:r>
        <w:t xml:space="preserve">Setnayan Team operational expense (cost of comping owner accounts ≈ ₱5/render × ~20 renders/year per account = ₱100/year per internal user) is absorbed into operating budget</w:t>
      </w:r>
    </w:p>
    <w:p>
      <w:pPr>
        <w:numPr>
          <w:ilvl w:val="0"/>
          <w:numId w:val="1017"/>
        </w:numPr>
        <w:pStyle w:val="Compact"/>
      </w:pPr>
      <w:r>
        <w:t xml:space="preserve">Adding a new internal account requires</w:t>
      </w:r>
      <w:r>
        <w:t xml:space="preserve"> </w:t>
      </w:r>
      <w:r>
        <w:rPr>
          <w:b/>
        </w:rPr>
        <w:t xml:space="preserve">two-admin approval</w:t>
      </w:r>
      <w:r>
        <w:t xml:space="preserve"> </w:t>
      </w:r>
      <w:r>
        <w:t xml:space="preserve">(Ops Lead + one other admin) and a logged rationale (</w:t>
      </w:r>
      <w:r>
        <w:t xml:space="preserve">“</w:t>
      </w:r>
      <w:r>
        <w:t xml:space="preserve">founder spouse</w:t>
      </w:r>
      <w:r>
        <w:t xml:space="preserve">”</w:t>
      </w:r>
      <w:r>
        <w:t xml:space="preserve"> </w:t>
      </w:r>
      <w:r>
        <w:t xml:space="preserve">·</w:t>
      </w:r>
      <w:r>
        <w:t xml:space="preserve"> </w:t>
      </w:r>
      <w:r>
        <w:t xml:space="preserve">“</w:t>
      </w:r>
      <w:r>
        <w:t xml:space="preserve">team member onboarding</w:t>
      </w:r>
      <w:r>
        <w:t xml:space="preserve">”</w:t>
      </w:r>
      <w:r>
        <w:t xml:space="preserve"> </w:t>
      </w:r>
      <w:r>
        <w:t xml:space="preserve">· etc.)</w:t>
      </w:r>
    </w:p>
    <w:p>
      <w:pPr>
        <w:pStyle w:val="FirstParagraph"/>
      </w:pPr>
      <w:r>
        <w:rPr>
          <w:b/>
        </w:rPr>
        <w:t xml:space="preserve">Spouse-of-owner-purchases-anything:</w:t>
      </w:r>
      <w:r>
        <w:t xml:space="preserve"> </w:t>
      </w:r>
      <w:r>
        <w:t xml:space="preserve">the spouse account is internal-flagged and gets the unlimited grant for in-app services. For external purchases (vendor bookings paid through Setnayan Pay), the spouse pays like any other customer — Setnayan Pay convenience fee and vendor payouts flow normally. The owner’s wife</w:t>
      </w:r>
      <w:r>
        <w:t xml:space="preserve"> </w:t>
      </w:r>
      <w:r>
        <w:t xml:space="preserve">“</w:t>
      </w:r>
      <w:r>
        <w:t xml:space="preserve">can purchase anything on the app</w:t>
      </w:r>
      <w:r>
        <w:t xml:space="preserve">”</w:t>
      </w:r>
      <w:r>
        <w:t xml:space="preserve"> </w:t>
      </w:r>
      <w:r>
        <w:t xml:space="preserve">because (a) all Setnayan in-app SKUs are free for her via the internal grant, and (b) she can book any vendor she wants and pay through Setnayan Pay or direct — same as any other customer. No financial favoritism on vendor-side; the in-app services are the only line that’s comped.</w:t>
      </w:r>
    </w:p>
    <w:p>
      <w:pPr>
        <w:pStyle w:val="Heading2"/>
      </w:pPr>
      <w:bookmarkStart w:id="51" w:name="Xedf0292cec624a308071529953dc97ae2320fed"/>
      <w:r>
        <w:t xml:space="preserve">10b. Setnayan Team Members — SHARED Monthly Consumable Pool</w:t>
      </w:r>
      <w:bookmarkEnd w:id="51"/>
    </w:p>
    <w:p>
      <w:pPr>
        <w:pStyle w:val="FirstParagraph"/>
      </w:pPr>
      <w:r>
        <w:t xml:space="preserve">ALL Setnayan team members</w:t>
      </w:r>
      <w:r>
        <w:t xml:space="preserve"> </w:t>
      </w:r>
      <w:r>
        <w:rPr>
          <w:b/>
        </w:rPr>
        <w:t xml:space="preserve">except the 2 owners</w:t>
      </w:r>
      <w:r>
        <w:t xml:space="preserve"> </w:t>
      </w:r>
      <w:r>
        <w:t xml:space="preserve">(owner + spouse, who hold the unlimited grants under § 10a) draw from a</w:t>
      </w:r>
      <w:r>
        <w:t xml:space="preserve"> </w:t>
      </w:r>
      <w:r>
        <w:rPr>
          <w:b/>
        </w:rPr>
        <w:t xml:space="preserve">single shared monthly pool</w:t>
      </w:r>
      <w:r>
        <w:t xml:space="preserve"> </w:t>
      </w:r>
      <w:r>
        <w:t xml:space="preserve">of in-app service credit. The pool is a team-wide perk, not a per-person allowance.</w:t>
      </w:r>
    </w:p>
    <w:p>
      <w:pPr>
        <w:pStyle w:val="BodyText"/>
      </w:pPr>
      <w:r>
        <w:rPr>
          <w:b/>
        </w:rPr>
        <w:t xml:space="preserve">The formula:</w:t>
      </w:r>
    </w:p>
    <w:p>
      <w:pPr>
        <w:numPr>
          <w:ilvl w:val="0"/>
          <w:numId w:val="1018"/>
        </w:numPr>
        <w:pStyle w:val="Compact"/>
      </w:pPr>
      <w:r>
        <w:t xml:space="preserve">The shared pool is funded at</w:t>
      </w:r>
      <w:r>
        <w:t xml:space="preserve"> </w:t>
      </w:r>
      <w:r>
        <w:rPr>
          <w:b/>
        </w:rPr>
        <w:t xml:space="preserve">0.5% of prior-month total Setnayan platform sales</w:t>
      </w:r>
      <w:r>
        <w:t xml:space="preserve"> </w:t>
      </w:r>
      <w:r>
        <w:t xml:space="preserve">(gross in-app SKU revenue + Setnayan Pay convenience-fee revenue)</w:t>
      </w:r>
    </w:p>
    <w:p>
      <w:pPr>
        <w:numPr>
          <w:ilvl w:val="0"/>
          <w:numId w:val="1018"/>
        </w:numPr>
        <w:pStyle w:val="Compact"/>
      </w:pPr>
      <w:r>
        <w:t xml:space="preserve">The pool is</w:t>
      </w:r>
      <w:r>
        <w:t xml:space="preserve"> </w:t>
      </w:r>
      <w:r>
        <w:rPr>
          <w:b/>
        </w:rPr>
        <w:t xml:space="preserve">capped at ₱10,000 per month TOTAL</w:t>
      </w:r>
      <w:r>
        <w:t xml:space="preserve"> </w:t>
      </w:r>
      <w:r>
        <w:t xml:space="preserve">across the entire team — if 0.5% of sales would exceed that, only ₱10,000 is allocated</w:t>
      </w:r>
    </w:p>
    <w:p>
      <w:pPr>
        <w:numPr>
          <w:ilvl w:val="0"/>
          <w:numId w:val="1018"/>
        </w:numPr>
        <w:pStyle w:val="Compact"/>
      </w:pPr>
      <w:r>
        <w:t xml:space="preserve">The pool is</w:t>
      </w:r>
      <w:r>
        <w:t xml:space="preserve"> </w:t>
      </w:r>
      <w:r>
        <w:rPr>
          <w:b/>
        </w:rPr>
        <w:t xml:space="preserve">use-it-or-lose-it</w:t>
      </w:r>
      <w:r>
        <w:t xml:space="preserve"> </w:t>
      </w:r>
      <w:r>
        <w:t xml:space="preserve">— any unused balance at month-end is forfeited and does NOT carry over to the next month</w:t>
      </w:r>
    </w:p>
    <w:p>
      <w:pPr>
        <w:numPr>
          <w:ilvl w:val="0"/>
          <w:numId w:val="1018"/>
        </w:numPr>
        <w:pStyle w:val="Compact"/>
      </w:pPr>
      <w:r>
        <w:rPr>
          <w:b/>
        </w:rPr>
        <w:t xml:space="preserve">First-come-first-served</w:t>
      </w:r>
      <w:r>
        <w:t xml:space="preserve"> </w:t>
      </w:r>
      <w:r>
        <w:t xml:space="preserve">— any eligible team member can spend against the shared remaining balance until it hits zero; once exhausted, the rest of the month is at standard rates for everyone</w:t>
      </w:r>
    </w:p>
    <w:p>
      <w:pPr>
        <w:numPr>
          <w:ilvl w:val="0"/>
          <w:numId w:val="1018"/>
        </w:numPr>
        <w:pStyle w:val="Compact"/>
      </w:pPr>
      <w:r>
        <w:t xml:space="preserve">Credit applies only to</w:t>
      </w:r>
      <w:r>
        <w:t xml:space="preserve"> </w:t>
      </w:r>
      <w:r>
        <w:rPr>
          <w:b/>
        </w:rPr>
        <w:t xml:space="preserve">Setnayan in-app SKUs</w:t>
      </w:r>
      <w:r>
        <w:t xml:space="preserve"> </w:t>
      </w:r>
      <w:r>
        <w:t xml:space="preserve">(Save-the-Date renders, Paparazzi packs, Live Stream base + add-ons, AI Highlights, Custom Monogram, Broadcast Style Pack, Pro Widgets, etc.); vendor payments through Setnayan Pay are NOT covered</w:t>
      </w:r>
    </w:p>
    <w:p>
      <w:pPr>
        <w:pStyle w:val="FirstParagraph"/>
      </w:pPr>
      <w:r>
        <w:rPr>
          <w:b/>
        </w:rPr>
        <w:t xml:space="preserve">How it works:</w:t>
      </w:r>
    </w:p>
    <w:p>
      <w:pPr>
        <w:numPr>
          <w:ilvl w:val="0"/>
          <w:numId w:val="1019"/>
        </w:numPr>
        <w:pStyle w:val="Compact"/>
      </w:pPr>
      <w:r>
        <w:rPr>
          <w:rStyle w:val="VerbatimChar"/>
        </w:rPr>
        <w:t xml:space="preserve">users.is_team_member = TRUE</w:t>
      </w:r>
      <w:r>
        <w:t xml:space="preserve"> </w:t>
      </w:r>
      <w:r>
        <w:t xml:space="preserve">flag marks team accounts eligible to draw from the pool (separate from</w:t>
      </w:r>
      <w:r>
        <w:t xml:space="preserve"> </w:t>
      </w:r>
      <w:r>
        <w:rPr>
          <w:rStyle w:val="VerbatimChar"/>
        </w:rPr>
        <w:t xml:space="preserve">is_internal</w:t>
      </w:r>
      <w:r>
        <w:t xml:space="preserve"> </w:t>
      </w:r>
      <w:r>
        <w:t xml:space="preserve">which is owner + spouse only)</w:t>
      </w:r>
    </w:p>
    <w:p>
      <w:pPr>
        <w:numPr>
          <w:ilvl w:val="0"/>
          <w:numId w:val="1019"/>
        </w:numPr>
        <w:pStyle w:val="Compact"/>
      </w:pPr>
      <w:r>
        <w:t xml:space="preserve">New singleton table</w:t>
      </w:r>
      <w:r>
        <w:t xml:space="preserve"> </w:t>
      </w:r>
      <w:r>
        <w:rPr>
          <w:rStyle w:val="VerbatimChar"/>
        </w:rPr>
        <w:t xml:space="preserve">team_shared_monthly_allowance (period_month YYYY-MM PK, allocated_php, consumed_php, remaining_php, created_at, closed_at)</w:t>
      </w:r>
      <w:r>
        <w:t xml:space="preserve"> </w:t>
      </w:r>
      <w:r>
        <w:t xml:space="preserve">—</w:t>
      </w:r>
      <w:r>
        <w:t xml:space="preserve"> </w:t>
      </w:r>
      <w:r>
        <w:rPr>
          <w:b/>
        </w:rPr>
        <w:t xml:space="preserve">one row per month covering the whole team</w:t>
      </w:r>
      <w:r>
        <w:t xml:space="preserve">, NOT one row per team member</w:t>
      </w:r>
    </w:p>
    <w:p>
      <w:pPr>
        <w:numPr>
          <w:ilvl w:val="0"/>
          <w:numId w:val="1019"/>
        </w:numPr>
        <w:pStyle w:val="Compact"/>
      </w:pPr>
      <w:r>
        <w:t xml:space="preserve">Per-spend ledger</w:t>
      </w:r>
      <w:r>
        <w:t xml:space="preserve"> </w:t>
      </w:r>
      <w:r>
        <w:rPr>
          <w:rStyle w:val="VerbatimChar"/>
        </w:rPr>
        <w:t xml:space="preserve">team_allowance_consumptions (consumption_id, period_month, user_id, order_id, amount_php, created_at)</w:t>
      </w:r>
      <w:r>
        <w:t xml:space="preserve"> </w:t>
      </w:r>
      <w:r>
        <w:t xml:space="preserve">tracks which team member spent which order against the shared pool — used for finance audit and per-person reporting</w:t>
      </w:r>
    </w:p>
    <w:p>
      <w:pPr>
        <w:numPr>
          <w:ilvl w:val="0"/>
          <w:numId w:val="1019"/>
        </w:numPr>
        <w:pStyle w:val="Compact"/>
      </w:pPr>
      <w:r>
        <w:t xml:space="preserve">On the 1st of each month at 00:00 PHT, a scheduled job computes the prior-month total platform sales, multiplies by 0.005, caps at ₱10,000, and writes a single allowance row with</w:t>
      </w:r>
      <w:r>
        <w:t xml:space="preserve"> </w:t>
      </w:r>
      <w:r>
        <w:rPr>
          <w:rStyle w:val="VerbatimChar"/>
        </w:rPr>
        <w:t xml:space="preserve">remaining_php = allocated_php</w:t>
      </w:r>
    </w:p>
    <w:p>
      <w:pPr>
        <w:numPr>
          <w:ilvl w:val="0"/>
          <w:numId w:val="1019"/>
        </w:numPr>
        <w:pStyle w:val="Compact"/>
      </w:pPr>
      <w:r>
        <w:t xml:space="preserve">When an eligible team member places an in-app order, apply-then-pay routing checks the</w:t>
      </w:r>
      <w:r>
        <w:t xml:space="preserve"> </w:t>
      </w:r>
      <w:r>
        <w:rPr>
          <w:b/>
        </w:rPr>
        <w:t xml:space="preserve">current month’s shared pool</w:t>
      </w:r>
      <w:r>
        <w:t xml:space="preserve"> </w:t>
      </w:r>
      <w:r>
        <w:t xml:space="preserve">first:</w:t>
      </w:r>
    </w:p>
    <w:p>
      <w:pPr>
        <w:numPr>
          <w:ilvl w:val="1"/>
          <w:numId w:val="1020"/>
        </w:numPr>
        <w:pStyle w:val="Compact"/>
      </w:pPr>
      <w:r>
        <w:t xml:space="preserve">If</w:t>
      </w:r>
      <w:r>
        <w:t xml:space="preserve"> </w:t>
      </w:r>
      <w:r>
        <w:rPr>
          <w:rStyle w:val="VerbatimChar"/>
        </w:rPr>
        <w:t xml:space="preserve">remaining_php ≥ order_amount_php</w:t>
      </w:r>
      <w:r>
        <w:t xml:space="preserve"> </w:t>
      </w:r>
      <w:r>
        <w:t xml:space="preserve">→ comp the full order,</w:t>
      </w:r>
      <w:r>
        <w:t xml:space="preserve"> </w:t>
      </w:r>
      <w:r>
        <w:rPr>
          <w:rStyle w:val="VerbatimChar"/>
        </w:rPr>
        <w:t xml:space="preserve">status='paid'</w:t>
      </w:r>
      <w:r>
        <w:t xml:space="preserve">,</w:t>
      </w:r>
      <w:r>
        <w:t xml:space="preserve"> </w:t>
      </w:r>
      <w:r>
        <w:rPr>
          <w:rStyle w:val="VerbatimChar"/>
        </w:rPr>
        <w:t xml:space="preserve">comp_grant_id</w:t>
      </w:r>
      <w:r>
        <w:t xml:space="preserve"> </w:t>
      </w:r>
      <w:r>
        <w:t xml:space="preserve">populated, decrement the shared</w:t>
      </w:r>
      <w:r>
        <w:t xml:space="preserve"> </w:t>
      </w:r>
      <w:r>
        <w:rPr>
          <w:rStyle w:val="VerbatimChar"/>
        </w:rPr>
        <w:t xml:space="preserve">remaining_php</w:t>
      </w:r>
      <w:r>
        <w:t xml:space="preserve">, log a</w:t>
      </w:r>
      <w:r>
        <w:t xml:space="preserve"> </w:t>
      </w:r>
      <w:r>
        <w:rPr>
          <w:rStyle w:val="VerbatimChar"/>
        </w:rPr>
        <w:t xml:space="preserve">team_allowance_consumptions</w:t>
      </w:r>
      <w:r>
        <w:t xml:space="preserve"> </w:t>
      </w:r>
      <w:r>
        <w:t xml:space="preserve">row</w:t>
      </w:r>
    </w:p>
    <w:p>
      <w:pPr>
        <w:numPr>
          <w:ilvl w:val="1"/>
          <w:numId w:val="1020"/>
        </w:numPr>
        <w:pStyle w:val="Compact"/>
      </w:pPr>
      <w:r>
        <w:t xml:space="preserve">If</w:t>
      </w:r>
      <w:r>
        <w:t xml:space="preserve"> </w:t>
      </w:r>
      <w:r>
        <w:rPr>
          <w:rStyle w:val="VerbatimChar"/>
        </w:rPr>
        <w:t xml:space="preserve">0 &lt; remaining_php &lt; order_amount_php</w:t>
      </w:r>
      <w:r>
        <w:t xml:space="preserve"> </w:t>
      </w:r>
      <w:r>
        <w:t xml:space="preserve">→ partial credit: team member pays the difference via standard apply-then-pay flow; shared pool balance zeroes out for the rest of the month</w:t>
      </w:r>
    </w:p>
    <w:p>
      <w:pPr>
        <w:numPr>
          <w:ilvl w:val="1"/>
          <w:numId w:val="1020"/>
        </w:numPr>
        <w:pStyle w:val="Compact"/>
      </w:pPr>
      <w:r>
        <w:t xml:space="preserve">If</w:t>
      </w:r>
      <w:r>
        <w:t xml:space="preserve"> </w:t>
      </w:r>
      <w:r>
        <w:rPr>
          <w:rStyle w:val="VerbatimChar"/>
        </w:rPr>
        <w:t xml:space="preserve">remaining_php = 0</w:t>
      </w:r>
      <w:r>
        <w:t xml:space="preserve"> </w:t>
      </w:r>
      <w:r>
        <w:t xml:space="preserve">→ team member pays full price like any other customer</w:t>
      </w:r>
    </w:p>
    <w:p>
      <w:pPr>
        <w:numPr>
          <w:ilvl w:val="0"/>
          <w:numId w:val="1019"/>
        </w:numPr>
        <w:pStyle w:val="Compact"/>
      </w:pPr>
      <w:r>
        <w:t xml:space="preserve">At month-end (last day 23:59 PHT), unused balance is forfeited;</w:t>
      </w:r>
      <w:r>
        <w:t xml:space="preserve"> </w:t>
      </w:r>
      <w:r>
        <w:rPr>
          <w:rStyle w:val="VerbatimChar"/>
        </w:rPr>
        <w:t xml:space="preserve">closed_at</w:t>
      </w:r>
      <w:r>
        <w:t xml:space="preserve"> </w:t>
      </w:r>
      <w:r>
        <w:t xml:space="preserve">stamped; row archived for finance audit</w:t>
      </w:r>
    </w:p>
    <w:p>
      <w:pPr>
        <w:pStyle w:val="FirstParagraph"/>
      </w:pPr>
      <w:r>
        <w:rPr>
          <w:b/>
        </w:rPr>
        <w:t xml:space="preserve">Admin console surfaces a</w:t>
      </w:r>
      <w:r>
        <w:rPr>
          <w:b/>
        </w:rPr>
        <w:t xml:space="preserve"> </w:t>
      </w:r>
      <w:r>
        <w:rPr>
          <w:b/>
        </w:rPr>
        <w:t xml:space="preserve">“</w:t>
      </w:r>
      <w:r>
        <w:rPr>
          <w:b/>
        </w:rPr>
        <w:t xml:space="preserve">Team Pool</w:t>
      </w:r>
      <w:r>
        <w:rPr>
          <w:b/>
        </w:rPr>
        <w:t xml:space="preserve">”</w:t>
      </w:r>
      <w:r>
        <w:rPr>
          <w:b/>
        </w:rPr>
        <w:t xml:space="preserve"> </w:t>
      </w:r>
      <w:r>
        <w:rPr>
          <w:b/>
        </w:rPr>
        <w:t xml:space="preserve">widget</w:t>
      </w:r>
      <w:r>
        <w:t xml:space="preserve"> </w:t>
      </w:r>
      <w:r>
        <w:t xml:space="preserve">at the top of every team member’s dashboard showing this month’s</w:t>
      </w:r>
      <w:r>
        <w:t xml:space="preserve"> </w:t>
      </w:r>
      <w:r>
        <w:rPr>
          <w:rStyle w:val="VerbatimChar"/>
        </w:rPr>
        <w:t xml:space="preserve">allocated · consumed · remaining</w:t>
      </w:r>
      <w:r>
        <w:t xml:space="preserve"> </w:t>
      </w:r>
      <w:r>
        <w:t xml:space="preserve">so the team can see what’s left before placing an order. Real-time updates as consumption happens.</w:t>
      </w:r>
    </w:p>
    <w:p>
      <w:pPr>
        <w:pStyle w:val="BodyText"/>
      </w:pPr>
      <w:r>
        <w:rPr>
          <w:b/>
        </w:rPr>
        <w:t xml:space="preserve">Example (April platform sales = ₱5,000,000):</w:t>
      </w:r>
    </w:p>
    <w:p>
      <w:pPr>
        <w:numPr>
          <w:ilvl w:val="0"/>
          <w:numId w:val="1021"/>
        </w:numPr>
        <w:pStyle w:val="Compact"/>
      </w:pPr>
      <w:r>
        <w:t xml:space="preserve">0.5% × ₱5,000,000 = ₱25,000 → capped at ₱10,000</w:t>
      </w:r>
    </w:p>
    <w:p>
      <w:pPr>
        <w:numPr>
          <w:ilvl w:val="0"/>
          <w:numId w:val="1021"/>
        </w:numPr>
        <w:pStyle w:val="Compact"/>
      </w:pPr>
      <w:r>
        <w:t xml:space="preserve">The team’s shared pool opens May 1 with ₱10,000 remaining</w:t>
      </w:r>
    </w:p>
    <w:p>
      <w:pPr>
        <w:numPr>
          <w:ilvl w:val="0"/>
          <w:numId w:val="1021"/>
        </w:numPr>
        <w:pStyle w:val="Compact"/>
      </w:pPr>
      <w:r>
        <w:t xml:space="preserve">If Team Member A spends ₱2,499 on Paparazzi on May 3 → pool drops to ₱7,501</w:t>
      </w:r>
    </w:p>
    <w:p>
      <w:pPr>
        <w:numPr>
          <w:ilvl w:val="0"/>
          <w:numId w:val="1021"/>
        </w:numPr>
        <w:pStyle w:val="Compact"/>
      </w:pPr>
      <w:r>
        <w:t xml:space="preserve">If Team Member B spends ₱4,999 on AI Edited Highlight on May 10 → pool drops to ₱2,502</w:t>
      </w:r>
    </w:p>
    <w:p>
      <w:pPr>
        <w:numPr>
          <w:ilvl w:val="0"/>
          <w:numId w:val="1021"/>
        </w:numPr>
        <w:pStyle w:val="Compact"/>
      </w:pPr>
      <w:r>
        <w:t xml:space="preserve">If Team Member C tries to spend ₱2,999 on Broadcast Style Pack on May 18 → ₱2,502 comped, member pays ₱497; pool zeroes out</w:t>
      </w:r>
    </w:p>
    <w:p>
      <w:pPr>
        <w:numPr>
          <w:ilvl w:val="0"/>
          <w:numId w:val="1021"/>
        </w:numPr>
        <w:pStyle w:val="Compact"/>
      </w:pPr>
      <w:r>
        <w:t xml:space="preserve">Any further team purchases in May pay full price; June 1 resets the pool</w:t>
      </w:r>
    </w:p>
    <w:p>
      <w:pPr>
        <w:pStyle w:val="FirstParagraph"/>
      </w:pPr>
      <w:r>
        <w:rPr>
          <w:b/>
        </w:rPr>
        <w:t xml:space="preserve">Example (April platform sales = ₱500,000):</w:t>
      </w:r>
    </w:p>
    <w:p>
      <w:pPr>
        <w:numPr>
          <w:ilvl w:val="0"/>
          <w:numId w:val="1022"/>
        </w:numPr>
        <w:pStyle w:val="Compact"/>
      </w:pPr>
      <w:r>
        <w:t xml:space="preserve">0.5% × ₱500,000 = ₱2,500 → under the cap</w:t>
      </w:r>
    </w:p>
    <w:p>
      <w:pPr>
        <w:numPr>
          <w:ilvl w:val="0"/>
          <w:numId w:val="1022"/>
        </w:numPr>
        <w:pStyle w:val="Compact"/>
      </w:pPr>
      <w:r>
        <w:t xml:space="preserve">The team’s shared pool opens May 1 with ₱2,500 remaining</w:t>
      </w:r>
    </w:p>
    <w:p>
      <w:pPr>
        <w:pStyle w:val="FirstParagraph"/>
      </w:pPr>
      <w:r>
        <w:rPr>
          <w:b/>
        </w:rPr>
        <w:t xml:space="preserve">Why a shared pool (not per-person):</w:t>
      </w:r>
    </w:p>
    <w:p>
      <w:pPr>
        <w:numPr>
          <w:ilvl w:val="0"/>
          <w:numId w:val="1023"/>
        </w:numPr>
        <w:pStyle w:val="Compact"/>
      </w:pPr>
      <w:r>
        <w:rPr>
          <w:b/>
        </w:rPr>
        <w:t xml:space="preserve">Bounded margin impact</w:t>
      </w:r>
      <w:r>
        <w:t xml:space="preserve"> </w:t>
      </w:r>
      <w:r>
        <w:t xml:space="preserve">— Setnayan’s exposure is fixed at ₱10,000/month regardless of team size; adding the 10th admin doesn’t multiply the cost</w:t>
      </w:r>
    </w:p>
    <w:p>
      <w:pPr>
        <w:numPr>
          <w:ilvl w:val="0"/>
          <w:numId w:val="1023"/>
        </w:numPr>
        <w:pStyle w:val="Compact"/>
      </w:pPr>
      <w:r>
        <w:rPr>
          <w:b/>
        </w:rPr>
        <w:t xml:space="preserve">Team alignment</w:t>
      </w:r>
      <w:r>
        <w:t xml:space="preserve"> </w:t>
      </w:r>
      <w:r>
        <w:t xml:space="preserve">— encourages the team to coordinate on what’s worth comping; surfaces real internal demand for the platform</w:t>
      </w:r>
    </w:p>
    <w:p>
      <w:pPr>
        <w:numPr>
          <w:ilvl w:val="0"/>
          <w:numId w:val="1023"/>
        </w:numPr>
        <w:pStyle w:val="Compact"/>
      </w:pPr>
      <w:r>
        <w:rPr>
          <w:b/>
        </w:rPr>
        <w:t xml:space="preserve">Sales-linked perk</w:t>
      </w:r>
      <w:r>
        <w:t xml:space="preserve"> </w:t>
      </w:r>
      <w:r>
        <w:t xml:space="preserve">— the bigger Setnayan gets, the larger the pool (up to cap); team is incentivized to grow the platform</w:t>
      </w:r>
    </w:p>
    <w:p>
      <w:pPr>
        <w:numPr>
          <w:ilvl w:val="0"/>
          <w:numId w:val="1023"/>
        </w:numPr>
        <w:pStyle w:val="Compact"/>
      </w:pPr>
      <w:r>
        <w:rPr>
          <w:b/>
        </w:rPr>
        <w:t xml:space="preserve">Use-it-or-lose-it discipline</w:t>
      </w:r>
      <w:r>
        <w:t xml:space="preserve"> </w:t>
      </w:r>
      <w:r>
        <w:t xml:space="preserve">— prevents unbounded credit accumulation and the operational complexity of carry-forward balances</w:t>
      </w:r>
    </w:p>
    <w:p>
      <w:pPr>
        <w:numPr>
          <w:ilvl w:val="0"/>
          <w:numId w:val="1023"/>
        </w:numPr>
        <w:pStyle w:val="Compact"/>
      </w:pPr>
      <w:r>
        <w:rPr>
          <w:b/>
        </w:rPr>
        <w:t xml:space="preserve">Separation from owner grant</w:t>
      </w:r>
      <w:r>
        <w:t xml:space="preserve"> </w:t>
      </w:r>
      <w:r>
        <w:t xml:space="preserve">— owner + spouse have unlimited grants under § 10a; the shared pool is the team-tier perk</w:t>
      </w:r>
    </w:p>
    <w:p>
      <w:pPr>
        <w:pStyle w:val="FirstParagraph"/>
      </w:pPr>
      <w:r>
        <w:rPr>
          <w:b/>
        </w:rPr>
        <w:t xml:space="preserve">Constraints:</w:t>
      </w:r>
    </w:p>
    <w:p>
      <w:pPr>
        <w:numPr>
          <w:ilvl w:val="0"/>
          <w:numId w:val="1024"/>
        </w:numPr>
        <w:pStyle w:val="Compact"/>
      </w:pPr>
      <w:r>
        <w:t xml:space="preserve">Adding a team member to the shared-pool eligibility list requires</w:t>
      </w:r>
      <w:r>
        <w:t xml:space="preserve"> </w:t>
      </w:r>
      <w:r>
        <w:rPr>
          <w:b/>
        </w:rPr>
        <w:t xml:space="preserve">two-admin approval</w:t>
      </w:r>
      <w:r>
        <w:t xml:space="preserve"> </w:t>
      </w:r>
      <w:r>
        <w:t xml:space="preserve">(Ops Lead + one other admin) + logged rationale</w:t>
      </w:r>
    </w:p>
    <w:p>
      <w:pPr>
        <w:numPr>
          <w:ilvl w:val="0"/>
          <w:numId w:val="1024"/>
        </w:numPr>
        <w:pStyle w:val="Compact"/>
      </w:pPr>
      <w:r>
        <w:t xml:space="preserve">Team member must hold an active admin role (one of the seven granular roles in § 9) — losing the role revokes pool eligibility going forward</w:t>
      </w:r>
    </w:p>
    <w:p>
      <w:pPr>
        <w:numPr>
          <w:ilvl w:val="0"/>
          <w:numId w:val="1024"/>
        </w:numPr>
        <w:pStyle w:val="Compact"/>
      </w:pPr>
      <w:r>
        <w:t xml:space="preserve">Owner-pair (§ 10a) is NOT eligible to draw from this pool — they already have unlimited grants; their in-app orders never touch the team pool</w:t>
      </w:r>
    </w:p>
    <w:p>
      <w:pPr>
        <w:numPr>
          <w:ilvl w:val="0"/>
          <w:numId w:val="1024"/>
        </w:numPr>
        <w:pStyle w:val="Compact"/>
      </w:pPr>
      <w:r>
        <w:t xml:space="preserve">Vendor payments routed through Setnayan Pay still charge normally (the 3% convenience fee applies); only Setnayan in-app SKUs are eligible</w:t>
      </w:r>
    </w:p>
    <w:p>
      <w:pPr>
        <w:numPr>
          <w:ilvl w:val="0"/>
          <w:numId w:val="1024"/>
        </w:numPr>
        <w:pStyle w:val="Compact"/>
      </w:pPr>
      <w:r>
        <w:t xml:space="preserve">The 🟣 internal badge from § 10a is NOT applied to team-member accounts; they are visually identified in admin console with a separate 🟢 badge (</w:t>
      </w:r>
      <w:r>
        <w:t xml:space="preserve">“</w:t>
      </w:r>
      <w:r>
        <w:t xml:space="preserve">Team Member · Shared Pool Access</w:t>
      </w:r>
      <w:r>
        <w:t xml:space="preserve">”</w:t>
      </w:r>
      <w:r>
        <w:t xml:space="preserve">)</w:t>
      </w:r>
    </w:p>
    <w:p>
      <w:pPr>
        <w:numPr>
          <w:ilvl w:val="0"/>
          <w:numId w:val="1024"/>
        </w:numPr>
        <w:pStyle w:val="Compact"/>
      </w:pPr>
      <w:r>
        <w:t xml:space="preserve">Team-member activity IS included in customer-pipeline analytics (the bounded pool represents real platform engagement that should appear in usage signals)</w:t>
      </w:r>
    </w:p>
    <w:p>
      <w:pPr>
        <w:numPr>
          <w:ilvl w:val="0"/>
          <w:numId w:val="1024"/>
        </w:numPr>
        <w:pStyle w:val="Compact"/>
      </w:pPr>
      <w:r>
        <w:t xml:space="preserve">All pool consumption surfaces in the admin audit log with user attribution</w:t>
      </w:r>
    </w:p>
    <w:p>
      <w:pPr>
        <w:pStyle w:val="FirstParagraph"/>
      </w:pPr>
      <w:r>
        <w:rPr>
          <w:b/>
        </w:rPr>
        <w:t xml:space="preserve">Compared to § 10a (owner + spouse):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 10a Owner + Spouse</w:t>
            </w:r>
          </w:p>
        </w:tc>
        <w:tc>
          <w:tcPr>
            <w:tcBorders>
              <w:bottom w:val="single"/>
            </w:tcBorders>
            <w:vAlign w:val="bottom"/>
          </w:tcPr>
          <w:p>
            <w:pPr>
              <w:pStyle w:val="Compact"/>
              <w:jc w:val="left"/>
            </w:pPr>
            <w:r>
              <w:t xml:space="preserve">§ 10b Team Members</w:t>
            </w:r>
          </w:p>
        </w:tc>
      </w:tr>
      <w:tr>
        <w:tc>
          <w:p>
            <w:pPr>
              <w:pStyle w:val="Compact"/>
              <w:jc w:val="left"/>
            </w:pPr>
            <w:r>
              <w:t xml:space="preserve">Account flag</w:t>
            </w:r>
          </w:p>
        </w:tc>
        <w:tc>
          <w:p>
            <w:pPr>
              <w:pStyle w:val="Compact"/>
              <w:jc w:val="left"/>
            </w:pPr>
            <w:r>
              <w:rPr>
                <w:rStyle w:val="VerbatimChar"/>
              </w:rPr>
              <w:t xml:space="preserve">is_internal = TRUE</w:t>
            </w:r>
          </w:p>
        </w:tc>
        <w:tc>
          <w:p>
            <w:pPr>
              <w:pStyle w:val="Compact"/>
              <w:jc w:val="left"/>
            </w:pPr>
            <w:r>
              <w:rPr>
                <w:rStyle w:val="VerbatimChar"/>
              </w:rPr>
              <w:t xml:space="preserve">is_team_member = TRUE</w:t>
            </w:r>
          </w:p>
        </w:tc>
      </w:tr>
      <w:tr>
        <w:tc>
          <w:p>
            <w:pPr>
              <w:pStyle w:val="Compact"/>
              <w:jc w:val="left"/>
            </w:pPr>
            <w:r>
              <w:t xml:space="preserve">Pool structure</w:t>
            </w:r>
          </w:p>
        </w:tc>
        <w:tc>
          <w:p>
            <w:pPr>
              <w:pStyle w:val="Compact"/>
              <w:jc w:val="left"/>
            </w:pPr>
            <w:r>
              <w:t xml:space="preserve">N/A (always free)</w:t>
            </w:r>
          </w:p>
        </w:tc>
        <w:tc>
          <w:p>
            <w:pPr>
              <w:pStyle w:val="Compact"/>
              <w:jc w:val="left"/>
            </w:pPr>
            <w:r>
              <w:t xml:space="preserve">Single shared pool, team-wide</w:t>
            </w:r>
          </w:p>
        </w:tc>
      </w:tr>
      <w:tr>
        <w:tc>
          <w:p>
            <w:pPr>
              <w:pStyle w:val="Compact"/>
              <w:jc w:val="left"/>
            </w:pPr>
            <w:r>
              <w:t xml:space="preserve">Cap</w:t>
            </w:r>
          </w:p>
        </w:tc>
        <w:tc>
          <w:p>
            <w:pPr>
              <w:pStyle w:val="Compact"/>
              <w:jc w:val="left"/>
            </w:pPr>
            <w:r>
              <w:t xml:space="preserve">None</w:t>
            </w:r>
          </w:p>
        </w:tc>
        <w:tc>
          <w:p>
            <w:pPr>
              <w:pStyle w:val="Compact"/>
              <w:jc w:val="left"/>
            </w:pPr>
            <w:r>
              <w:t xml:space="preserve">₱10,000/month TOTAL across whole team</w:t>
            </w:r>
          </w:p>
        </w:tc>
      </w:tr>
      <w:tr>
        <w:tc>
          <w:p>
            <w:pPr>
              <w:pStyle w:val="Compact"/>
              <w:jc w:val="left"/>
            </w:pPr>
            <w:r>
              <w:t xml:space="preserve">Formula</w:t>
            </w:r>
          </w:p>
        </w:tc>
        <w:tc>
          <w:p>
            <w:pPr>
              <w:pStyle w:val="Compact"/>
              <w:jc w:val="left"/>
            </w:pPr>
            <w:r>
              <w:t xml:space="preserve">N/A (always free)</w:t>
            </w:r>
          </w:p>
        </w:tc>
        <w:tc>
          <w:p>
            <w:pPr>
              <w:pStyle w:val="Compact"/>
              <w:jc w:val="left"/>
            </w:pPr>
            <w:r>
              <w:t xml:space="preserve">min(0.5% × prior-month platform sales, ₱10,000)</w:t>
            </w:r>
          </w:p>
        </w:tc>
      </w:tr>
      <w:tr>
        <w:tc>
          <w:p>
            <w:pPr>
              <w:pStyle w:val="Compact"/>
              <w:jc w:val="left"/>
            </w:pPr>
            <w:r>
              <w:t xml:space="preserve">Rollover</w:t>
            </w:r>
          </w:p>
        </w:tc>
        <w:tc>
          <w:p>
            <w:pPr>
              <w:pStyle w:val="Compact"/>
              <w:jc w:val="left"/>
            </w:pPr>
            <w:r>
              <w:t xml:space="preserve">N/A</w:t>
            </w:r>
          </w:p>
        </w:tc>
        <w:tc>
          <w:p>
            <w:pPr>
              <w:pStyle w:val="Compact"/>
              <w:jc w:val="left"/>
            </w:pPr>
            <w:r>
              <w:t xml:space="preserve">None — resets monthly, no accumulation</w:t>
            </w:r>
          </w:p>
        </w:tc>
      </w:tr>
      <w:tr>
        <w:tc>
          <w:p>
            <w:pPr>
              <w:pStyle w:val="Compact"/>
              <w:jc w:val="left"/>
            </w:pPr>
            <w:r>
              <w:t xml:space="preserve">Access model</w:t>
            </w:r>
          </w:p>
        </w:tc>
        <w:tc>
          <w:p>
            <w:pPr>
              <w:pStyle w:val="Compact"/>
              <w:jc w:val="left"/>
            </w:pPr>
            <w:r>
              <w:t xml:space="preserve">Unlimited per person</w:t>
            </w:r>
          </w:p>
        </w:tc>
        <w:tc>
          <w:p>
            <w:pPr>
              <w:pStyle w:val="Compact"/>
              <w:jc w:val="left"/>
            </w:pPr>
            <w:r>
              <w:t xml:space="preserve">First-come-first-served against shared pool</w:t>
            </w:r>
          </w:p>
        </w:tc>
      </w:tr>
      <w:tr>
        <w:tc>
          <w:p>
            <w:pPr>
              <w:pStyle w:val="Compact"/>
              <w:jc w:val="left"/>
            </w:pPr>
            <w:r>
              <w:t xml:space="preserve">Admin badge</w:t>
            </w:r>
          </w:p>
        </w:tc>
        <w:tc>
          <w:p>
            <w:pPr>
              <w:pStyle w:val="Compact"/>
              <w:jc w:val="left"/>
            </w:pPr>
            <w:r>
              <w:t xml:space="preserve">🟣</w:t>
            </w:r>
          </w:p>
        </w:tc>
        <w:tc>
          <w:p>
            <w:pPr>
              <w:pStyle w:val="Compact"/>
              <w:jc w:val="left"/>
            </w:pPr>
            <w:r>
              <w:t xml:space="preserve">🟢</w:t>
            </w:r>
          </w:p>
        </w:tc>
      </w:tr>
      <w:tr>
        <w:tc>
          <w:p>
            <w:pPr>
              <w:pStyle w:val="Compact"/>
              <w:jc w:val="left"/>
            </w:pPr>
            <w:r>
              <w:t xml:space="preserve">Pipeline analytics</w:t>
            </w:r>
          </w:p>
        </w:tc>
        <w:tc>
          <w:p>
            <w:pPr>
              <w:pStyle w:val="Compact"/>
              <w:jc w:val="left"/>
            </w:pPr>
            <w:r>
              <w:t xml:space="preserve">Excluded</w:t>
            </w:r>
          </w:p>
        </w:tc>
        <w:tc>
          <w:p>
            <w:pPr>
              <w:pStyle w:val="Compact"/>
              <w:jc w:val="left"/>
            </w:pPr>
            <w:r>
              <w:t xml:space="preserve">Included</w:t>
            </w:r>
          </w:p>
        </w:tc>
      </w:tr>
      <w:tr>
        <w:tc>
          <w:p>
            <w:pPr>
              <w:pStyle w:val="Compact"/>
              <w:jc w:val="left"/>
            </w:pPr>
            <w:r>
              <w:t xml:space="preserve">Vendor payments</w:t>
            </w:r>
          </w:p>
        </w:tc>
        <w:tc>
          <w:p>
            <w:pPr>
              <w:pStyle w:val="Compact"/>
              <w:jc w:val="left"/>
            </w:pPr>
            <w:r>
              <w:t xml:space="preserve">Pay normally (3% fee applies)</w:t>
            </w:r>
          </w:p>
        </w:tc>
        <w:tc>
          <w:p>
            <w:pPr>
              <w:pStyle w:val="Compact"/>
              <w:jc w:val="left"/>
            </w:pPr>
            <w:r>
              <w:t xml:space="preserve">Pay normally (3% fee applies)</w:t>
            </w:r>
          </w:p>
        </w:tc>
      </w:tr>
    </w:tbl>
    <w:p>
      <w:pPr>
        <w:pStyle w:val="Heading2"/>
      </w:pPr>
      <w:bookmarkStart w:id="52" w:name="internal-expense-tracking-v1-v2"/>
      <w:r>
        <w:t xml:space="preserve">11. Internal Expense Tracking (V1 → V2)</w:t>
      </w:r>
      <w:bookmarkEnd w:id="52"/>
    </w:p>
    <w:p>
      <w:pPr>
        <w:pStyle w:val="Heading3"/>
      </w:pPr>
      <w:bookmarkStart w:id="53" w:name="v1-platform-service-expenses"/>
      <w:r>
        <w:t xml:space="preserve">V1: Platform service expenses</w:t>
      </w:r>
      <w:bookmarkEnd w:id="53"/>
    </w:p>
    <w:p>
      <w:pPr>
        <w:pStyle w:val="FirstParagraph"/>
      </w:pPr>
      <w:r>
        <w:t xml:space="preserve">The admin console surfaces a</w:t>
      </w:r>
      <w:r>
        <w:t xml:space="preserve"> </w:t>
      </w:r>
      <w:r>
        <w:rPr>
          <w:b/>
        </w:rPr>
        <w:t xml:space="preserve">Platform Expense</w:t>
      </w:r>
      <w:r>
        <w:t xml:space="preserve"> </w:t>
      </w:r>
      <w:r>
        <w:t xml:space="preserve">dashboard tracking what Setnayan pays for external services (Cloudflare R2, Supabase, Daily.co for video, etc.) per month. Alerts trigger when a category exceeds threshold. Ops Lead reviews monthly.</w:t>
      </w:r>
    </w:p>
    <w:p>
      <w:pPr>
        <w:pStyle w:val="Heading3"/>
      </w:pPr>
      <w:bookmarkStart w:id="54" w:name="v2-team-operational-costs"/>
      <w:r>
        <w:t xml:space="preserve">V2: Team &amp; operational costs</w:t>
      </w:r>
      <w:bookmarkEnd w:id="54"/>
    </w:p>
    <w:p>
      <w:pPr>
        <w:pStyle w:val="FirstParagraph"/>
      </w:pPr>
      <w:r>
        <w:t xml:space="preserve">Adds team-cost tracking (Setnayan Team payroll, contractor invoices, on-site visit reimbursements, mediation goodwill credits issued). Same alert structure; Ops Lead + finance reviews monthly.</w:t>
      </w:r>
    </w:p>
    <w:p>
      <w:pPr>
        <w:pStyle w:val="BodyText"/>
      </w:pPr>
      <w:r>
        <w:t xml:space="preserve">Both phases keep the cost data internal — never visible to customers or vendors.</w:t>
      </w:r>
    </w:p>
    <w:p>
      <w:r>
        <w:pict>
          <v:rect style="width:0;height:1.5pt" o:hralign="center" o:hrstd="t" o:hr="t"/>
        </w:pict>
      </w:r>
    </w:p>
    <w:p>
      <w:pPr>
        <w:pStyle w:val="Heading2"/>
      </w:pPr>
      <w:bookmarkStart w:id="55" w:name="vendors-acknowledgment"/>
      <w:r>
        <w:t xml:space="preserve">12. Vendor’s Acknowledgment</w:t>
      </w:r>
      <w:bookmarkEnd w:id="55"/>
    </w:p>
    <w:p>
      <w:pPr>
        <w:pStyle w:val="FirstParagraph"/>
      </w:pPr>
      <w:r>
        <w:t xml:space="preserve">By accepting this Agreement, the vendor confirms:</w:t>
      </w:r>
    </w:p>
    <w:p>
      <w:pPr>
        <w:numPr>
          <w:ilvl w:val="0"/>
          <w:numId w:val="1025"/>
        </w:numPr>
        <w:pStyle w:val="Compact"/>
      </w:pPr>
      <w:r>
        <w:t xml:space="preserve">They have read all sections 1–11</w:t>
      </w:r>
    </w:p>
    <w:p>
      <w:pPr>
        <w:numPr>
          <w:ilvl w:val="0"/>
          <w:numId w:val="1025"/>
        </w:numPr>
        <w:pStyle w:val="Compact"/>
      </w:pPr>
      <w:r>
        <w:t xml:space="preserve">They will operate their Setnayan-listed services in compliance with these terms</w:t>
      </w:r>
    </w:p>
    <w:p>
      <w:pPr>
        <w:numPr>
          <w:ilvl w:val="0"/>
          <w:numId w:val="1025"/>
        </w:numPr>
        <w:pStyle w:val="Compact"/>
      </w:pPr>
      <w:r>
        <w:t xml:space="preserve">They understand that violation of any term may result in tier downgrade, suspension, or removal</w:t>
      </w:r>
    </w:p>
    <w:p>
      <w:pPr>
        <w:numPr>
          <w:ilvl w:val="0"/>
          <w:numId w:val="1025"/>
        </w:numPr>
        <w:pStyle w:val="Compact"/>
      </w:pPr>
      <w:r>
        <w:t xml:space="preserve">They consent to having their submitted data verified by Setnayan Team and stored for the duration of their active listing plus 5 years after delisting</w:t>
      </w:r>
    </w:p>
    <w:p>
      <w:pPr>
        <w:numPr>
          <w:ilvl w:val="0"/>
          <w:numId w:val="1025"/>
        </w:numPr>
        <w:pStyle w:val="Compact"/>
      </w:pPr>
      <w:r>
        <w:t xml:space="preserve">They consent to mediation by Setnayan in any vendor-customer dispute</w:t>
      </w:r>
    </w:p>
    <w:p>
      <w:pPr>
        <w:numPr>
          <w:ilvl w:val="0"/>
          <w:numId w:val="1025"/>
        </w:numPr>
        <w:pStyle w:val="Compact"/>
      </w:pPr>
      <w:r>
        <w:t xml:space="preserve">They understand that this Agreement supersedes any prior informal arrangement and is binding upon acceptance</w:t>
      </w:r>
    </w:p>
    <w:p>
      <w:pPr>
        <w:pStyle w:val="FirstParagraph"/>
      </w:pPr>
      <w:r>
        <w:rPr>
          <w:b/>
        </w:rPr>
        <w:t xml:space="preserve">Vendor signs:</w:t>
      </w:r>
      <w:r>
        <w:t xml:space="preserve"> </w:t>
      </w:r>
      <w:r>
        <w:t xml:space="preserve">☐ _________________________________ Date: __________</w:t>
      </w:r>
    </w:p>
    <w:p>
      <w:pPr>
        <w:pStyle w:val="BodyText"/>
      </w:pPr>
      <w:r>
        <w:rPr>
          <w:b/>
        </w:rPr>
        <w:t xml:space="preserve">Setnayan Team signs:</w:t>
      </w:r>
      <w:r>
        <w:t xml:space="preserve"> </w:t>
      </w:r>
      <w:r>
        <w:t xml:space="preserve">☐ _________________________________ Date: __________</w:t>
      </w:r>
    </w:p>
    <w:p>
      <w:pPr>
        <w:pStyle w:val="Heading3"/>
      </w:pPr>
      <w:bookmarkStart w:id="56" w:name="X9cdc34a4666baef495ad3366ca3bf26e0a2bb78"/>
      <w:r>
        <w:t xml:space="preserve">12.1 Signing mechanics — manual in V1, digital in V1.5 (locked 2026-05-12)</w:t>
      </w:r>
      <w:bookmarkEnd w:id="56"/>
    </w:p>
    <w:p>
      <w:pPr>
        <w:pStyle w:val="FirstParagraph"/>
      </w:pPr>
      <w:r>
        <w:t xml:space="preserve">For V1 launch, vendor signing of this Agreement is handled</w:t>
      </w:r>
      <w:r>
        <w:t xml:space="preserve"> </w:t>
      </w:r>
      <w:r>
        <w:rPr>
          <w:b/>
        </w:rPr>
        <w:t xml:space="preserve">manually</w:t>
      </w:r>
      <w:r>
        <w:t xml:space="preserve">:</w:t>
      </w:r>
    </w:p>
    <w:p>
      <w:pPr>
        <w:numPr>
          <w:ilvl w:val="0"/>
          <w:numId w:val="1026"/>
        </w:numPr>
        <w:pStyle w:val="Compact"/>
      </w:pPr>
      <w:r>
        <w:t xml:space="preserve">After a vendor’s</w:t>
      </w:r>
      <w:r>
        <w:t xml:space="preserve"> </w:t>
      </w:r>
      <w:r>
        <w:rPr>
          <w:rStyle w:val="VerbatimChar"/>
        </w:rPr>
        <w:t xml:space="preserve">/register-vendor</w:t>
      </w:r>
      <w:r>
        <w:t xml:space="preserve"> </w:t>
      </w:r>
      <w:r>
        <w:t xml:space="preserve">application is approved and the on-site visit (for Certified tier) is complete, Setnayan Team emails the vendor a</w:t>
      </w:r>
      <w:r>
        <w:t xml:space="preserve"> </w:t>
      </w:r>
      <w:r>
        <w:rPr>
          <w:b/>
        </w:rPr>
        <w:t xml:space="preserve">PDF copy of this Agreement</w:t>
      </w:r>
      <w:r>
        <w:t xml:space="preserve"> </w:t>
      </w:r>
      <w:r>
        <w:t xml:space="preserve">signed by Setnayan Team</w:t>
      </w:r>
    </w:p>
    <w:p>
      <w:pPr>
        <w:numPr>
          <w:ilvl w:val="0"/>
          <w:numId w:val="1026"/>
        </w:numPr>
        <w:pStyle w:val="Compact"/>
      </w:pPr>
      <w:r>
        <w:t xml:space="preserve">Vendor prints, signs, scans (or photographs), and emails back the signed PDF to vendor-onboarding@setnayan.com</w:t>
      </w:r>
    </w:p>
    <w:p>
      <w:pPr>
        <w:numPr>
          <w:ilvl w:val="0"/>
          <w:numId w:val="1026"/>
        </w:numPr>
        <w:pStyle w:val="Compact"/>
      </w:pPr>
      <w:r>
        <w:t xml:space="preserve">Setnayan Team stores the signed PDF in R2 bucket</w:t>
      </w:r>
      <w:r>
        <w:t xml:space="preserve"> </w:t>
      </w:r>
      <w:r>
        <w:rPr>
          <w:rStyle w:val="VerbatimChar"/>
        </w:rPr>
        <w:t xml:space="preserve">setnayan-vendor-contracts</w:t>
      </w:r>
      <w:r>
        <w:t xml:space="preserve"> </w:t>
      </w:r>
      <w:r>
        <w:t xml:space="preserve">under key</w:t>
      </w:r>
      <w:r>
        <w:t xml:space="preserve"> </w:t>
      </w:r>
      <w:r>
        <w:rPr>
          <w:rStyle w:val="VerbatimChar"/>
        </w:rPr>
        <w:t xml:space="preserve">vendors/{vendor_id}/signed_agreement_{date}.pdf</w:t>
      </w:r>
    </w:p>
    <w:p>
      <w:pPr>
        <w:numPr>
          <w:ilvl w:val="0"/>
          <w:numId w:val="1026"/>
        </w:numPr>
        <w:pStyle w:val="Compact"/>
      </w:pPr>
      <w:r>
        <w:t xml:space="preserve">Vendor verification status flips to fully-onboarded once the signed PDF is filed</w:t>
      </w:r>
    </w:p>
    <w:p>
      <w:pPr>
        <w:numPr>
          <w:ilvl w:val="0"/>
          <w:numId w:val="1026"/>
        </w:numPr>
        <w:pStyle w:val="Compact"/>
      </w:pPr>
      <w:r>
        <w:t xml:space="preserve">Counter-signature (Setnayan Team co-signing the vendor’s returned PDF) is optional in V1 — the Setnayan-signed copy sent in step 1 is the binding document</w:t>
      </w:r>
    </w:p>
    <w:p>
      <w:pPr>
        <w:pStyle w:val="FirstParagraph"/>
      </w:pPr>
      <w:r>
        <w:t xml:space="preserve">The signed PDF is auditable via the admin console under the vendor’s profile (</w:t>
      </w:r>
      <w:r>
        <w:rPr>
          <w:rStyle w:val="VerbatimChar"/>
        </w:rPr>
        <w:t xml:space="preserve">vendors.signed_agreement_r2_key TEXT</w:t>
      </w:r>
      <w:r>
        <w:t xml:space="preserve"> </w:t>
      </w:r>
      <w:r>
        <w:t xml:space="preserve">column on the</w:t>
      </w:r>
      <w:r>
        <w:t xml:space="preserve"> </w:t>
      </w:r>
      <w:r>
        <w:rPr>
          <w:rStyle w:val="VerbatimChar"/>
        </w:rPr>
        <w:t xml:space="preserve">vendors</w:t>
      </w:r>
      <w:r>
        <w:t xml:space="preserve"> </w:t>
      </w:r>
      <w:r>
        <w:t xml:space="preserve">table). The schema column is added in V1 so the migration to digital signing is non-breaking.</w:t>
      </w:r>
    </w:p>
    <w:p>
      <w:pPr>
        <w:pStyle w:val="BodyText"/>
      </w:pPr>
      <w:r>
        <w:rPr>
          <w:b/>
        </w:rPr>
        <w:t xml:space="preserve">V1.5 digital signing plan</w:t>
      </w:r>
      <w:r>
        <w:t xml:space="preserve"> </w:t>
      </w:r>
      <w:r>
        <w:t xml:space="preserve">(deferred · not blocking V1 launch):</w:t>
      </w:r>
    </w:p>
    <w:p>
      <w:pPr>
        <w:numPr>
          <w:ilvl w:val="0"/>
          <w:numId w:val="1027"/>
        </w:numPr>
        <w:pStyle w:val="Compact"/>
      </w:pPr>
      <w:r>
        <w:t xml:space="preserve">Integrate with a PH-tested e-signature provider (PandaDoc or DocuSign — both have PH legal acceptance + audit trail with IP/timestamp/email-verify)</w:t>
      </w:r>
    </w:p>
    <w:p>
      <w:pPr>
        <w:numPr>
          <w:ilvl w:val="0"/>
          <w:numId w:val="1027"/>
        </w:numPr>
        <w:pStyle w:val="Compact"/>
      </w:pPr>
      <w:r>
        <w:t xml:space="preserve">Vendor signs in-app via embedded widget; binding signature with audit trail</w:t>
      </w:r>
    </w:p>
    <w:p>
      <w:pPr>
        <w:numPr>
          <w:ilvl w:val="0"/>
          <w:numId w:val="1027"/>
        </w:numPr>
        <w:pStyle w:val="Compact"/>
      </w:pPr>
      <w:r>
        <w:t xml:space="preserve">Setnayan Team auto-counter-signs on approval</w:t>
      </w:r>
    </w:p>
    <w:p>
      <w:pPr>
        <w:numPr>
          <w:ilvl w:val="0"/>
          <w:numId w:val="1027"/>
        </w:numPr>
        <w:pStyle w:val="Compact"/>
      </w:pPr>
      <w:r>
        <w:t xml:space="preserve">Replaces the manual PDF-email loop with a single in-app flow</w:t>
      </w:r>
    </w:p>
    <w:p>
      <w:pPr>
        <w:pStyle w:val="FirstParagraph"/>
      </w:pPr>
      <w:r>
        <w:t xml:space="preserve">Until V1.5 ships, the manual workflow above is the binding ratification path. Both methods (manual signed PDF or future digital signature) satisfy the binding-acceptance requirement of § 12.</w:t>
      </w:r>
    </w:p>
    <w:p>
      <w:r>
        <w:pict>
          <v:rect style="width:0;height:1.5pt" o:hralign="center" o:hrstd="t" o:hr="t"/>
        </w:pict>
      </w:r>
    </w:p>
    <w:p>
      <w:pPr>
        <w:pStyle w:val="FirstParagraph"/>
      </w:pPr>
      <w:r>
        <w:rPr>
          <w:i/>
        </w:rPr>
        <w:t xml:space="preserve">Setnayan reserves the right to update this Agreement. Material changes require 30 days’ written notice to all active vendors. Continued use of the platform after the notice period constitutes acceptance of the updated terms.</w:t>
      </w:r>
    </w:p>
    <w:p>
      <w:pPr>
        <w:pStyle w:val="BodyText"/>
      </w:pPr>
      <w:r>
        <w:rPr>
          <w:i/>
        </w:rPr>
        <w:t xml:space="preserve">Filipino-language translation will be made available; in case of conflict between English and Filipino versions, the English version governs.</w:t>
      </w:r>
    </w:p>
    <w:p>
      <w:pPr>
        <w:pStyle w:val="BodyText"/>
      </w:pPr>
      <w:r>
        <w:rPr>
          <w:i/>
        </w:rPr>
        <w:t xml:space="preserve">Questions or clarifications: legal@setnayan.com</w:t>
      </w:r>
    </w:p>
    <w:p>
      <w:r>
        <w:pict>
          <v:rect style="width:0;height:1.5pt" o:hralign="center" o:hrstd="t" o:hr="t"/>
        </w:pict>
      </w:r>
    </w:p>
    <w:p>
      <w:pPr>
        <w:pStyle w:val="Heading2"/>
      </w:pPr>
      <w:bookmarkStart w:id="57" w:name="appendix-a-linked-iterations"/>
      <w:r>
        <w:t xml:space="preserve">Appendix A — Linked iterations</w:t>
      </w:r>
      <w:bookmarkEnd w:id="57"/>
    </w:p>
    <w:p>
      <w:pPr>
        <w:numPr>
          <w:ilvl w:val="0"/>
          <w:numId w:val="1028"/>
        </w:numPr>
        <w:pStyle w:val="Compact"/>
      </w:pPr>
      <w:r>
        <w:rPr>
          <w:b/>
        </w:rPr>
        <w:t xml:space="preserve">0006 Vendors Management</w:t>
      </w:r>
      <w:r>
        <w:t xml:space="preserve"> </w:t>
      </w:r>
      <w:r>
        <w:t xml:space="preserve">— vendor profile schema, milestones, meetings</w:t>
      </w:r>
    </w:p>
    <w:p>
      <w:pPr>
        <w:numPr>
          <w:ilvl w:val="0"/>
          <w:numId w:val="1028"/>
        </w:numPr>
        <w:pStyle w:val="Compact"/>
      </w:pPr>
      <w:r>
        <w:rPr>
          <w:b/>
        </w:rPr>
        <w:t xml:space="preserve">0007 Budget &amp; Expenses</w:t>
      </w:r>
      <w:r>
        <w:t xml:space="preserve"> </w:t>
      </w:r>
      <w:r>
        <w:t xml:space="preserve">— customer’s payment ledger that consumes vendor pricing</w:t>
      </w:r>
    </w:p>
    <w:p>
      <w:pPr>
        <w:numPr>
          <w:ilvl w:val="0"/>
          <w:numId w:val="1028"/>
        </w:numPr>
        <w:pStyle w:val="Compact"/>
      </w:pPr>
      <w:r>
        <w:rPr>
          <w:b/>
        </w:rPr>
        <w:t xml:space="preserve">0015 Marketing Site</w:t>
      </w:r>
      <w:r>
        <w:t xml:space="preserve"> </w:t>
      </w:r>
      <w:r>
        <w:t xml:space="preserve">—</w:t>
      </w:r>
      <w:r>
        <w:t xml:space="preserve"> </w:t>
      </w:r>
      <w:r>
        <w:rPr>
          <w:rStyle w:val="VerbatimChar"/>
        </w:rPr>
        <w:t xml:space="preserve">/register-vendor</w:t>
      </w:r>
      <w:r>
        <w:t xml:space="preserve"> </w:t>
      </w:r>
      <w:r>
        <w:t xml:space="preserve">form intake</w:t>
      </w:r>
    </w:p>
    <w:p>
      <w:pPr>
        <w:numPr>
          <w:ilvl w:val="0"/>
          <w:numId w:val="1028"/>
        </w:numPr>
        <w:pStyle w:val="Compact"/>
      </w:pPr>
      <w:r>
        <w:rPr>
          <w:b/>
        </w:rPr>
        <w:t xml:space="preserve">0022 Vendor Dashboard</w:t>
      </w:r>
      <w:r>
        <w:t xml:space="preserve"> </w:t>
      </w:r>
      <w:r>
        <w:t xml:space="preserve">— Vendor Pro Weekly + Sponsored Boost + Extended Pins</w:t>
      </w:r>
    </w:p>
    <w:p>
      <w:pPr>
        <w:numPr>
          <w:ilvl w:val="0"/>
          <w:numId w:val="1028"/>
        </w:numPr>
        <w:pStyle w:val="Compact"/>
      </w:pPr>
      <w:r>
        <w:rPr>
          <w:b/>
        </w:rPr>
        <w:t xml:space="preserve">0023 Admin Console</w:t>
      </w:r>
      <w:r>
        <w:t xml:space="preserve"> </w:t>
      </w:r>
      <w:r>
        <w:t xml:space="preserve">— Verification queue, Payments reconciliation, Disputes, Comp Gifts, Pricing, Settings</w:t>
      </w:r>
    </w:p>
    <w:p>
      <w:pPr>
        <w:numPr>
          <w:ilvl w:val="0"/>
          <w:numId w:val="1028"/>
        </w:numPr>
        <w:pStyle w:val="Compact"/>
      </w:pPr>
      <w:r>
        <w:rPr>
          <w:b/>
        </w:rPr>
        <w:t xml:space="preserve">0024 Save-the-Date Video Maker</w:t>
      </w:r>
      <w:r>
        <w:t xml:space="preserve"> </w:t>
      </w:r>
      <w:r>
        <w:t xml:space="preserve">— example of in-app service vendor bundles can include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2026-05-12T08:29:46Z</dcterms:created>
  <dcterms:modified xsi:type="dcterms:W3CDTF">2026-05-12T08:29:46Z</dcterms:modified>
</cp:coreProperties>
</file>

<file path=docProps/custom.xml><?xml version="1.0" encoding="utf-8"?>
<Properties xmlns="http://schemas.openxmlformats.org/officeDocument/2006/custom-properties" xmlns:vt="http://schemas.openxmlformats.org/officeDocument/2006/docPropsVTypes"/>
</file>