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STRATEGIC ANALYSIS</w:t>
      </w:r>
    </w:p>
    <w:p>
      <w:pPr>
        <w:spacing w:after="120" w:before="60"/>
      </w:pPr>
      <w:r>
        <w:rPr>
          <w:b/>
          <w:bCs/>
          <w:color w:val="1F3A5F"/>
          <w:sz w:val="72"/>
          <w:szCs w:val="72"/>
        </w:rPr>
        <w:t xml:space="preserve">SWOT Analysis</w:t>
      </w:r>
    </w:p>
    <w:p>
      <w:pPr>
        <w:pBdr>
          <w:bottom w:val="single" w:color="C9A961" w:sz="18" w:space="6"/>
        </w:pBdr>
        <w:spacing w:after="240" w:before="0"/>
      </w:pPr>
      <w:r>
        <w:t xml:space="preserve"/>
      </w:r>
    </w:p>
    <w:p>
      <w:pPr>
        <w:spacing w:after="360" w:before="60"/>
      </w:pPr>
      <w:r>
        <w:rPr>
          <w:i/>
          <w:iCs/>
          <w:color w:val="2E2E2E"/>
          <w:sz w:val="32"/>
          <w:szCs w:val="32"/>
        </w:rPr>
        <w:t xml:space="preserve">Strengths, weaknesses, opportunities, threats — and the strategic moves they imply.</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Strategic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How To Read This Document</w:t>
      </w:r>
    </w:p>
    <w:p>
      <w:pPr>
        <w:spacing w:after="100" w:before="60" w:line="320"/>
        <w:jc w:val="both"/>
      </w:pPr>
      <w:r>
        <w:t>This SWOT is a strategic instrument, not a checklist. Each quadrant is paired with the strategic implication it suggests. The TOWS matrix at the end converts the four quadrants into eight concrete moves — the actions Setnayan should take in the next 12 months because of what the SWOT reveals.</w:t>
      </w:r>
    </w:p>
    <w:p>
      <w:pPr>
        <w:spacing w:after="100" w:before="60" w:line="320"/>
        <w:jc w:val="both"/>
      </w:pPr>
      <w:r>
        <w:t>All data points are grounded in the Setnayan V1 Specification (Version 1.91, May 2026), public Philippine wedding industry research, and the competitive analysis published alongside this document.</w:t>
      </w:r>
    </w:p>
    <w:p>
      <w:r>
        <w:br w:type="page"/>
      </w:r>
    </w:p>
    <w:p>
      <w:pPr>
        <w:pStyle w:val="Heading1"/>
      </w:pPr>
      <w:r>
        <w:t xml:space="preserve">2. SWOT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4"/>
              <w:left w:val="single" w:color="166534" w:sz="4"/>
              <w:bottom w:val="single" w:color="166534" w:sz="4"/>
              <w:right w:val="single" w:color="166534" w:sz="4"/>
            </w:tcBorders>
            <w:shd w:fill="E8EFE6" w:val="clear"/>
            <w:tcMar>
              <w:top w:type="dxa" w:w="200"/>
              <w:left w:type="dxa" w:w="240"/>
              <w:bottom w:type="dxa" w:w="200"/>
              <w:right w:type="dxa" w:w="240"/>
            </w:tcMar>
          </w:tcPr>
          <w:p>
            <w:pPr>
              <w:spacing w:after="120" w:before="0"/>
            </w:pPr>
            <w:r>
              <w:rPr>
                <w:b/>
                <w:bCs/>
                <w:caps/>
                <w:color w:val="166534"/>
                <w:spacing w:val="80"/>
                <w:sz w:val="28"/>
                <w:szCs w:val="28"/>
              </w:rPr>
              <w:t xml:space="preserve">Strengths</w:t>
            </w:r>
          </w:p>
          <w:p>
            <w:pPr>
              <w:pStyle w:val="ListParagraph"/>
              <w:numPr>
                <w:ilvl w:val="0"/>
                <w:numId w:val="2"/>
              </w:numPr>
              <w:spacing w:after="40" w:before="40" w:line="280"/>
            </w:pPr>
            <w:r>
              <w:rPr>
                <w:color w:val="1A1A1A"/>
                <w:sz w:val="20"/>
                <w:szCs w:val="20"/>
              </w:rPr>
              <w:t xml:space="preserve">QR-based guest identity is a structural moat. Once a guest is QR-bound, every product surface works without re-onboarding.</w:t>
            </w:r>
          </w:p>
          <w:p>
            <w:pPr>
              <w:pStyle w:val="ListParagraph"/>
              <w:numPr>
                <w:ilvl w:val="0"/>
                <w:numId w:val="2"/>
              </w:numPr>
              <w:spacing w:after="40" w:before="40" w:line="280"/>
            </w:pPr>
            <w:r>
              <w:rPr>
                <w:color w:val="1A1A1A"/>
                <w:sz w:val="20"/>
                <w:szCs w:val="20"/>
              </w:rPr>
              <w:t xml:space="preserve">Catholic-first localization: Pre-Cana, banns, Ninongs/Ninangs, parish docs, arras — built into the default flow.</w:t>
            </w:r>
          </w:p>
          <w:p>
            <w:pPr>
              <w:pStyle w:val="ListParagraph"/>
              <w:numPr>
                <w:ilvl w:val="0"/>
                <w:numId w:val="2"/>
              </w:numPr>
              <w:spacing w:after="40" w:before="40" w:line="280"/>
            </w:pPr>
            <w:r>
              <w:rPr>
                <w:color w:val="1A1A1A"/>
                <w:sz w:val="20"/>
                <w:szCs w:val="20"/>
              </w:rPr>
              <w:t xml:space="preserve">Bilingual EN + Tagalog UI from V1.</w:t>
            </w:r>
          </w:p>
          <w:p>
            <w:pPr>
              <w:pStyle w:val="ListParagraph"/>
              <w:numPr>
                <w:ilvl w:val="0"/>
                <w:numId w:val="2"/>
              </w:numPr>
              <w:spacing w:after="40" w:before="40" w:line="280"/>
            </w:pPr>
            <w:r>
              <w:rPr>
                <w:color w:val="1A1A1A"/>
                <w:sz w:val="20"/>
                <w:szCs w:val="20"/>
              </w:rPr>
              <w:t xml:space="preserve">PHP-native pricing, GCash/Maya/PayMongo payments, transparent pricing menu (no quote-gating).</w:t>
            </w:r>
          </w:p>
          <w:p>
            <w:pPr>
              <w:pStyle w:val="ListParagraph"/>
              <w:numPr>
                <w:ilvl w:val="0"/>
                <w:numId w:val="2"/>
              </w:numPr>
              <w:spacing w:after="40" w:before="40" w:line="280"/>
            </w:pPr>
            <w:r>
              <w:rPr>
                <w:color w:val="1A1A1A"/>
                <w:sz w:val="20"/>
                <w:szCs w:val="20"/>
              </w:rPr>
              <w:t xml:space="preserve">Free tier deliberately generous — drives viral guest-to-couple loop.</w:t>
            </w:r>
          </w:p>
          <w:p>
            <w:pPr>
              <w:pStyle w:val="ListParagraph"/>
              <w:numPr>
                <w:ilvl w:val="0"/>
                <w:numId w:val="2"/>
              </w:numPr>
              <w:spacing w:after="40" w:before="40" w:line="280"/>
            </w:pPr>
            <w:r>
              <w:rPr>
                <w:color w:val="1A1A1A"/>
                <w:sz w:val="20"/>
                <w:szCs w:val="20"/>
              </w:rPr>
              <w:t xml:space="preserve">End-to-end scope: planning + day-of operations + post-event memory layer in one product.</w:t>
            </w:r>
          </w:p>
          <w:p>
            <w:pPr>
              <w:pStyle w:val="ListParagraph"/>
              <w:numPr>
                <w:ilvl w:val="0"/>
                <w:numId w:val="2"/>
              </w:numPr>
              <w:spacing w:after="40" w:before="40" w:line="280"/>
            </w:pPr>
            <w:r>
              <w:rPr>
                <w:color w:val="1A1A1A"/>
                <w:sz w:val="20"/>
                <w:szCs w:val="20"/>
              </w:rPr>
              <w:t xml:space="preserve">Privacy-first by construction: no facial recognition; opt-in geo-tagging; DPA 2012 compliance budgeted into V1.</w:t>
            </w:r>
          </w:p>
          <w:p>
            <w:pPr>
              <w:pStyle w:val="ListParagraph"/>
              <w:numPr>
                <w:ilvl w:val="0"/>
                <w:numId w:val="2"/>
              </w:numPr>
              <w:spacing w:after="40" w:before="40" w:line="280"/>
            </w:pPr>
            <w:r>
              <w:rPr>
                <w:color w:val="1A1A1A"/>
                <w:sz w:val="20"/>
                <w:szCs w:val="20"/>
              </w:rPr>
              <w:t xml:space="preserve">Compounding guest CRM: every paid wedding adds ~100 candidate future couples to the platform.</w:t>
            </w:r>
          </w:p>
        </w:tc>
        <w:tc>
          <w:tcPr>
            <w:tcW w:type="dxa" w:w="4680"/>
            <w:tcBorders>
              <w:top w:val="single" w:color="B45309" w:sz="4"/>
              <w:left w:val="single" w:color="B45309" w:sz="4"/>
              <w:bottom w:val="single" w:color="B45309" w:sz="4"/>
              <w:right w:val="single" w:color="B45309" w:sz="4"/>
            </w:tcBorders>
            <w:shd w:fill="F5E6E0" w:val="clear"/>
            <w:tcMar>
              <w:top w:type="dxa" w:w="200"/>
              <w:left w:type="dxa" w:w="240"/>
              <w:bottom w:type="dxa" w:w="200"/>
              <w:right w:type="dxa" w:w="240"/>
            </w:tcMar>
          </w:tcPr>
          <w:p>
            <w:pPr>
              <w:spacing w:after="120" w:before="0"/>
            </w:pPr>
            <w:r>
              <w:rPr>
                <w:b/>
                <w:bCs/>
                <w:caps/>
                <w:color w:val="B45309"/>
                <w:spacing w:val="80"/>
                <w:sz w:val="28"/>
                <w:szCs w:val="28"/>
              </w:rPr>
              <w:t xml:space="preserve">Weaknesses</w:t>
            </w:r>
          </w:p>
          <w:p>
            <w:pPr>
              <w:pStyle w:val="ListParagraph"/>
              <w:numPr>
                <w:ilvl w:val="0"/>
                <w:numId w:val="2"/>
              </w:numPr>
              <w:spacing w:after="40" w:before="40" w:line="280"/>
            </w:pPr>
            <w:r>
              <w:rPr>
                <w:color w:val="1A1A1A"/>
                <w:sz w:val="20"/>
                <w:szCs w:val="20"/>
              </w:rPr>
              <w:t xml:space="preserve">Pre-revenue, pre-launch — no operational track record.</w:t>
            </w:r>
          </w:p>
          <w:p>
            <w:pPr>
              <w:pStyle w:val="ListParagraph"/>
              <w:numPr>
                <w:ilvl w:val="0"/>
                <w:numId w:val="2"/>
              </w:numPr>
              <w:spacing w:after="40" w:before="40" w:line="280"/>
            </w:pPr>
            <w:r>
              <w:rPr>
                <w:color w:val="1A1A1A"/>
                <w:sz w:val="20"/>
                <w:szCs w:val="20"/>
              </w:rPr>
              <w:t xml:space="preserve">Small team (assumed founding squad); execution risk is high relative to scope.</w:t>
            </w:r>
          </w:p>
          <w:p>
            <w:pPr>
              <w:pStyle w:val="ListParagraph"/>
              <w:numPr>
                <w:ilvl w:val="0"/>
                <w:numId w:val="2"/>
              </w:numPr>
              <w:spacing w:after="40" w:before="40" w:line="280"/>
            </w:pPr>
            <w:r>
              <w:rPr>
                <w:color w:val="1A1A1A"/>
                <w:sz w:val="20"/>
                <w:szCs w:val="20"/>
              </w:rPr>
              <w:t xml:space="preserve">Single-market dependency on the Philippines in V1; macro shocks hit directly.</w:t>
            </w:r>
          </w:p>
          <w:p>
            <w:pPr>
              <w:pStyle w:val="ListParagraph"/>
              <w:numPr>
                <w:ilvl w:val="0"/>
                <w:numId w:val="2"/>
              </w:numPr>
              <w:spacing w:after="40" w:before="40" w:line="280"/>
            </w:pPr>
            <w:r>
              <w:rPr>
                <w:color w:val="1A1A1A"/>
                <w:sz w:val="20"/>
                <w:szCs w:val="20"/>
              </w:rPr>
              <w:t xml:space="preserve">MVP scope is large for 4–6 month build — requires disciplined cut decisions.</w:t>
            </w:r>
          </w:p>
          <w:p>
            <w:pPr>
              <w:pStyle w:val="ListParagraph"/>
              <w:numPr>
                <w:ilvl w:val="0"/>
                <w:numId w:val="2"/>
              </w:numPr>
              <w:spacing w:after="40" w:before="40" w:line="280"/>
            </w:pPr>
            <w:r>
              <w:rPr>
                <w:color w:val="1A1A1A"/>
                <w:sz w:val="20"/>
                <w:szCs w:val="20"/>
              </w:rPr>
              <w:t xml:space="preserve">Vendor marketplace deferred to V2 — no supplier flywheel in Year 1.</w:t>
            </w:r>
          </w:p>
          <w:p>
            <w:pPr>
              <w:pStyle w:val="ListParagraph"/>
              <w:numPr>
                <w:ilvl w:val="0"/>
                <w:numId w:val="2"/>
              </w:numPr>
              <w:spacing w:after="40" w:before="40" w:line="280"/>
            </w:pPr>
            <w:r>
              <w:rPr>
                <w:color w:val="1A1A1A"/>
                <w:sz w:val="20"/>
                <w:szCs w:val="20"/>
              </w:rPr>
              <w:t xml:space="preserve">Brand recognition is zero; competing against The Knot, Joy, Kasal.com that already have organic search dominance.</w:t>
            </w:r>
          </w:p>
          <w:p>
            <w:pPr>
              <w:pStyle w:val="ListParagraph"/>
              <w:numPr>
                <w:ilvl w:val="0"/>
                <w:numId w:val="2"/>
              </w:numPr>
              <w:spacing w:after="40" w:before="40" w:line="280"/>
            </w:pPr>
            <w:r>
              <w:rPr>
                <w:color w:val="1A1A1A"/>
                <w:sz w:val="20"/>
                <w:szCs w:val="20"/>
              </w:rPr>
              <w:t xml:space="preserve">Mobile-first product means iOS/Android quality bar must be met from launch — no graceful degradation.</w:t>
            </w:r>
          </w:p>
          <w:p>
            <w:pPr>
              <w:pStyle w:val="ListParagraph"/>
              <w:numPr>
                <w:ilvl w:val="0"/>
                <w:numId w:val="2"/>
              </w:numPr>
              <w:spacing w:after="40" w:before="40" w:line="280"/>
            </w:pPr>
            <w:r>
              <w:rPr>
                <w:color w:val="1A1A1A"/>
                <w:sz w:val="20"/>
                <w:szCs w:val="20"/>
              </w:rPr>
              <w:t xml:space="preserve">Reliance on payment processors (PayMongo, GCash) introduces a single-point-of-failure for revenue.</w:t>
            </w:r>
          </w:p>
        </w:tc>
      </w:tr>
      <w:tr>
        <w:tc>
          <w:tcPr>
            <w:tcW w:type="dxa" w:w="4680"/>
            <w:tcBorders>
              <w:top w:val="single" w:color="C9A961" w:sz="4"/>
              <w:left w:val="single" w:color="C9A961" w:sz="4"/>
              <w:bottom w:val="single" w:color="C9A961" w:sz="4"/>
              <w:right w:val="single" w:color="C9A961" w:sz="4"/>
            </w:tcBorders>
            <w:shd w:fill="F0E4C0" w:val="clear"/>
            <w:tcMar>
              <w:top w:type="dxa" w:w="200"/>
              <w:left w:type="dxa" w:w="240"/>
              <w:bottom w:type="dxa" w:w="200"/>
              <w:right w:type="dxa" w:w="240"/>
            </w:tcMar>
          </w:tcPr>
          <w:p>
            <w:pPr>
              <w:spacing w:after="120" w:before="0"/>
            </w:pPr>
            <w:r>
              <w:rPr>
                <w:b/>
                <w:bCs/>
                <w:caps/>
                <w:color w:val="C9A961"/>
                <w:spacing w:val="80"/>
                <w:sz w:val="28"/>
                <w:szCs w:val="28"/>
              </w:rPr>
              <w:t xml:space="preserve">Opportunities</w:t>
            </w:r>
          </w:p>
          <w:p>
            <w:pPr>
              <w:pStyle w:val="ListParagraph"/>
              <w:numPr>
                <w:ilvl w:val="0"/>
                <w:numId w:val="2"/>
              </w:numPr>
              <w:spacing w:after="40" w:before="40" w:line="280"/>
            </w:pPr>
            <w:r>
              <w:rPr>
                <w:color w:val="1A1A1A"/>
                <w:sz w:val="20"/>
                <w:szCs w:val="20"/>
              </w:rPr>
              <w:t xml:space="preserve">370,000+ PH weddings/year × ~PHP 250K avg budget ≈ ~PHP 93B addressable spend annually.</w:t>
            </w:r>
          </w:p>
          <w:p>
            <w:pPr>
              <w:pStyle w:val="ListParagraph"/>
              <w:numPr>
                <w:ilvl w:val="0"/>
                <w:numId w:val="2"/>
              </w:numPr>
              <w:spacing w:after="40" w:before="40" w:line="280"/>
            </w:pPr>
            <w:r>
              <w:rPr>
                <w:color w:val="1A1A1A"/>
                <w:sz w:val="20"/>
                <w:szCs w:val="20"/>
              </w:rPr>
              <w:t xml:space="preserve">Cebu named ‘Asia's Leading Wedding Destination’ 2024 — destination wedding tailwind for premium tier and Pro Event.</w:t>
            </w:r>
          </w:p>
          <w:p>
            <w:pPr>
              <w:pStyle w:val="ListParagraph"/>
              <w:numPr>
                <w:ilvl w:val="0"/>
                <w:numId w:val="2"/>
              </w:numPr>
              <w:spacing w:after="40" w:before="40" w:line="280"/>
            </w:pPr>
            <w:r>
              <w:rPr>
                <w:color w:val="1A1A1A"/>
                <w:sz w:val="20"/>
                <w:szCs w:val="20"/>
              </w:rPr>
              <w:t>Micro-weddings are the fastest growing PH wedding format — perfect fit for Setnayan's Free + Essentials tiers.</w:t>
            </w:r>
          </w:p>
          <w:p>
            <w:pPr>
              <w:pStyle w:val="ListParagraph"/>
              <w:numPr>
                <w:ilvl w:val="0"/>
                <w:numId w:val="2"/>
              </w:numPr>
              <w:spacing w:after="40" w:before="40" w:line="280"/>
            </w:pPr>
            <w:r>
              <w:rPr>
                <w:color w:val="1A1A1A"/>
                <w:sz w:val="20"/>
                <w:szCs w:val="20"/>
              </w:rPr>
              <w:t xml:space="preserve">83.8% PH internet penetration; Filipinos average 54 hrs/week digital media — second highest globally.</w:t>
            </w:r>
          </w:p>
          <w:p>
            <w:pPr>
              <w:pStyle w:val="ListParagraph"/>
              <w:numPr>
                <w:ilvl w:val="0"/>
                <w:numId w:val="2"/>
              </w:numPr>
              <w:spacing w:after="40" w:before="40" w:line="280"/>
            </w:pPr>
            <w:r>
              <w:rPr>
                <w:color w:val="1A1A1A"/>
                <w:sz w:val="20"/>
                <w:szCs w:val="20"/>
              </w:rPr>
              <w:t xml:space="preserve">Civil ceremonies now 42.9% of PH weddings — Catholic-only V1 has space to expand into multi-religion in V1.5.</w:t>
            </w:r>
          </w:p>
          <w:p>
            <w:pPr>
              <w:pStyle w:val="ListParagraph"/>
              <w:numPr>
                <w:ilvl w:val="0"/>
                <w:numId w:val="2"/>
              </w:numPr>
              <w:spacing w:after="40" w:before="40" w:line="280"/>
            </w:pPr>
            <w:r>
              <w:rPr>
                <w:color w:val="1A1A1A"/>
                <w:sz w:val="20"/>
                <w:szCs w:val="20"/>
              </w:rPr>
              <w:t xml:space="preserve">Vendor marketplace expansion in V2 unlocks 5%/₱2,000-flat commission revenue without new couple-acquisition cost.</w:t>
            </w:r>
          </w:p>
          <w:p>
            <w:pPr>
              <w:pStyle w:val="ListParagraph"/>
              <w:numPr>
                <w:ilvl w:val="0"/>
                <w:numId w:val="2"/>
              </w:numPr>
              <w:spacing w:after="40" w:before="40" w:line="280"/>
            </w:pPr>
            <w:r>
              <w:rPr>
                <w:color w:val="1A1A1A"/>
                <w:sz w:val="20"/>
                <w:szCs w:val="20"/>
              </w:rPr>
              <w:t xml:space="preserve">Adjacent event types (birthdays, baptisms, debuts, corporate) — same QR identity model extends naturally.</w:t>
            </w:r>
          </w:p>
          <w:p>
            <w:pPr>
              <w:pStyle w:val="ListParagraph"/>
              <w:numPr>
                <w:ilvl w:val="0"/>
                <w:numId w:val="2"/>
              </w:numPr>
              <w:spacing w:after="40" w:before="40" w:line="280"/>
            </w:pPr>
            <w:r>
              <w:rPr>
                <w:color w:val="1A1A1A"/>
                <w:sz w:val="20"/>
                <w:szCs w:val="20"/>
              </w:rPr>
              <w:t xml:space="preserve">Southeast Asia regional expansion pathway: Indonesia, Vietnam, Malaysia, Singapore have similar wedding cultures.</w:t>
            </w:r>
          </w:p>
          <w:p>
            <w:pPr>
              <w:pStyle w:val="ListParagraph"/>
              <w:numPr>
                <w:ilvl w:val="0"/>
                <w:numId w:val="2"/>
              </w:numPr>
              <w:spacing w:after="40" w:before="40" w:line="280"/>
            </w:pPr>
            <w:r>
              <w:rPr>
                <w:color w:val="1A1A1A"/>
                <w:sz w:val="20"/>
                <w:szCs w:val="20"/>
              </w:rPr>
              <w:t xml:space="preserve">Compounding loop: guest-to-couple conversion at 2% in 24 months = ~3,000 future weddings from Year 1 cohort alone.</w:t>
            </w:r>
          </w:p>
        </w:tc>
        <w:tc>
          <w:tcPr>
            <w:tcW w:type="dxa" w:w="4680"/>
            <w:tcBorders>
              <w:top w:val="single" w:color="B45309" w:sz="4"/>
              <w:left w:val="single" w:color="B45309" w:sz="4"/>
              <w:bottom w:val="single" w:color="B45309" w:sz="4"/>
              <w:right w:val="single" w:color="B45309" w:sz="4"/>
            </w:tcBorders>
            <w:shd w:fill="F4F1EB" w:val="clear"/>
            <w:tcMar>
              <w:top w:type="dxa" w:w="200"/>
              <w:left w:type="dxa" w:w="240"/>
              <w:bottom w:type="dxa" w:w="200"/>
              <w:right w:type="dxa" w:w="240"/>
            </w:tcMar>
          </w:tcPr>
          <w:p>
            <w:pPr>
              <w:spacing w:after="120" w:before="0"/>
            </w:pPr>
            <w:r>
              <w:rPr>
                <w:b/>
                <w:bCs/>
                <w:caps/>
                <w:color w:val="B45309"/>
                <w:spacing w:val="80"/>
                <w:sz w:val="28"/>
                <w:szCs w:val="28"/>
              </w:rPr>
              <w:t xml:space="preserve">Threats</w:t>
            </w:r>
          </w:p>
          <w:p>
            <w:pPr>
              <w:pStyle w:val="ListParagraph"/>
              <w:numPr>
                <w:ilvl w:val="0"/>
                <w:numId w:val="2"/>
              </w:numPr>
              <w:spacing w:after="40" w:before="40" w:line="280"/>
            </w:pPr>
            <w:r>
              <w:rPr>
                <w:color w:val="1A1A1A"/>
                <w:sz w:val="20"/>
                <w:szCs w:val="20"/>
              </w:rPr>
              <w:t xml:space="preserve">Joy or Zola launches a localized PH version (low–medium probability, high impact).</w:t>
            </w:r>
          </w:p>
          <w:p>
            <w:pPr>
              <w:pStyle w:val="ListParagraph"/>
              <w:numPr>
                <w:ilvl w:val="0"/>
                <w:numId w:val="2"/>
              </w:numPr>
              <w:spacing w:after="40" w:before="40" w:line="280"/>
            </w:pPr>
            <w:r>
              <w:rPr>
                <w:color w:val="1A1A1A"/>
                <w:sz w:val="20"/>
                <w:szCs w:val="20"/>
              </w:rPr>
              <w:t xml:space="preserve">WedPlanner.ph or another local incumbent adds QR identity (medium probability).</w:t>
            </w:r>
          </w:p>
          <w:p>
            <w:pPr>
              <w:pStyle w:val="ListParagraph"/>
              <w:numPr>
                <w:ilvl w:val="0"/>
                <w:numId w:val="2"/>
              </w:numPr>
              <w:spacing w:after="40" w:before="40" w:line="280"/>
            </w:pPr>
            <w:r>
              <w:rPr>
                <w:color w:val="1A1A1A"/>
                <w:sz w:val="20"/>
                <w:szCs w:val="20"/>
              </w:rPr>
              <w:t xml:space="preserve">Bridestory expands from marketplace into planning OS (medium-term threat).</w:t>
            </w:r>
          </w:p>
          <w:p>
            <w:pPr>
              <w:pStyle w:val="ListParagraph"/>
              <w:numPr>
                <w:ilvl w:val="0"/>
                <w:numId w:val="2"/>
              </w:numPr>
              <w:spacing w:after="40" w:before="40" w:line="280"/>
            </w:pPr>
            <w:r>
              <w:rPr>
                <w:color w:val="1A1A1A"/>
                <w:sz w:val="20"/>
                <w:szCs w:val="20"/>
              </w:rPr>
              <w:t xml:space="preserve">Apple or Google add native event-photo + tagging features (low probability, very high impact).</w:t>
            </w:r>
          </w:p>
          <w:p>
            <w:pPr>
              <w:pStyle w:val="ListParagraph"/>
              <w:numPr>
                <w:ilvl w:val="0"/>
                <w:numId w:val="2"/>
              </w:numPr>
              <w:spacing w:after="40" w:before="40" w:line="280"/>
            </w:pPr>
            <w:r>
              <w:rPr>
                <w:color w:val="1A1A1A"/>
                <w:sz w:val="20"/>
                <w:szCs w:val="20"/>
              </w:rPr>
              <w:t xml:space="preserve">PSA wedding registrations are declining: 449K (2022) → 414K (2023) → ~372K (2024). Market is shrinking even as tech penetration grows.</w:t>
            </w:r>
          </w:p>
          <w:p>
            <w:pPr>
              <w:pStyle w:val="ListParagraph"/>
              <w:numPr>
                <w:ilvl w:val="0"/>
                <w:numId w:val="2"/>
              </w:numPr>
              <w:spacing w:after="40" w:before="40" w:line="280"/>
            </w:pPr>
            <w:r>
              <w:rPr>
                <w:color w:val="1A1A1A"/>
                <w:sz w:val="20"/>
                <w:szCs w:val="20"/>
              </w:rPr>
              <w:t xml:space="preserve">PH peso volatility against USD increases cloud infrastructure costs.</w:t>
            </w:r>
          </w:p>
          <w:p>
            <w:pPr>
              <w:pStyle w:val="ListParagraph"/>
              <w:numPr>
                <w:ilvl w:val="0"/>
                <w:numId w:val="2"/>
              </w:numPr>
              <w:spacing w:after="40" w:before="40" w:line="280"/>
            </w:pPr>
            <w:r>
              <w:rPr>
                <w:color w:val="1A1A1A"/>
                <w:sz w:val="20"/>
                <w:szCs w:val="20"/>
              </w:rPr>
              <w:t xml:space="preserve">DPA 2012 enforcement intensifies — a compliance failure is existential.</w:t>
            </w:r>
          </w:p>
          <w:p>
            <w:pPr>
              <w:pStyle w:val="ListParagraph"/>
              <w:numPr>
                <w:ilvl w:val="0"/>
                <w:numId w:val="2"/>
              </w:numPr>
              <w:spacing w:after="40" w:before="40" w:line="280"/>
            </w:pPr>
            <w:r>
              <w:rPr>
                <w:color w:val="1A1A1A"/>
                <w:sz w:val="20"/>
                <w:szCs w:val="20"/>
              </w:rPr>
              <w:t xml:space="preserve">Photo storage costs scale linearly with users; unmanaged free tier could break unit economics.</w:t>
            </w:r>
          </w:p>
          <w:p>
            <w:pPr>
              <w:pStyle w:val="ListParagraph"/>
              <w:numPr>
                <w:ilvl w:val="0"/>
                <w:numId w:val="2"/>
              </w:numPr>
              <w:spacing w:after="40" w:before="40" w:line="280"/>
            </w:pPr>
            <w:r>
              <w:rPr>
                <w:color w:val="1A1A1A"/>
                <w:sz w:val="20"/>
                <w:szCs w:val="20"/>
              </w:rPr>
              <w:t xml:space="preserve">Wedding spending is discretionary and recession-sensitive.</w:t>
            </w:r>
          </w:p>
          <w:p>
            <w:pPr>
              <w:pStyle w:val="ListParagraph"/>
              <w:numPr>
                <w:ilvl w:val="0"/>
                <w:numId w:val="2"/>
              </w:numPr>
              <w:spacing w:after="40" w:before="40" w:line="280"/>
            </w:pPr>
            <w:r>
              <w:rPr>
                <w:color w:val="1A1A1A"/>
                <w:sz w:val="20"/>
                <w:szCs w:val="20"/>
              </w:rPr>
              <w:t xml:space="preserve">Family pressure / WhatsApp / Viber are deeply embedded substitutes with zero switching cost.</w:t>
            </w:r>
          </w:p>
        </w:tc>
      </w:tr>
    </w:tbl>
    <w:p>
      <w:pPr>
        <w:spacing w:after="200" w:before="0"/>
      </w:pPr>
      <w:r>
        <w:t xml:space="preserve"/>
      </w:r>
    </w:p>
    <w:p>
      <w:pPr>
        <w:pStyle w:val="Caption"/>
      </w:pPr>
      <w:r>
        <w:t xml:space="preserve">Read top-to-bottom: internal factors above, external factors below. Read left-to-right: positive factors left, negative factors right.</w:t>
      </w:r>
    </w:p>
    <w:p>
      <w:r>
        <w:br w:type="page"/>
      </w:r>
    </w:p>
    <w:p>
      <w:pPr>
        <w:pStyle w:val="Heading1"/>
      </w:pPr>
      <w:r>
        <w:t xml:space="preserve">3. Strengths — Deep Dive</w:t>
      </w:r>
    </w:p>
    <w:p>
      <w:pPr>
        <w:pStyle w:val="Heading2"/>
      </w:pPr>
      <w:r>
        <w:t xml:space="preserve">3.1 QR Guest Identity As Architectural Moat</w:t>
      </w:r>
    </w:p>
    <w:p>
      <w:pPr>
        <w:spacing w:after="100" w:before="60" w:line="320"/>
        <w:jc w:val="both"/>
      </w:pPr>
      <w:r>
        <w:t>Every Setnayan guest is issued a unique, signed QR token at invitation time. That token is the same identity used for login, RSVP, photo tagging, table check-in, service activation, and post-event album access. The architectural decision to make identity a first-class object — rather than treating photos, RSVP, and check-in as separate systems — is what makes Setnayan's integrated experience possible. Competitors who started as photo apps or website builders cannot replicate this without rewriting their data model.</w:t>
      </w:r>
    </w:p>
    <w:p>
      <w:pPr>
        <w:pStyle w:val="Heading2"/>
      </w:pPr>
      <w:r>
        <w:t xml:space="preserve">3.2 Filipino-First Localization</w:t>
      </w:r>
    </w:p>
    <w:p>
      <w:pPr>
        <w:spacing w:after="100" w:before="60" w:line="320"/>
        <w:jc w:val="both"/>
      </w:pPr>
      <w:r>
        <w:t>Localization for Setnayan is not translation. The V1 specification builds in Catholic-specific Pre-Cana / Discovery Weekend tasks, banns of marriage scheduling, parish documentation requirements (Baptismal Certificate, Confirmation Certificate, CENOMAR), Ninongs/Ninangs management, arras-coin keepsakes, and PHP-native budget categories tuned to Hizon's-tier catering quotes. Joy, The Knot, Zola, and Appy Couple cannot retrofit this without a sustained PH product investment, and PH is not a priority market for them.</w:t>
      </w:r>
    </w:p>
    <w:p>
      <w:pPr>
        <w:pStyle w:val="Heading2"/>
      </w:pPr>
      <w:r>
        <w:t xml:space="preserve">3.3 Compounding Guest CRM</w:t>
      </w:r>
    </w:p>
    <w:p>
      <w:pPr>
        <w:spacing w:after="100" w:before="60" w:line="320"/>
        <w:jc w:val="both"/>
      </w:pPr>
      <w:r>
        <w:t>Every guest at a Setnayan wedding becomes a permanent account holder. With 1,500 paid weddings × ~100 guests in Year 1, that is approximately 150,000 candidate future couples. At a 2% guest-to-couple conversion within 24 months, the Year 1 cohort produces roughly 3,000 future weddings — approximately ₱19.5M of compounding revenue. No competitor has this loop because no competitor has built guest identity as the primary acquisition surface.</w:t>
      </w:r>
    </w:p>
    <w:p>
      <w:pPr>
        <w:pStyle w:val="Heading2"/>
      </w:pPr>
      <w:r>
        <w:t xml:space="preserve">3.4 Privacy-First by Construction</w:t>
      </w:r>
    </w:p>
    <w:p>
      <w:pPr>
        <w:spacing w:after="100" w:before="60" w:line="320"/>
        <w:jc w:val="both"/>
      </w:pPr>
      <w:r>
        <w:t>V1 ships with no facial recognition, opt-in geo-tagging, on-event-only retention windows, NPC registration as a Personal Information Controller, and a designated Data Protection Officer. As global wedding tech faces increasing scrutiny on biometric data, Setnayan's privacy posture is a defensive moat as well as a marketing message — particularly for upper-mid and luxury weddings where guest VIPs are increasingly privacy-conscious.</w:t>
      </w:r>
    </w:p>
    <w:p>
      <w:pPr>
        <w:pStyle w:val="Heading2"/>
      </w:pPr>
      <w:r>
        <w:t xml:space="preserve">3.5 Aligned-Incentive Pricing</w:t>
      </w:r>
    </w:p>
    <w:p>
      <w:pPr>
        <w:spacing w:after="100" w:before="60" w:line="320"/>
        <w:jc w:val="both"/>
      </w:pPr>
      <w:r>
        <w:t>Digital QR is free for every guest at every tier, forever. Couples pay one base price per event with optional add-ons. This eliminates the most common SaaS objection — ‘why am I paying every month for a one-time event?’ — and turns Setnayan's pricing page into a marketing asset rather than a friction point. The Lifetime Access tier (₱3,999) becomes the highest-margin product because it converts emotion into pure software margin.</w:t>
      </w:r>
    </w:p>
    <w:p>
      <w:r>
        <w:br w:type="page"/>
      </w:r>
    </w:p>
    <w:p>
      <w:pPr>
        <w:pStyle w:val="Heading1"/>
      </w:pPr>
      <w:r>
        <w:t xml:space="preserve">4. Weaknesses — Honest Assessment</w:t>
      </w:r>
    </w:p>
    <w:p>
      <w:pPr>
        <w:pStyle w:val="Heading2"/>
      </w:pPr>
      <w:r>
        <w:t xml:space="preserve">4.1 Execution Risk Vs Scope</w:t>
      </w:r>
    </w:p>
    <w:p>
      <w:pPr>
        <w:spacing w:after="100" w:before="60" w:line="320"/>
        <w:jc w:val="both"/>
      </w:pPr>
      <w:r>
        <w:t xml:space="preserve">V1 covers couple planning + guest experience + day-of operations across iOS, Android, and web in two languages, with QR identity, photo tagging, real-time coordinator dashboard, and a four-tier pricing model with a deep add-on catalog. This is a large MVP for a 4–6 month build. The risk is not whether the team can build it — it is whether the team can build it fast enough that a fast-following competitor cannot catch up. Scope discipline is a survival requirement, not a project-management nicety.</w:t>
      </w:r>
    </w:p>
    <w:p>
      <w:pPr>
        <w:pStyle w:val="Heading2"/>
      </w:pPr>
      <w:r>
        <w:t xml:space="preserve">4.2 Brand Recognition From Zero</w:t>
      </w:r>
    </w:p>
    <w:p>
      <w:pPr>
        <w:spacing w:after="100" w:before="60" w:line="320"/>
        <w:jc w:val="both"/>
      </w:pPr>
      <w:r>
        <w:t>Joy, The Knot, Zola, and Bridestory have organic search dominance in PH for queries like ‘wedding planning app Philippines.’ Kasal.com owns ‘Filipino wedding directory.’ WedPlanner.ph has the brand-recognition slot for ‘Filipino wedding planning tool.’ Setnayan starts at zero. Marketing budget will need to be larger than a typical bootstrapped PH startup spends in Year 1, and brand-building cycles will run in parallel with product builds.</w:t>
      </w:r>
    </w:p>
    <w:p>
      <w:pPr>
        <w:pStyle w:val="Heading2"/>
      </w:pPr>
      <w:r>
        <w:t xml:space="preserve">4.3 Single-Market Dependency</w:t>
      </w:r>
    </w:p>
    <w:p>
      <w:pPr>
        <w:spacing w:after="100" w:before="60" w:line="320"/>
        <w:jc w:val="both"/>
      </w:pPr>
      <w:r>
        <w:t xml:space="preserve">V1 launches in the Philippines only. PH-specific risks (currency volatility, NPC enforcement actions, macro shocks, payment processor outages) hit directly without any geographic diversification. The mitigation is to plan SEA expansion into V2's roadmap so the dependency is time-bound, not permanent.</w:t>
      </w:r>
    </w:p>
    <w:p>
      <w:pPr>
        <w:pStyle w:val="Heading2"/>
      </w:pPr>
      <w:r>
        <w:t xml:space="preserve">4.4 Free Tier Photo Storage Risk</w:t>
      </w:r>
    </w:p>
    <w:p>
      <w:pPr>
        <w:spacing w:after="100" w:before="60" w:line="320"/>
        <w:jc w:val="both"/>
      </w:pPr>
      <w:r>
        <w:t xml:space="preserve">Free tier couples cost ~₱150–300 each in cloud and compute. With aggressive free-tier growth, those costs scale linearly with users while revenue is concentrated in paid couples. If free-to-paid conversion underperforms, the unit economics on the free side break before the guest-to-couple loop matures. Tight monitoring of free tier cost-per-event is mandatory in months 1–6.</w:t>
      </w:r>
    </w:p>
    <w:p>
      <w:pPr>
        <w:pStyle w:val="Heading2"/>
      </w:pPr>
      <w:r>
        <w:t xml:space="preserve">4.5 Vendor-Side Cold Start In V2</w:t>
      </w:r>
    </w:p>
    <w:p>
      <w:pPr>
        <w:spacing w:after="100" w:before="60" w:line="320"/>
        <w:jc w:val="both"/>
      </w:pPr>
      <w:r>
        <w:t>Setnayan defers the marketplace to V2, which is the right call for V1 focus. But it means in Year 2, Setnayan will need to bootstrap a vendor flywheel from zero, while Bridestory, Kasal, and Eventory have been compounding theirs. The mitigation is to begin vendor partnerships as channels in V1 (Hizon's, top photographers, top venues) so vendor relationships exist before the marketplace technically launches.</w:t>
      </w:r>
    </w:p>
    <w:p>
      <w:r>
        <w:br w:type="page"/>
      </w:r>
    </w:p>
    <w:p>
      <w:pPr>
        <w:pStyle w:val="Heading1"/>
      </w:pPr>
      <w:r>
        <w:t>5. Opportunities — Where The Wind Is At Setnayan's Back</w:t>
      </w:r>
    </w:p>
    <w:p>
      <w:pPr>
        <w:pStyle w:val="Heading2"/>
      </w:pPr>
      <w:r>
        <w:t xml:space="preserve">5.1 Large, Underdigitized Market</w:t>
      </w:r>
    </w:p>
    <w:p>
      <w:pPr>
        <w:spacing w:after="100" w:before="60" w:line="320"/>
        <w:jc w:val="both"/>
      </w:pPr>
      <w:r>
        <w:t>371,825 PH marriages in 2024 with an average mid-market wedding budget of ₱500K–₱1.5M means the addressable wedding spend is roughly ₱93–₱185 billion annually. Even capturing a ~1% share of weddings as paid Setnayan customers yields ~3,700 events × ~₱6,500 net per event = ~₱24M in Year 2 alone. The market is large enough that Setnayan's success does not require dominating it.</w:t>
      </w:r>
    </w:p>
    <w:p>
      <w:pPr>
        <w:pStyle w:val="Heading2"/>
      </w:pPr>
      <w:r>
        <w:t xml:space="preserve">5.2 Destination Wedding Tailwind</w:t>
      </w:r>
    </w:p>
    <w:p>
      <w:pPr>
        <w:spacing w:after="100" w:before="60" w:line="320"/>
        <w:jc w:val="both"/>
      </w:pPr>
      <w:r>
        <w:t>Cebu was named Asia's Leading Wedding Destination at the World Travel Awards 2024, dethroning Bali after a five-year run. Boracay holds Asia's Leading Luxury Island Destination. El Nido (Apulit Island) was named Asia's Leading Sustainable Resort. These accolades drive an inbound wave of destination bookings — exactly the segment that maps to Setnayan's Pro Event tier and Photo Team add-ons.</w:t>
      </w:r>
    </w:p>
    <w:p>
      <w:pPr>
        <w:pStyle w:val="Heading2"/>
      </w:pPr>
      <w:r>
        <w:t xml:space="preserve">5.3 Civil &amp; Intimate Wedding Shift</w:t>
      </w:r>
    </w:p>
    <w:p>
      <w:pPr>
        <w:spacing w:after="100" w:before="60" w:line="320"/>
        <w:jc w:val="both"/>
      </w:pPr>
      <w:r>
        <w:t>Catholic-rite weddings dropped to 31.4% of PH marriages in 2023, while civil ceremonies sat at 42.9%. Combined with the EightProductions observation that micro-weddings are ‘the fastest growing wedding trend at the moment’ in PH, this signals a structural migration toward smaller, more intentional weddings — exactly the profile Setnayan's Free and Essentials tiers serve cleanly.</w:t>
      </w:r>
    </w:p>
    <w:p>
      <w:pPr>
        <w:pStyle w:val="Heading2"/>
      </w:pPr>
      <w:r>
        <w:t xml:space="preserve">5.4 Adjacent Event Types</w:t>
      </w:r>
    </w:p>
    <w:p>
      <w:pPr>
        <w:spacing w:after="100" w:before="60" w:line="320"/>
        <w:jc w:val="both"/>
      </w:pPr>
      <w:r>
        <w:t>The QR identity model extends naturally to baptisms, debuts, birthdays, corporate launches, and grand openings. V3+ pivots into adjacent events without rebuilding the identity layer. Each adjacent event type triples or quadruples Setnayan's TAM.</w:t>
      </w:r>
    </w:p>
    <w:p>
      <w:pPr>
        <w:pStyle w:val="Heading2"/>
      </w:pPr>
      <w:r>
        <w:t xml:space="preserve">5.5 Regional SEA Expansion</w:t>
      </w:r>
    </w:p>
    <w:p>
      <w:pPr>
        <w:spacing w:after="100" w:before="60" w:line="320"/>
        <w:jc w:val="both"/>
      </w:pPr>
      <w:r>
        <w:t>Indonesia, Vietnam, Malaysia, and Singapore share enough wedding cultural pattern with the Philippines (large guest counts, multi-day formats, religious-rite variations) that a Setnayan regional play is feasible by V2.5 / V3. Bridestory has already proven there is appetite for SEA-wide wedding tech.</w:t>
      </w:r>
    </w:p>
    <w:p>
      <w:pPr>
        <w:pStyle w:val="Heading2"/>
      </w:pPr>
      <w:r>
        <w:t xml:space="preserve">5.6 Add-On Catalog Margin</w:t>
      </w:r>
    </w:p>
    <w:p>
      <w:pPr>
        <w:spacing w:after="100" w:before="60" w:line="320"/>
        <w:jc w:val="both"/>
      </w:pPr>
      <w:r>
        <w:t xml:space="preserve">Software-margin add-ons — Premium Resolution Pack, Storage Volume tiers, Lifetime Access, AI Highlight Reel — carry 80%+ margin. The base tier is the conversion event; add-ons are where unit economics improve dramatically. With a 60%+ attach rate target on paid couples, the typical paid wedding generates ₱6,000–₱8,500 net rather than the base-only ₱2,100.</w:t>
      </w:r>
    </w:p>
    <w:p>
      <w:r>
        <w:br w:type="page"/>
      </w:r>
    </w:p>
    <w:p>
      <w:pPr>
        <w:pStyle w:val="Heading1"/>
      </w:pPr>
      <w:r>
        <w:t xml:space="preserve">6. Threats — What Could Go Wrong</w:t>
      </w:r>
    </w:p>
    <w:p>
      <w:pPr>
        <w:pStyle w:val="Heading2"/>
      </w:pPr>
      <w:r>
        <w:t xml:space="preserve">6.1 PH Wedding Volume Decline</w:t>
      </w:r>
    </w:p>
    <w:p>
      <w:pPr>
        <w:spacing w:after="100" w:before="60" w:line="320"/>
        <w:jc w:val="both"/>
      </w:pPr>
      <w:r>
        <w:t>PSA data shows registered marriages have declined for two consecutive years: 449,428 (2022) → 414,213 (2023) → 371,825 (2024). The decline is real and meaningful — even if Setnayan captures a larger share, it does so on a shrinking base. Mitigation: lean into adjacent event types earlier than originally planned in the V3 roadmap; accelerate SEA regional expansion to offset PH volume decline.</w:t>
      </w:r>
    </w:p>
    <w:p>
      <w:pPr>
        <w:pStyle w:val="Heading2"/>
      </w:pPr>
      <w:r>
        <w:t xml:space="preserve">6.2 Global Players Localizing</w:t>
      </w:r>
    </w:p>
    <w:p>
      <w:pPr>
        <w:spacing w:after="100" w:before="60" w:line="320"/>
        <w:jc w:val="both"/>
      </w:pPr>
      <w:r>
        <w:t xml:space="preserve">Joy is the most likely entrant if Filipino bride adoption continues to grow. Zola is unlikely to localize because their registry monetization does not work in PH. Bridestory is the most likely SEA player to expand from marketplace into planning OS. The risk is not catastrophic in any single 12-month window, but it raises the urgency of locking in distribution and the guest-CRM moat fast.</w:t>
      </w:r>
    </w:p>
    <w:p>
      <w:pPr>
        <w:pStyle w:val="Heading2"/>
      </w:pPr>
      <w:r>
        <w:t xml:space="preserve">6.3 Apple / Google Platform Risk</w:t>
      </w:r>
    </w:p>
    <w:p>
      <w:pPr>
        <w:spacing w:after="100" w:before="60" w:line="320"/>
        <w:jc w:val="both"/>
      </w:pPr>
      <w:r>
        <w:t>If Apple or Google add native event-photo capture with shared albums, automatic tagging, and post-event compilation, the photo-only competitive layer collapses. Mitigation: Setnayan's moat is the planning + day-of layers, which Apple and Google will not build. Stay anchored on integrated experience, not on photos alone.</w:t>
      </w:r>
    </w:p>
    <w:p>
      <w:pPr>
        <w:pStyle w:val="Heading2"/>
      </w:pPr>
      <w:r>
        <w:t xml:space="preserve">6.4 DPA 2012 Compliance Risk</w:t>
      </w:r>
    </w:p>
    <w:p>
      <w:pPr>
        <w:spacing w:after="100" w:before="60" w:line="320"/>
        <w:jc w:val="both"/>
      </w:pPr>
      <w:r>
        <w:t xml:space="preserve">A NPC enforcement action over a privacy breach would be existential. Privacy is built in from V1 (no facial recognition, opt-in geo-tag, designated DPO) but ongoing operational discipline is required: 72-hour breach notification protocols, regular privacy audits, vendor due diligence on cloud providers.</w:t>
      </w:r>
    </w:p>
    <w:p>
      <w:pPr>
        <w:pStyle w:val="Heading2"/>
      </w:pPr>
      <w:r>
        <w:t xml:space="preserve">6.5 Payment Processor Concentration</w:t>
      </w:r>
    </w:p>
    <w:p>
      <w:pPr>
        <w:spacing w:after="100" w:before="60" w:line="320"/>
        <w:jc w:val="both"/>
      </w:pPr>
      <w:r>
        <w:t xml:space="preserve">PayMongo handles GCash, Maya, cards, InstaPay, and PESONet. A PayMongo outage interrupts couple-side payments. Mitigation: maintain Stripe as a secondary processor for international cards and add a manual bank-transfer fallback for high-value couples.</w:t>
      </w:r>
    </w:p>
    <w:p>
      <w:pPr>
        <w:pStyle w:val="Heading2"/>
      </w:pPr>
      <w:r>
        <w:t xml:space="preserve">6.6 DIY Substitute Improvement</w:t>
      </w:r>
    </w:p>
    <w:p>
      <w:pPr>
        <w:spacing w:after="100" w:before="60" w:line="320"/>
        <w:jc w:val="both"/>
      </w:pPr>
      <w:r>
        <w:t>If Apple Shared Album adds tagging and event timelines, or Google Photos launches an event mode, Setnayan's photo-tier value proposition narrows. The integrated planning + day-of layers remain Setnayan's defensible advantage; never compete on photo features alone.</w:t>
      </w:r>
    </w:p>
    <w:p>
      <w:r>
        <w:br w:type="page"/>
      </w:r>
    </w:p>
    <w:p>
      <w:pPr>
        <w:pStyle w:val="Heading1"/>
      </w:pPr>
      <w:r>
        <w:t xml:space="preserve">7. TOWS Matrix — From Analysis To Action</w:t>
      </w:r>
    </w:p>
    <w:p>
      <w:pPr>
        <w:spacing w:after="100" w:before="60" w:line="320"/>
        <w:jc w:val="both"/>
      </w:pPr>
      <w:r>
        <w:t>The TOWS matrix converts each pairing of internal and external factors into a strategic move. These are the eight things Setnayan should do in the next 12 months because of what the SWOT reveals.</w:t>
      </w:r>
    </w:p>
    <w:p>
      <w:pPr>
        <w:pStyle w:val="Heading2"/>
      </w:pPr>
      <w:r>
        <w:t xml:space="preserve">7.1 SO — Strengths × Opportunities (offensive)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SO-1</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 the QR identity moat to dominate the integrated experience quadrant before any global player localizes. Ship V1 in 5 months, not 7.</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SO-2</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Lean into the destination wedding tailwind. Build a Cebu / Boracay / Tagaytay regional marketing campaign tied to Pro Event tier.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SO-3</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Convert the compounding guest CRM into a tracked KPI from day one. Every monthly review reports guest-to-couple conversion alongside revenue.</w:t>
            </w:r>
          </w:p>
        </w:tc>
      </w:tr>
    </w:tbl>
    <w:p>
      <w:pPr>
        <w:pStyle w:val="Heading2"/>
      </w:pPr>
      <w:r>
        <w:t xml:space="preserve">7.2 ST — Strengths × Threats (defensive)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ST-1</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Lock in distribution via Hizon's Catering, top venues, and major coordinators in months 1–6 so that when Joy or Bridestory localize, Setnayan already owns the supplier-introduction channel.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ST-2</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Publish privacy posture publicly — case studies, NPC registration confirmation, DPO biography. Make Setnayan the obvious choice for privacy-conscious couples.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ST-3</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Bake adjacent-event-type architecture into V1 so that PH wedding volume decline is offset by V3 baptism / debut / corporate expansion within 18 months.</w:t>
            </w:r>
          </w:p>
        </w:tc>
      </w:tr>
    </w:tbl>
    <w:p>
      <w:pPr>
        <w:pStyle w:val="Heading2"/>
      </w:pPr>
      <w:r>
        <w:t xml:space="preserve">7.3 WO — Weaknesses × Opportunities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WO-1</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Fix free-tier unit economics before scaling acquisition. Set a per-free-event cost cap at ₱300 in Q1 2026; build cost-monitoring dashboards before marketing dollars are spent.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WO-2</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Solve the brand-recognition gap via earned media: pitch the QR identity story to Bride and Breakfast PH, Rappler, and Filipino lifestyle podcasts. Earned content costs less than paid ads at this stage.</w:t>
            </w:r>
          </w:p>
        </w:tc>
      </w:tr>
    </w:tbl>
    <w:p>
      <w:pPr>
        <w:pStyle w:val="Heading2"/>
      </w:pPr>
      <w:r>
        <w:t xml:space="preserve">7.4 WT — Weaknesses × Threats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WT-1</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Accept that the V1 scope is large. Run a relentless cut-list discipline — every quarter, identify the lowest-traction feature and reassess its V1 priority.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WT-2</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Diversify payment processor risk. Add a secondary processor for international and a manual bank-transfer fallback before Q3 2026.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WT-3</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Begin vendor relationships in Year 1 even though V2 marketplace launches later — supplier trust takes 12+ months to build, so pre-build before the marketplace technically opens.</w:t>
            </w:r>
          </w:p>
        </w:tc>
      </w:tr>
    </w:tbl>
    <w:p>
      <w:r>
        <w:br w:type="page"/>
      </w:r>
    </w:p>
    <w:p>
      <w:pPr>
        <w:pStyle w:val="Heading1"/>
      </w:pPr>
      <w:r>
        <w:t xml:space="preserve">8. Strategic Implications</w:t>
      </w:r>
    </w:p>
    <w:p>
      <w:pPr>
        <w:spacing w:after="100" w:before="60" w:line="320"/>
        <w:jc w:val="both"/>
      </w:pPr>
      <w:r>
        <w:t>Read together, the SWOT and TOWS produce three strategic conclusions Setnayan should hold as constants regardless of which competitor moves first.</w:t>
      </w:r>
    </w:p>
    <w:p>
      <w:pPr>
        <w:pStyle w:val="ListParagraph"/>
        <w:numPr>
          <w:ilvl w:val="0"/>
          <w:numId w:val="3"/>
        </w:numPr>
        <w:spacing w:after="40" w:before="40" w:line="300"/>
      </w:pPr>
      <w:r>
        <w:t>Speed of execution beats perfection of scope. The QR identity moat is durable only if Setnayan ships before a competitor copies the architecture. Cut features ruthlessly to ship V1 in 5 months.</w:t>
      </w:r>
    </w:p>
    <w:p>
      <w:pPr>
        <w:pStyle w:val="ListParagraph"/>
        <w:numPr>
          <w:ilvl w:val="0"/>
          <w:numId w:val="3"/>
        </w:numPr>
        <w:spacing w:after="40" w:before="40" w:line="300"/>
      </w:pPr>
      <w:r>
        <w:t>Distribution beats product in Year 1. Setnayan's V1 product is excellent; that excellence is wasted if no couple finds the app. Allocate 30–40% of Year 1 budget to distribution: vendor partnerships, earned media, post-event guest marketing, and influencer activations.</w:t>
      </w:r>
    </w:p>
    <w:p>
      <w:pPr>
        <w:pStyle w:val="ListParagraph"/>
        <w:numPr>
          <w:ilvl w:val="0"/>
          <w:numId w:val="3"/>
        </w:numPr>
        <w:spacing w:after="40" w:before="40" w:line="300"/>
      </w:pPr>
      <w:r>
        <w:t xml:space="preserve">The guest layer compounds; the couple layer converts. The Year 1 priority is paying couples (revenue). The Year 2+ compounding is from the guest CRM. Build product and marketing such that every paying couple in Year 1 maximizes the guest-to-couple loop in Year 2.</w:t>
      </w:r>
    </w:p>
    <w:p>
      <w:pPr>
        <w:pStyle w:val="Pullquote"/>
        <w:pBdr>
          <w:top w:val="single" w:color="C9A961" w:sz="8" w:space="6"/>
          <w:bottom w:val="single" w:color="C9A961" w:sz="8" w:space="6"/>
        </w:pBdr>
        <w:spacing w:after="280" w:before="280"/>
      </w:pPr>
      <w:r>
        <w:t>“Setnayan is not the safest bet — the integrated, localized, mobile-first wedding OS does not exist yet for a reason. It is the most defensible bet.”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SWOT ANALYSIS</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SWOT Analysis</dc:title>
  <dc:creator>Setnayan</dc:creator>
  <dc:description>Setnayan — SWOT Analysis</dc:description>
  <cp:lastModifiedBy>Un-named</cp:lastModifiedBy>
  <cp:revision>1</cp:revision>
  <dcterms:created xsi:type="dcterms:W3CDTF">2026-05-06T20:07:04.057Z</dcterms:created>
  <dcterms:modified xsi:type="dcterms:W3CDTF">2026-05-06T20:07:04.058Z</dcterms:modified>
</cp:coreProperties>
</file>

<file path=docProps/custom.xml><?xml version="1.0" encoding="utf-8"?>
<Properties xmlns="http://schemas.openxmlformats.org/officeDocument/2006/custom-properties" xmlns:vt="http://schemas.openxmlformats.org/officeDocument/2006/docPropsVTypes"/>
</file>