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6B7280"/>
          <w:sz w:val="20"/>
          <w:szCs w:val="20"/>
        </w:rPr>
        <w:t>Setnayan App</w:t>
      </w:r>
    </w:p>
    <w:p>
      <w:pPr>
        <w:spacing w:after="100"/>
      </w:pPr>
      <w:r>
        <w:rPr>
          <w:rFonts w:ascii="Calibri" w:cs="Calibri" w:eastAsia="Calibri" w:hAnsi="Calibri"/>
          <w:b/>
          <w:bCs/>
          <w:color w:val="111111"/>
          <w:sz w:val="40"/>
          <w:szCs w:val="40"/>
        </w:rPr>
        <w:t xml:space="preserve">Pricing Audit &amp; Weekly Subscription Strategy</w:t>
      </w:r>
    </w:p>
    <w:p>
      <w:pPr>
        <w:spacing w:after="240"/>
      </w:pPr>
      <w:r>
        <w:rPr>
          <w:rFonts w:ascii="Calibri" w:cs="Calibri" w:eastAsia="Calibri" w:hAnsi="Calibri"/>
          <w:color w:val="6B7280"/>
          <w:sz w:val="20"/>
          <w:szCs w:val="20"/>
        </w:rPr>
        <w:t xml:space="preserve">Prepared for Ice  ·  2026-05-10  ·  V1 build (pre-launch)</w:t>
      </w:r>
    </w:p>
    <w:p>
      <w:pPr>
        <w:pStyle w:val="Heading1"/>
        <w:spacing w:after="120" w:before="200"/>
      </w:pPr>
      <w:r>
        <w:rPr>
          <w:rFonts w:ascii="Calibri" w:cs="Calibri" w:eastAsia="Calibri" w:hAnsi="Calibri"/>
          <w:b/>
          <w:bCs/>
          <w:color w:val="111111"/>
          <w:sz w:val="32"/>
          <w:szCs w:val="32"/>
        </w:rPr>
        <w:t xml:space="preserve">Executive summary</w:t>
      </w:r>
    </w:p>
    <w:p>
      <w:pPr>
        <w:spacing w:after="100"/>
      </w:pPr>
      <w:r>
        <w:rPr>
          <w:rFonts w:ascii="Calibri" w:cs="Calibri" w:eastAsia="Calibri" w:hAnsi="Calibri"/>
          <w:b w:val="false"/>
          <w:bCs w:val="false"/>
          <w:color w:val="111111"/>
          <w:sz w:val="22"/>
          <w:szCs w:val="22"/>
        </w:rPr>
        <w:t xml:space="preserve">Three findings drive this recommendation:</w:t>
      </w:r>
    </w:p>
    <w:p>
      <w:pPr>
        <w:pStyle w:val="ListParagraph"/>
        <w:numPr>
          <w:ilvl w:val="0"/>
          <w:numId w:val="2"/>
        </w:numPr>
        <w:spacing w:after="60"/>
      </w:pPr>
      <w:r>
        <w:rPr>
          <w:rFonts w:ascii="Calibri" w:cs="Calibri" w:eastAsia="Calibri" w:hAnsi="Calibri"/>
          <w:b/>
          <w:bCs/>
          <w:color w:val="111111"/>
          <w:sz w:val="22"/>
          <w:szCs w:val="22"/>
        </w:rPr>
        <w:t xml:space="preserve">1. Pricing is out of sync. </w:t>
      </w:r>
      <w:r>
        <w:rPr>
          <w:rFonts w:ascii="Calibri" w:cs="Calibri" w:eastAsia="Calibri" w:hAnsi="Calibri"/>
          <w:color w:val="111111"/>
          <w:sz w:val="22"/>
          <w:szCs w:val="22"/>
        </w:rPr>
        <w:t xml:space="preserve">00_Pricing_and_Costs.xlsx is dated 2026-05-08 — one full pricing reset behind CLAUDE.md. Eight V1 SKUs added 2026-05-09/10 (Live Stream Base + add-ons, Custom Monogram Pack, Broadcast Style Pack, AI Highlights, Pro Camera Bridge) are missing from the spreadsheet, and seven SKUs in the spreadsheet (3 Pap, 5 Pap, per-Template, Pro widgets, Pro Bundle) carry the pre-token-math prices. The spreadsheet must be reconciled before any pricing decision ships.</w:t>
      </w:r>
    </w:p>
    <w:p>
      <w:pPr>
        <w:pStyle w:val="ListParagraph"/>
        <w:numPr>
          <w:ilvl w:val="0"/>
          <w:numId w:val="2"/>
        </w:numPr>
        <w:spacing w:after="60"/>
      </w:pPr>
      <w:r>
        <w:rPr>
          <w:rFonts w:ascii="Calibri" w:cs="Calibri" w:eastAsia="Calibri" w:hAnsi="Calibri"/>
          <w:b/>
          <w:bCs/>
          <w:color w:val="111111"/>
          <w:sz w:val="22"/>
          <w:szCs w:val="22"/>
        </w:rPr>
        <w:t xml:space="preserve">2. Vendors do not have any paid SKU in V1. </w:t>
      </w:r>
      <w:r>
        <w:rPr>
          <w:rFonts w:ascii="Calibri" w:cs="Calibri" w:eastAsia="Calibri" w:hAnsi="Calibri"/>
          <w:color w:val="111111"/>
          <w:sz w:val="22"/>
          <w:szCs w:val="22"/>
        </w:rPr>
        <w:t>Per the 0006 spec and the vendor-benefits doc, vendors are couple-managed records only. The vendor-facing dashboard, lead gen, and paid placements all live in Din (Phase 3, ~6–9 months post-V1). Any subscription pricing for vendors is therefore a roadmap line item, not a V1 SKU.</w:t>
      </w:r>
    </w:p>
    <w:p>
      <w:pPr>
        <w:pStyle w:val="ListParagraph"/>
        <w:numPr>
          <w:ilvl w:val="0"/>
          <w:numId w:val="2"/>
        </w:numPr>
        <w:spacing w:after="60"/>
      </w:pPr>
      <w:r>
        <w:rPr>
          <w:rFonts w:ascii="Calibri" w:cs="Calibri" w:eastAsia="Calibri" w:hAnsi="Calibri"/>
          <w:b/>
          <w:bCs/>
          <w:color w:val="111111"/>
          <w:sz w:val="22"/>
          <w:szCs w:val="22"/>
        </w:rPr>
        <w:t xml:space="preserve">3. Couples are structurally not a subscription audience. </w:t>
      </w:r>
      <w:r>
        <w:rPr>
          <w:rFonts w:ascii="Calibri" w:cs="Calibri" w:eastAsia="Calibri" w:hAnsi="Calibri"/>
          <w:color w:val="111111"/>
          <w:sz w:val="22"/>
          <w:szCs w:val="22"/>
        </w:rPr>
        <w:t>A Filipino wedding is a one-time event with a hard end date. Token wallet (iteration 0003) already captures planning-period revenue with bonus-token mechanics (5–25% bonus on bigger packs) and pull-forward economics. Replacing it with weekly billing would punish couples on the median 4–8 month planning horizon and break the apparatus pricing rule. The right move is a hybrid: keep tokens for couples, layer a weekly subscription on top for wedding planners, and reserve a vendor subscription tier for Din.</w:t>
      </w:r>
    </w:p>
    <w:p>
      <w:pPr>
        <w:spacing w:after="200" w:before="100"/>
      </w:pPr>
      <w:r>
        <w:rPr>
          <w:rFonts w:ascii="Calibri" w:cs="Calibri" w:eastAsia="Calibri" w:hAnsi="Calibri"/>
          <w:b w:val="false"/>
          <w:bCs w:val="false"/>
          <w:color w:val="111111"/>
          <w:sz w:val="22"/>
          <w:szCs w:val="22"/>
        </w:rPr>
        <w:t xml:space="preserve">The full audit and the recommended pricing structure follow.</w:t>
      </w:r>
    </w:p>
    <w:p>
      <w:pPr>
        <w:pStyle w:val="Heading1"/>
        <w:spacing w:after="120" w:before="200"/>
      </w:pPr>
      <w:r>
        <w:rPr>
          <w:rFonts w:ascii="Calibri" w:cs="Calibri" w:eastAsia="Calibri" w:hAnsi="Calibri"/>
          <w:b/>
          <w:bCs/>
          <w:color w:val="111111"/>
          <w:sz w:val="32"/>
          <w:szCs w:val="32"/>
        </w:rPr>
        <w:t xml:space="preserve">Part 1 — Pricing audit</w:t>
      </w:r>
    </w:p>
    <w:p>
      <w:pPr>
        <w:pStyle w:val="Heading2"/>
        <w:spacing w:after="80" w:before="200"/>
      </w:pPr>
      <w:r>
        <w:rPr>
          <w:rFonts w:ascii="Calibri" w:cs="Calibri" w:eastAsia="Calibri" w:hAnsi="Calibri"/>
          <w:b/>
          <w:bCs/>
          <w:color w:val="1F2937"/>
          <w:sz w:val="26"/>
          <w:szCs w:val="26"/>
        </w:rPr>
        <w:t xml:space="preserve">1.1 Source-of-truth state</w:t>
      </w:r>
    </w:p>
    <w:p>
      <w:pPr>
        <w:spacing w:after="100"/>
      </w:pPr>
      <w:r>
        <w:rPr>
          <w:rFonts w:ascii="Calibri" w:cs="Calibri" w:eastAsia="Calibri" w:hAnsi="Calibri"/>
          <w:b w:val="false"/>
          <w:bCs w:val="false"/>
          <w:color w:val="111111"/>
          <w:sz w:val="22"/>
          <w:szCs w:val="22"/>
        </w:rPr>
        <w:t xml:space="preserve">CLAUDE.md is currently the most up-to-date source. The .xlsx is one reset behind. The recommended action is: reconcile the .xlsx to match CLAUDE.md and add the 4 LED tiers + Photo Delivery SKU back in (the spreadsheet has them; CLAUDE.md doesn't).</w:t>
      </w:r>
    </w:p>
    <w:p>
      <w:pPr>
        <w:pStyle w:val="Heading3"/>
        <w:spacing w:after="60" w:before="140"/>
      </w:pPr>
      <w:r>
        <w:rPr>
          <w:rFonts w:ascii="Calibri" w:cs="Calibri" w:eastAsia="Calibri" w:hAnsi="Calibri"/>
          <w:b/>
          <w:bCs/>
          <w:color w:val="374151"/>
          <w:sz w:val="22"/>
          <w:szCs w:val="22"/>
        </w:rPr>
        <w:t xml:space="preserve">Drift between 00_Pricing_and_Costs.xlsx and CLAUDE.md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3680"/>
      </w:tblGrid>
      <w:tr>
        <w:trPr>
          <w:tblHeader/>
        </w:trPr>
        <w:tc>
          <w:tcPr>
            <w:tcW w:type="dxa" w:w="30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SKU</w:t>
            </w:r>
          </w:p>
        </w:tc>
        <w:tc>
          <w:tcPr>
            <w:tcW w:type="dxa" w:w="17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xlsx (stale)</w:t>
            </w:r>
          </w:p>
        </w:tc>
        <w:tc>
          <w:tcPr>
            <w:tcW w:type="dxa" w:w="17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CLAUDE.md (locked)</w:t>
            </w:r>
          </w:p>
        </w:tc>
        <w:tc>
          <w:tcPr>
            <w:tcW w:type="dxa" w:w="368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Action</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3 Paparazzi</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₱1,999</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₱1,500</w:t>
            </w:r>
          </w:p>
        </w:tc>
        <w:tc>
          <w:tcPr>
            <w:tcW w:type="dxa" w:w="3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Update xlsx → ₱1,500</w:t>
            </w:r>
          </w:p>
        </w:tc>
      </w:tr>
      <w:tr>
        <w:tc>
          <w:tcPr>
            <w:tcW w:type="dxa" w:w="30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5 Paparazzi</w:t>
            </w:r>
          </w:p>
        </w:tc>
        <w:tc>
          <w:tcPr>
            <w:tcW w:type="dxa" w:w="17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₱2,999</w:t>
            </w:r>
          </w:p>
        </w:tc>
        <w:tc>
          <w:tcPr>
            <w:tcW w:type="dxa" w:w="17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₱2,500</w:t>
            </w:r>
          </w:p>
        </w:tc>
        <w:tc>
          <w:tcPr>
            <w:tcW w:type="dxa" w:w="368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Update xlsx → ₱2,500</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per Template</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₱599</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₱200</w:t>
            </w:r>
          </w:p>
        </w:tc>
        <w:tc>
          <w:tcPr>
            <w:tcW w:type="dxa" w:w="3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Update xlsx → ₱200</w:t>
            </w:r>
          </w:p>
        </w:tc>
      </w:tr>
      <w:tr>
        <w:tc>
          <w:tcPr>
            <w:tcW w:type="dxa" w:w="30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Pro per Widget</w:t>
            </w:r>
          </w:p>
        </w:tc>
        <w:tc>
          <w:tcPr>
            <w:tcW w:type="dxa" w:w="17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₱99</w:t>
            </w:r>
          </w:p>
        </w:tc>
        <w:tc>
          <w:tcPr>
            <w:tcW w:type="dxa" w:w="17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₱100</w:t>
            </w:r>
          </w:p>
        </w:tc>
        <w:tc>
          <w:tcPr>
            <w:tcW w:type="dxa" w:w="368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Update xlsx (round to clean ×30 token math)</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Pro Bundle (3 widgets)</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₱149 / ₱449 (variants)</w:t>
            </w:r>
          </w:p>
        </w:tc>
        <w:tc>
          <w:tcPr>
            <w:tcW w:type="dxa" w:w="17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₱200</w:t>
            </w:r>
          </w:p>
        </w:tc>
        <w:tc>
          <w:tcPr>
            <w:tcW w:type="dxa" w:w="3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Replace xlsx variants with single ₱200 bundle</w:t>
            </w:r>
          </w:p>
        </w:tc>
      </w:tr>
      <w:tr>
        <w:tc>
          <w:tcPr>
            <w:tcW w:type="dxa" w:w="30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Live Stream Base (3 cams + 3 hrs)</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₱2,500</w:t>
            </w:r>
          </w:p>
        </w:tc>
        <w:tc>
          <w:tcPr>
            <w:tcW w:type="dxa" w:w="36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xlsx</w:t>
            </w:r>
          </w:p>
        </w:tc>
      </w:tr>
      <w:tr>
        <w:tc>
          <w:tcPr>
            <w:tcW w:type="dxa" w:w="30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Live Stream +1 Camera</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₱1,000</w:t>
            </w:r>
          </w:p>
        </w:tc>
        <w:tc>
          <w:tcPr>
            <w:tcW w:type="dxa" w:w="36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xlsx (max +2 multi-purchase)</w:t>
            </w:r>
          </w:p>
        </w:tc>
      </w:tr>
      <w:tr>
        <w:tc>
          <w:tcPr>
            <w:tcW w:type="dxa" w:w="30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Live Stream +1 Hour</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₱1,000</w:t>
            </w:r>
          </w:p>
        </w:tc>
        <w:tc>
          <w:tcPr>
            <w:tcW w:type="dxa" w:w="36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xlsx (unlimited multi-purchase)</w:t>
            </w:r>
          </w:p>
        </w:tc>
      </w:tr>
      <w:tr>
        <w:tc>
          <w:tcPr>
            <w:tcW w:type="dxa" w:w="30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Custom Monogram Pack</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₱2,000</w:t>
            </w:r>
          </w:p>
        </w:tc>
        <w:tc>
          <w:tcPr>
            <w:tcW w:type="dxa" w:w="36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xlsx (event-wide; consumed by 0011 + 0012)</w:t>
            </w:r>
          </w:p>
        </w:tc>
      </w:tr>
      <w:tr>
        <w:tc>
          <w:tcPr>
            <w:tcW w:type="dxa" w:w="30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Broadcast Style Pack</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₱3,000</w:t>
            </w:r>
          </w:p>
        </w:tc>
        <w:tc>
          <w:tcPr>
            <w:tcW w:type="dxa" w:w="36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xlsx (4 modes + transitions)</w:t>
            </w:r>
          </w:p>
        </w:tc>
      </w:tr>
      <w:tr>
        <w:tc>
          <w:tcPr>
            <w:tcW w:type="dxa" w:w="30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AI Video Highlight (60s)</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₱2,000</w:t>
            </w:r>
          </w:p>
        </w:tc>
        <w:tc>
          <w:tcPr>
            <w:tcW w:type="dxa" w:w="36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xlsx (multi-purchase)</w:t>
            </w:r>
          </w:p>
        </w:tc>
      </w:tr>
      <w:tr>
        <w:tc>
          <w:tcPr>
            <w:tcW w:type="dxa" w:w="30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AI Edited Highlight (3-min)</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₱5,000</w:t>
            </w:r>
          </w:p>
        </w:tc>
        <w:tc>
          <w:tcPr>
            <w:tcW w:type="dxa" w:w="36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xlsx (multi-purchase, themed)</w:t>
            </w:r>
          </w:p>
        </w:tc>
      </w:tr>
      <w:tr>
        <w:tc>
          <w:tcPr>
            <w:tcW w:type="dxa" w:w="30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Pro Camera Bridge (per DSLR)</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17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₱1,500</w:t>
            </w:r>
          </w:p>
        </w:tc>
        <w:tc>
          <w:tcPr>
            <w:tcW w:type="dxa" w:w="36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xlsx (shared SKU 0011 + 0012)</w:t>
            </w:r>
          </w:p>
        </w:tc>
      </w:tr>
      <w:tr>
        <w:tc>
          <w:tcPr>
            <w:tcW w:type="dxa" w:w="300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Photo Delivery to Drive</w:t>
            </w:r>
          </w:p>
        </w:tc>
        <w:tc>
          <w:tcPr>
            <w:tcW w:type="dxa" w:w="170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₱99/event</w:t>
            </w:r>
          </w:p>
        </w:tc>
        <w:tc>
          <w:tcPr>
            <w:tcW w:type="dxa" w:w="170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368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CLAUDE.md (xlsx-only today)</w:t>
            </w:r>
          </w:p>
        </w:tc>
      </w:tr>
      <w:tr>
        <w:tc>
          <w:tcPr>
            <w:tcW w:type="dxa" w:w="300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LED Background — 1080p / 4K / 8K / Custom</w:t>
            </w:r>
          </w:p>
        </w:tc>
        <w:tc>
          <w:tcPr>
            <w:tcW w:type="dxa" w:w="170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₱249 / ₱399 / ₱599 / ₱899</w:t>
            </w:r>
          </w:p>
        </w:tc>
        <w:tc>
          <w:tcPr>
            <w:tcW w:type="dxa" w:w="170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368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CLAUDE.md (referenced in 0005 only)</w:t>
            </w:r>
          </w:p>
        </w:tc>
      </w:tr>
      <w:tr>
        <w:tc>
          <w:tcPr>
            <w:tcW w:type="dxa" w:w="300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LED — Photo Pool blend / Ultrawide / Live URL</w:t>
            </w:r>
          </w:p>
        </w:tc>
        <w:tc>
          <w:tcPr>
            <w:tcW w:type="dxa" w:w="170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₱1,999 / ₱1,499 / ₱99</w:t>
            </w:r>
          </w:p>
        </w:tc>
        <w:tc>
          <w:tcPr>
            <w:tcW w:type="dxa" w:w="170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w:t>
            </w:r>
          </w:p>
        </w:tc>
        <w:tc>
          <w:tcPr>
            <w:tcW w:type="dxa" w:w="3680"/>
            <w:tcBorders>
              <w:top w:val="single" w:color="B4B4B4" w:sz="4"/>
              <w:left w:val="single" w:color="B4B4B4" w:sz="4"/>
              <w:bottom w:val="single" w:color="B4B4B4" w:sz="4"/>
              <w:right w:val="single" w:color="B4B4B4" w:sz="4"/>
            </w:tcBorders>
            <w:shd w:fill="FEF3C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 to CLAUDE.md</w:t>
            </w:r>
          </w:p>
        </w:tc>
      </w:tr>
    </w:tbl>
    <w:p>
      <w:pPr>
        <w:spacing w:after="200" w:before="80"/>
      </w:pPr>
      <w:r>
        <w:rPr>
          <w:rFonts w:ascii="Calibri" w:cs="Calibri" w:eastAsia="Calibri" w:hAnsi="Calibri"/>
          <w:b w:val="false"/>
          <w:bCs w:val="false"/>
          <w:color w:val="6B7280"/>
          <w:sz w:val="18"/>
          <w:szCs w:val="18"/>
        </w:rPr>
        <w:t xml:space="preserve">Yellow = SKU exists in xlsx but not in CLAUDE.md. Green = SKU added to CLAUDE.md after the xlsx was last edited.</w:t>
      </w:r>
    </w:p>
    <w:p>
      <w:pPr>
        <w:pStyle w:val="Heading2"/>
        <w:spacing w:after="80" w:before="200"/>
      </w:pPr>
      <w:r>
        <w:rPr>
          <w:rFonts w:ascii="Calibri" w:cs="Calibri" w:eastAsia="Calibri" w:hAnsi="Calibri"/>
          <w:b/>
          <w:bCs/>
          <w:color w:val="1F2937"/>
          <w:sz w:val="26"/>
          <w:szCs w:val="26"/>
        </w:rPr>
        <w:t xml:space="preserve">1.2 Cost-per-event verification</w:t>
      </w:r>
    </w:p>
    <w:p>
      <w:pPr>
        <w:spacing w:after="100"/>
      </w:pPr>
      <w:r>
        <w:rPr>
          <w:rFonts w:ascii="Calibri" w:cs="Calibri" w:eastAsia="Calibri" w:hAnsi="Calibri"/>
          <w:b w:val="false"/>
          <w:bCs w:val="false"/>
          <w:color w:val="111111"/>
          <w:sz w:val="22"/>
          <w:szCs w:val="22"/>
        </w:rPr>
        <w:t xml:space="preserve">Cost columns in CLAUDE.md's cheat sheet are consistent with the cost breakdowns I could verify in 0011 and 0012. Per-Template render cost (~₱2 × ~30 reels = ~₱60) matches; Live Stream marginal cost scales linearly with camera-hours as expected (Cloudflare Stream ingest priced per minute per stream); AI Highlight costs are dominated by Claude API + FFmpeg compute, both &lt;₱30 per 3-minute output. Margin band 87–99% holds across the V1 SKU set.</w:t>
      </w:r>
    </w:p>
    <w:p>
      <w:pPr>
        <w:spacing w:after="200"/>
      </w:pPr>
      <w:r>
        <w:rPr>
          <w:rFonts w:ascii="Calibri" w:cs="Calibri" w:eastAsia="Calibri" w:hAnsi="Calibri"/>
          <w:b w:val="false"/>
          <w:bCs w:val="false"/>
          <w:color w:val="111111"/>
          <w:sz w:val="22"/>
          <w:szCs w:val="22"/>
        </w:rPr>
        <w:t xml:space="preserve">One callout: the LED tier costs in the xlsx (1080p ₱25, 4K ₱40, 8K ₱60) are missing from CLAUDE.md's cheat sheet because the LED SKUs themselves aren't in the table. Adding them keeps margin visibility consistent.</w:t>
      </w:r>
    </w:p>
    <w:p>
      <w:pPr>
        <w:pStyle w:val="Heading2"/>
        <w:spacing w:after="80" w:before="200"/>
      </w:pPr>
      <w:r>
        <w:rPr>
          <w:rFonts w:ascii="Calibri" w:cs="Calibri" w:eastAsia="Calibri" w:hAnsi="Calibri"/>
          <w:b/>
          <w:bCs/>
          <w:color w:val="1F2937"/>
          <w:sz w:val="26"/>
          <w:szCs w:val="26"/>
        </w:rPr>
        <w:t xml:space="preserve">1.3 Vendors today — what's actually live</w:t>
      </w:r>
    </w:p>
    <w:p>
      <w:pPr>
        <w:spacing w:after="100"/>
      </w:pPr>
      <w:r>
        <w:rPr>
          <w:rFonts w:ascii="Calibri" w:cs="Calibri" w:eastAsia="Calibri" w:hAnsi="Calibri"/>
          <w:b w:val="false"/>
          <w:bCs w:val="false"/>
          <w:color w:val="111111"/>
          <w:sz w:val="22"/>
          <w:szCs w:val="22"/>
        </w:rPr>
        <w:t xml:space="preserve">Despite the language in the vendor-benefits doc, vendors have no paid SKUs in V1. The only vendor-touching surfaces are:</w:t>
      </w:r>
    </w:p>
    <w:p>
      <w:pPr>
        <w:pStyle w:val="ListParagraph"/>
        <w:numPr>
          <w:ilvl w:val="0"/>
          <w:numId w:val="2"/>
        </w:numPr>
        <w:spacing w:after="60"/>
      </w:pPr>
      <w:r>
        <w:rPr>
          <w:rFonts w:ascii="Calibri" w:cs="Calibri" w:eastAsia="Calibri" w:hAnsi="Calibri"/>
          <w:b w:val="false"/>
          <w:bCs w:val="false"/>
          <w:color w:val="111111"/>
          <w:sz w:val="22"/>
          <w:szCs w:val="22"/>
        </w:rPr>
        <w:t xml:space="preserve">0006 Vendor Management — couple-encoded records (28-canonical taxonomy + custom rows). No vendor login, no vendor self-input, no charges.</w:t>
      </w:r>
    </w:p>
    <w:p>
      <w:pPr>
        <w:pStyle w:val="ListParagraph"/>
        <w:numPr>
          <w:ilvl w:val="0"/>
          <w:numId w:val="2"/>
        </w:numPr>
        <w:spacing w:after="60"/>
      </w:pPr>
      <w:r>
        <w:rPr>
          <w:rFonts w:ascii="Calibri" w:cs="Calibri" w:eastAsia="Calibri" w:hAnsi="Calibri"/>
          <w:b w:val="false"/>
          <w:bCs w:val="false"/>
          <w:color w:val="111111"/>
          <w:sz w:val="22"/>
          <w:szCs w:val="22"/>
        </w:rPr>
        <w:t>0007 Budget — couple-side payment tracking; vendor money is external (cash / GCash / bank), Setnayan records but doesn't validate.</w:t>
      </w:r>
    </w:p>
    <w:p>
      <w:pPr>
        <w:pStyle w:val="ListParagraph"/>
        <w:numPr>
          <w:ilvl w:val="0"/>
          <w:numId w:val="2"/>
        </w:numPr>
        <w:spacing w:after="60"/>
      </w:pPr>
      <w:r>
        <w:rPr>
          <w:rFonts w:ascii="Calibri" w:cs="Calibri" w:eastAsia="Calibri" w:hAnsi="Calibri"/>
          <w:b w:val="false"/>
          <w:bCs w:val="false"/>
          <w:color w:val="111111"/>
          <w:sz w:val="22"/>
          <w:szCs w:val="22"/>
        </w:rPr>
        <w:t xml:space="preserve">0015 Marketing site — anonymized goal-progress bar ("127 / 500" couples), vendor logos only on opt-in basis (vendors.is_public defaults FALSE).</w:t>
      </w:r>
    </w:p>
    <w:p>
      <w:pPr>
        <w:spacing w:after="100"/>
      </w:pPr>
      <w:r>
        <w:rPr>
          <w:rFonts w:ascii="Calibri" w:cs="Calibri" w:eastAsia="Calibri" w:hAnsi="Calibri"/>
          <w:b w:val="false"/>
          <w:bCs w:val="false"/>
          <w:color w:val="111111"/>
          <w:sz w:val="22"/>
          <w:szCs w:val="22"/>
        </w:rPr>
        <w:t xml:space="preserve">Of the 12 benefits listed in 16_Vendor_Benefits_with_App_Evidence.md, only 2 ship in V1 (Palette Maker, Seating Chart) — and both are tools the couple uses, with the vendor's role being to view the output offline. Everything else (vendor analytics, scheduler, vendor landing page, reviews, Verified Badge, LED logo placement, Live Stream brand plug, vendor dashboard) is deferred.</w:t>
      </w:r>
    </w:p>
    <w:p>
      <w:pPr>
        <w:pStyle w:val="ListParagraph"/>
        <w:numPr>
          <w:ilvl w:val="0"/>
          <w:numId w:val="2"/>
        </w:numPr>
        <w:spacing w:after="60"/>
      </w:pPr>
      <w:r>
        <w:rPr>
          <w:rFonts w:ascii="Calibri" w:cs="Calibri" w:eastAsia="Calibri" w:hAnsi="Calibri"/>
          <w:b/>
          <w:bCs/>
          <w:color w:val="111111"/>
          <w:sz w:val="22"/>
          <w:szCs w:val="22"/>
        </w:rPr>
        <w:t xml:space="preserve">Implication for subscription strategy: </w:t>
      </w:r>
      <w:r>
        <w:rPr>
          <w:rFonts w:ascii="Calibri" w:cs="Calibri" w:eastAsia="Calibri" w:hAnsi="Calibri"/>
          <w:color w:val="111111"/>
          <w:sz w:val="22"/>
          <w:szCs w:val="22"/>
        </w:rPr>
        <w:t>any vendor-side subscription is a Din Phase 3 line item (~6–9 months out), not a V1 SKU. The recommendation below sketches the vendor tier so the schema can be designed forward-compatible, but does not propose shipping it in V1.</w:t>
      </w:r>
    </w:p>
    <w:p>
      <w:r>
        <w:br w:type="page"/>
      </w:r>
    </w:p>
    <w:p>
      <w:pPr>
        <w:pStyle w:val="Heading1"/>
        <w:spacing w:after="120" w:before="200"/>
      </w:pPr>
      <w:r>
        <w:rPr>
          <w:rFonts w:ascii="Calibri" w:cs="Calibri" w:eastAsia="Calibri" w:hAnsi="Calibri"/>
          <w:b/>
          <w:bCs/>
          <w:color w:val="111111"/>
          <w:sz w:val="32"/>
          <w:szCs w:val="32"/>
        </w:rPr>
        <w:t xml:space="preserve">Part 2 — Weekly subscription strategy</w:t>
      </w:r>
    </w:p>
    <w:p>
      <w:pPr>
        <w:pStyle w:val="Heading2"/>
        <w:spacing w:after="80" w:before="200"/>
      </w:pPr>
      <w:r>
        <w:rPr>
          <w:rFonts w:ascii="Calibri" w:cs="Calibri" w:eastAsia="Calibri" w:hAnsi="Calibri"/>
          <w:b/>
          <w:bCs/>
          <w:color w:val="1F2937"/>
          <w:sz w:val="26"/>
          <w:szCs w:val="26"/>
        </w:rPr>
        <w:t xml:space="preserve">2.1 The structural argument</w:t>
      </w:r>
    </w:p>
    <w:p>
      <w:pPr>
        <w:spacing w:after="100"/>
      </w:pPr>
      <w:r>
        <w:rPr>
          <w:rFonts w:ascii="Calibri" w:cs="Calibri" w:eastAsia="Calibri" w:hAnsi="Calibri"/>
          <w:b w:val="false"/>
          <w:bCs w:val="false"/>
          <w:color w:val="111111"/>
          <w:sz w:val="22"/>
          <w:szCs w:val="22"/>
        </w:rPr>
        <w:t>A weekly subscription works when the buyer is a recurring participant with continuous value extraction. It fails when the buyer is a one-time consumer with a hard end date. Setnayan's three buyer personas split cleanly along this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680"/>
      </w:tblGrid>
      <w:tr>
        <w:trPr>
          <w:tblHeader/>
        </w:trPr>
        <w:tc>
          <w:tcPr>
            <w:tcW w:type="dxa" w:w="20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Persona</w:t>
            </w:r>
          </w:p>
        </w:tc>
        <w:tc>
          <w:tcPr>
            <w:tcW w:type="dxa" w:w="22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Recurring participant?</w:t>
            </w:r>
          </w:p>
        </w:tc>
        <w:tc>
          <w:tcPr>
            <w:tcW w:type="dxa" w:w="22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Continuous value?</w:t>
            </w:r>
          </w:p>
        </w:tc>
        <w:tc>
          <w:tcPr>
            <w:tcW w:type="dxa" w:w="368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Subscription fit</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Couple</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No (1 wedding)</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No (planning ramp + event day)</w:t>
            </w:r>
          </w:p>
        </w:tc>
        <w:tc>
          <w:tcPr>
            <w:tcW w:type="dxa" w:w="3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POOR — token wallet already optimal</w:t>
            </w:r>
          </w:p>
        </w:tc>
      </w:tr>
      <w:tr>
        <w:tc>
          <w:tcPr>
            <w:tcW w:type="dxa" w:w="20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Wedding Planner / Coordinator</w:t>
            </w:r>
          </w:p>
        </w:tc>
        <w:tc>
          <w:tcPr>
            <w:tcW w:type="dxa" w:w="22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Yes (5–15 weddings/quarter)</w:t>
            </w:r>
          </w:p>
        </w:tc>
        <w:tc>
          <w:tcPr>
            <w:tcW w:type="dxa" w:w="22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Yes (always managing 3–8 active events)</w:t>
            </w:r>
          </w:p>
        </w:tc>
        <w:tc>
          <w:tcPr>
            <w:tcW w:type="dxa" w:w="368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STRONG — natural multi-event consolidation</w:t>
            </w:r>
          </w:p>
        </w:tc>
      </w:tr>
      <w:tr>
        <w:tc>
          <w:tcPr>
            <w:tcW w:type="dxa" w:w="2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Vendor (photographer, HMUA, venue, etc.)</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Yes (10–80 weddings/year)</w:t>
            </w:r>
          </w:p>
        </w:tc>
        <w:tc>
          <w:tcPr>
            <w:tcW w:type="dxa" w:w="2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Yes (always-on marketing presence)</w:t>
            </w:r>
          </w:p>
        </w:tc>
        <w:tc>
          <w:tcPr>
            <w:tcW w:type="dxa" w:w="36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STRONG — but blocked until Din ships</w:t>
            </w:r>
          </w:p>
        </w:tc>
      </w:tr>
      <w:tr>
        <w:tc>
          <w:tcPr>
            <w:tcW w:type="dxa" w:w="20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Repeat host (events expansion)</w:t>
            </w:r>
          </w:p>
        </w:tc>
        <w:tc>
          <w:tcPr>
            <w:tcW w:type="dxa" w:w="22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Maybe (corporate, recurring birthdays)</w:t>
            </w:r>
          </w:p>
        </w:tc>
        <w:tc>
          <w:tcPr>
            <w:tcW w:type="dxa" w:w="22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Sometimes</w:t>
            </w:r>
          </w:p>
        </w:tc>
        <w:tc>
          <w:tcPr>
            <w:tcW w:type="dxa" w:w="368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MEDIUM — V2 once event_type expands</w:t>
            </w:r>
          </w:p>
        </w:tc>
      </w:tr>
    </w:tbl>
    <w:p>
      <w:pPr>
        <w:spacing w:after="200" w:before="100"/>
      </w:pPr>
      <w:r>
        <w:rPr>
          <w:rFonts w:ascii="Calibri" w:cs="Calibri" w:eastAsia="Calibri" w:hAnsi="Calibri"/>
          <w:b w:val="false"/>
          <w:bCs w:val="false"/>
          <w:color w:val="111111"/>
          <w:sz w:val="22"/>
          <w:szCs w:val="22"/>
        </w:rPr>
        <w:t>The token wallet (iteration 0003) already does the right thing for couples. A 25%-bonus pack on the ₱10,000 tier captures upfront commitment, breakage works in Setnayan's favor, and the apparatus pricing rule keeps prices honest. Replacing tokens with a weekly couple subscription would, on a 4-month median planning horizon, charge couples more for the same services and break the model. Don't do it.</w:t>
      </w:r>
    </w:p>
    <w:p>
      <w:pPr>
        <w:pStyle w:val="Heading2"/>
        <w:spacing w:after="80" w:before="200"/>
      </w:pPr>
      <w:r>
        <w:rPr>
          <w:rFonts w:ascii="Calibri" w:cs="Calibri" w:eastAsia="Calibri" w:hAnsi="Calibri"/>
          <w:b/>
          <w:bCs/>
          <w:color w:val="1F2937"/>
          <w:sz w:val="26"/>
          <w:szCs w:val="26"/>
        </w:rPr>
        <w:t xml:space="preserve">2.2 Recommended pricing — what stays, what shifts</w:t>
      </w:r>
    </w:p>
    <w:p>
      <w:pPr>
        <w:spacing w:after="100"/>
      </w:pPr>
      <w:r>
        <w:rPr>
          <w:rFonts w:ascii="Calibri" w:cs="Calibri" w:eastAsia="Calibri" w:hAnsi="Calibri"/>
          <w:b w:val="false"/>
          <w:bCs w:val="false"/>
          <w:color w:val="111111"/>
          <w:sz w:val="22"/>
          <w:szCs w:val="22"/>
        </w:rPr>
        <w:t>Recommendation: hybrid model. Token wallet stays as the couple's primary spend rail. A weekly subscription is added as an optional layer for two personas — wedding planners (V1) and vendors (Din Phase 3). A small couple-side weekly tier ("Setnayan Plus") is offered as a planning-tools-only upgrade, priced so it doesn't cannibalize event-day SKU revenue.</w:t>
      </w:r>
    </w:p>
    <w:p>
      <w:pPr>
        <w:pStyle w:val="Heading3"/>
        <w:spacing w:after="60" w:before="140"/>
      </w:pPr>
      <w:r>
        <w:rPr>
          <w:rFonts w:ascii="Calibri" w:cs="Calibri" w:eastAsia="Calibri" w:hAnsi="Calibri"/>
          <w:b/>
          <w:bCs/>
          <w:color w:val="374151"/>
          <w:sz w:val="22"/>
          <w:szCs w:val="22"/>
        </w:rPr>
        <w:t xml:space="preserve">2.2.1 What stays one-time / event-scoped</w:t>
      </w:r>
    </w:p>
    <w:p>
      <w:pPr>
        <w:spacing w:after="100"/>
      </w:pPr>
      <w:r>
        <w:rPr>
          <w:rFonts w:ascii="Calibri" w:cs="Calibri" w:eastAsia="Calibri" w:hAnsi="Calibri"/>
          <w:b w:val="false"/>
          <w:bCs w:val="false"/>
          <w:color w:val="111111"/>
          <w:sz w:val="22"/>
          <w:szCs w:val="22"/>
        </w:rPr>
        <w:t xml:space="preserve">Every event-day apparatus SKU stays per-event one-time. These are tied to a wedding date and consumed in a single event window: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5380"/>
      </w:tblGrid>
      <w:tr>
        <w:trPr>
          <w:tblHeader/>
        </w:trPr>
        <w:tc>
          <w:tcPr>
            <w:tcW w:type="dxa" w:w="32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SKU</w:t>
            </w:r>
          </w:p>
        </w:tc>
        <w:tc>
          <w:tcPr>
            <w:tcW w:type="dxa" w:w="15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Price (PHP)</w:t>
            </w:r>
          </w:p>
        </w:tc>
        <w:tc>
          <w:tcPr>
            <w:tcW w:type="dxa" w:w="538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Why event-scoped</w:t>
            </w:r>
          </w:p>
        </w:tc>
      </w:tr>
      <w:tr>
        <w:tc>
          <w:tcPr>
            <w:tcW w:type="dxa" w:w="3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Paparazzi 3-seat / 5-seat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₱1,500 / ₱2,500</w:t>
            </w:r>
          </w:p>
        </w:tc>
        <w:tc>
          <w:tcPr>
            <w:tcW w:type="dxa" w:w="53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Seats authenticate to one wedding event_id; tokens revoked at event end.</w:t>
            </w:r>
          </w:p>
        </w:tc>
      </w:tr>
      <w:tr>
        <w:tc>
          <w:tcPr>
            <w:tcW w:type="dxa" w:w="32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Pro Camera Bridge (per DSLR)</w:t>
            </w:r>
          </w:p>
        </w:tc>
        <w:tc>
          <w:tcPr>
            <w:tcW w:type="dxa" w:w="15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₱1,500</w:t>
            </w:r>
          </w:p>
        </w:tc>
        <w:tc>
          <w:tcPr>
            <w:tcW w:type="dxa" w:w="538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DSLR pairing is bound to a paparazzi seat or LS camera slot for one event.</w:t>
            </w:r>
          </w:p>
        </w:tc>
      </w:tr>
      <w:tr>
        <w:tc>
          <w:tcPr>
            <w:tcW w:type="dxa" w:w="3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per Template add-on</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₱200</w:t>
            </w:r>
          </w:p>
        </w:tc>
        <w:tc>
          <w:tcPr>
            <w:tcW w:type="dxa" w:w="53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Templates unlock against an event_id; reels render only for that event.</w:t>
            </w:r>
          </w:p>
        </w:tc>
      </w:tr>
      <w:tr>
        <w:tc>
          <w:tcPr>
            <w:tcW w:type="dxa" w:w="32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Live Stream Base + add-ons</w:t>
            </w:r>
          </w:p>
        </w:tc>
        <w:tc>
          <w:tcPr>
            <w:tcW w:type="dxa" w:w="15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₱2,500 + ₱1,000/cam + ₱1,000/hr</w:t>
            </w:r>
          </w:p>
        </w:tc>
        <w:tc>
          <w:tcPr>
            <w:tcW w:type="dxa" w:w="538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Stream capacity is event-window-bound; cameras pair to event slots.</w:t>
            </w:r>
          </w:p>
        </w:tc>
      </w:tr>
      <w:tr>
        <w:tc>
          <w:tcPr>
            <w:tcW w:type="dxa" w:w="3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Custom Monogram Pack</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₱2,000</w:t>
            </w:r>
          </w:p>
        </w:tc>
        <w:tc>
          <w:tcPr>
            <w:tcW w:type="dxa" w:w="53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Monogram applies event-wide across LS + Paparazzi + Reels for one wedding.</w:t>
            </w:r>
          </w:p>
        </w:tc>
      </w:tr>
      <w:tr>
        <w:tc>
          <w:tcPr>
            <w:tcW w:type="dxa" w:w="32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Broadcast Style Pack</w:t>
            </w:r>
          </w:p>
        </w:tc>
        <w:tc>
          <w:tcPr>
            <w:tcW w:type="dxa" w:w="15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₱3,000</w:t>
            </w:r>
          </w:p>
        </w:tc>
        <w:tc>
          <w:tcPr>
            <w:tcW w:type="dxa" w:w="538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Style modes/transitions activate on the event broadcaster account for that event.</w:t>
            </w:r>
          </w:p>
        </w:tc>
      </w:tr>
      <w:tr>
        <w:tc>
          <w:tcPr>
            <w:tcW w:type="dxa" w:w="3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AI Video / AI Edited Highlight</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₱2,000 / ₱5,000</w:t>
            </w:r>
          </w:p>
        </w:tc>
        <w:tc>
          <w:tcPr>
            <w:tcW w:type="dxa" w:w="53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Renders use one event's content; multi-purchase for additional reels/edits.</w:t>
            </w:r>
          </w:p>
        </w:tc>
      </w:tr>
      <w:tr>
        <w:tc>
          <w:tcPr>
            <w:tcW w:type="dxa" w:w="32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LED Background tiers</w:t>
            </w:r>
          </w:p>
        </w:tc>
        <w:tc>
          <w:tcPr>
            <w:tcW w:type="dxa" w:w="15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₱249–₱1,999</w:t>
            </w:r>
          </w:p>
        </w:tc>
        <w:tc>
          <w:tcPr>
            <w:tcW w:type="dxa" w:w="538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USB delivery for one event's reception. Already per-event.</w:t>
            </w:r>
          </w:p>
        </w:tc>
      </w:tr>
      <w:tr>
        <w:tc>
          <w:tcPr>
            <w:tcW w:type="dxa" w:w="32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Photo Delivery to Drive</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₱99</w:t>
            </w:r>
          </w:p>
        </w:tc>
        <w:tc>
          <w:tcPr>
            <w:tcW w:type="dxa" w:w="53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One-time export of one event's gallery.</w:t>
            </w:r>
          </w:p>
        </w:tc>
      </w:tr>
    </w:tbl>
    <w:p>
      <w:pPr>
        <w:spacing w:after="200" w:before="80"/>
      </w:pPr>
      <w:r>
        <w:rPr>
          <w:rFonts w:ascii="Calibri" w:cs="Calibri" w:eastAsia="Calibri" w:hAnsi="Calibri"/>
          <w:b w:val="false"/>
          <w:bCs w:val="false"/>
          <w:color w:val="111111"/>
          <w:sz w:val="22"/>
          <w:szCs w:val="22"/>
        </w:rPr>
        <w:t xml:space="preserve">These SKUs collectively fund 80%+ of V1 GMV. They should not move to subscription.</w:t>
      </w:r>
    </w:p>
    <w:p>
      <w:pPr>
        <w:pStyle w:val="Heading3"/>
        <w:spacing w:after="60" w:before="140"/>
      </w:pPr>
      <w:r>
        <w:rPr>
          <w:rFonts w:ascii="Calibri" w:cs="Calibri" w:eastAsia="Calibri" w:hAnsi="Calibri"/>
          <w:b/>
          <w:bCs/>
          <w:color w:val="374151"/>
          <w:sz w:val="22"/>
          <w:szCs w:val="22"/>
        </w:rPr>
        <w:t xml:space="preserve">2.2.2 What CAN move to subscription (planning-tool layer)</w:t>
      </w:r>
    </w:p>
    <w:p>
      <w:pPr>
        <w:spacing w:after="100"/>
      </w:pPr>
      <w:r>
        <w:rPr>
          <w:rFonts w:ascii="Calibri" w:cs="Calibri" w:eastAsia="Calibri" w:hAnsi="Calibri"/>
          <w:b w:val="false"/>
          <w:bCs w:val="false"/>
          <w:color w:val="111111"/>
          <w:sz w:val="22"/>
          <w:szCs w:val="22"/>
        </w:rPr>
        <w:t xml:space="preserve">A small bundle of "always-on planning tools" can run as a weekly subscription. These are features used continuously during planning, with low per-event marginal cost, and they slot under existing iterations:</w:t>
      </w:r>
    </w:p>
    <w:p>
      <w:pPr>
        <w:pStyle w:val="ListParagraph"/>
        <w:numPr>
          <w:ilvl w:val="0"/>
          <w:numId w:val="2"/>
        </w:numPr>
        <w:spacing w:after="60"/>
      </w:pPr>
      <w:r>
        <w:rPr>
          <w:rFonts w:ascii="Calibri" w:cs="Calibri" w:eastAsia="Calibri" w:hAnsi="Calibri"/>
          <w:b w:val="false"/>
          <w:bCs w:val="false"/>
          <w:color w:val="111111"/>
          <w:sz w:val="22"/>
          <w:szCs w:val="22"/>
        </w:rPr>
        <w:t xml:space="preserve">Pro Bundle (all 3 widget Pros) — currently ₱200 one-time.</w:t>
      </w:r>
    </w:p>
    <w:p>
      <w:pPr>
        <w:pStyle w:val="ListParagraph"/>
        <w:numPr>
          <w:ilvl w:val="0"/>
          <w:numId w:val="2"/>
        </w:numPr>
        <w:spacing w:after="60"/>
      </w:pPr>
      <w:r>
        <w:rPr>
          <w:rFonts w:ascii="Calibri" w:cs="Calibri" w:eastAsia="Calibri" w:hAnsi="Calibri"/>
          <w:b w:val="false"/>
          <w:bCs w:val="false"/>
          <w:color w:val="111111"/>
          <w:sz w:val="22"/>
          <w:szCs w:val="22"/>
        </w:rPr>
        <w:t>Mood Board V2 advanced features (vendor-shared sections, multiple saved palettes) — V2 / Din.</w:t>
      </w:r>
    </w:p>
    <w:p>
      <w:pPr>
        <w:pStyle w:val="ListParagraph"/>
        <w:numPr>
          <w:ilvl w:val="0"/>
          <w:numId w:val="2"/>
        </w:numPr>
        <w:spacing w:after="60"/>
      </w:pPr>
      <w:r>
        <w:rPr>
          <w:rFonts w:ascii="Calibri" w:cs="Calibri" w:eastAsia="Calibri" w:hAnsi="Calibri"/>
          <w:b w:val="false"/>
          <w:bCs w:val="false"/>
          <w:color w:val="111111"/>
          <w:sz w:val="22"/>
          <w:szCs w:val="22"/>
        </w:rPr>
        <w:t xml:space="preserve">Step-by-step plan builder (iteration 0016) — checklist + reminders.</w:t>
      </w:r>
    </w:p>
    <w:p>
      <w:pPr>
        <w:pStyle w:val="ListParagraph"/>
        <w:numPr>
          <w:ilvl w:val="0"/>
          <w:numId w:val="2"/>
        </w:numPr>
        <w:spacing w:after="60"/>
      </w:pPr>
      <w:r>
        <w:rPr>
          <w:rFonts w:ascii="Calibri" w:cs="Calibri" w:eastAsia="Calibri" w:hAnsi="Calibri"/>
          <w:b w:val="false"/>
          <w:bCs w:val="false"/>
          <w:color w:val="111111"/>
          <w:sz w:val="22"/>
          <w:szCs w:val="22"/>
        </w:rPr>
        <w:t xml:space="preserve">Calendar feed export with cross-vendor merging (0007 enhancement) — currently free.</w:t>
      </w:r>
    </w:p>
    <w:p>
      <w:pPr>
        <w:pStyle w:val="ListParagraph"/>
        <w:numPr>
          <w:ilvl w:val="0"/>
          <w:numId w:val="2"/>
        </w:numPr>
        <w:spacing w:after="60"/>
      </w:pPr>
      <w:r>
        <w:rPr>
          <w:rFonts w:ascii="Calibri" w:cs="Calibri" w:eastAsia="Calibri" w:hAnsi="Calibri"/>
          <w:b w:val="false"/>
          <w:bCs w:val="false"/>
          <w:color w:val="111111"/>
          <w:sz w:val="22"/>
          <w:szCs w:val="22"/>
        </w:rPr>
        <w:t xml:space="preserve">Mood Board image extraction beyond a free quota.</w:t>
      </w:r>
    </w:p>
    <w:p>
      <w:pPr>
        <w:spacing w:after="200"/>
      </w:pPr>
      <w:r>
        <w:rPr>
          <w:rFonts w:ascii="Calibri" w:cs="Calibri" w:eastAsia="Calibri" w:hAnsi="Calibri"/>
          <w:b w:val="false"/>
          <w:bCs w:val="false"/>
          <w:color w:val="111111"/>
          <w:sz w:val="22"/>
          <w:szCs w:val="22"/>
        </w:rPr>
        <w:t>Bundling these as "Setnayan Plus" gives a soft recurring rail without touching the apparatus SKUs.</w:t>
      </w:r>
    </w:p>
    <w:p>
      <w:pPr>
        <w:pStyle w:val="Heading2"/>
        <w:spacing w:after="80" w:before="200"/>
      </w:pPr>
      <w:r>
        <w:rPr>
          <w:rFonts w:ascii="Calibri" w:cs="Calibri" w:eastAsia="Calibri" w:hAnsi="Calibri"/>
          <w:b/>
          <w:bCs/>
          <w:color w:val="1F2937"/>
          <w:sz w:val="26"/>
          <w:szCs w:val="26"/>
        </w:rPr>
        <w:t xml:space="preserve">2.3 Recommended subscription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1400"/>
        <w:gridCol w:w="3480"/>
      </w:tblGrid>
      <w:tr>
        <w:trPr>
          <w:tblHeader/>
        </w:trPr>
        <w:tc>
          <w:tcPr>
            <w:tcW w:type="dxa" w:w="24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Tier</w:t>
            </w:r>
          </w:p>
        </w:tc>
        <w:tc>
          <w:tcPr>
            <w:tcW w:type="dxa" w:w="13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Price/wk</w:t>
            </w:r>
          </w:p>
        </w:tc>
        <w:tc>
          <w:tcPr>
            <w:tcW w:type="dxa" w:w="15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Price/mo equiv.</w:t>
            </w:r>
          </w:p>
        </w:tc>
        <w:tc>
          <w:tcPr>
            <w:tcW w:type="dxa" w:w="14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Scope</w:t>
            </w:r>
          </w:p>
        </w:tc>
        <w:tc>
          <w:tcPr>
            <w:tcW w:type="dxa" w:w="348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unlocks</w:t>
            </w:r>
          </w:p>
        </w:tc>
      </w:tr>
      <w:tr>
        <w:tc>
          <w:tcPr>
            <w:tcW w:type="dxa" w:w="24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Setnayan Plus (couples)</w:t>
            </w:r>
          </w:p>
        </w:tc>
        <w:tc>
          <w:tcPr>
            <w:tcW w:type="dxa" w:w="13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₱99</w:t>
            </w:r>
          </w:p>
        </w:tc>
        <w:tc>
          <w:tcPr>
            <w:tcW w:type="dxa" w:w="15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≈₱430</w:t>
            </w:r>
          </w:p>
        </w:tc>
        <w:tc>
          <w:tcPr>
            <w:tcW w:type="dxa" w:w="14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per-event</w:t>
            </w:r>
          </w:p>
        </w:tc>
        <w:tc>
          <w:tcPr>
            <w:tcW w:type="dxa" w:w="34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Pro Bundle (3 widgets) + planning tools + mood board pro features. Auto-cancels 7 days after wedding date. Breakeven for couple at ~2 weeks vs ₱200 Pro Bundle one-time, BUT bundle includes planning tools they'd otherwise pay for individually.</w:t>
            </w:r>
          </w:p>
        </w:tc>
      </w:tr>
      <w:tr>
        <w:tc>
          <w:tcPr>
            <w:tcW w:type="dxa" w:w="24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Planner Studio</w:t>
            </w:r>
          </w:p>
        </w:tc>
        <w:tc>
          <w:tcPr>
            <w:tcW w:type="dxa" w:w="13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₱499</w:t>
            </w:r>
          </w:p>
        </w:tc>
        <w:tc>
          <w:tcPr>
            <w:tcW w:type="dxa" w:w="15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≈₱2,160</w:t>
            </w:r>
          </w:p>
        </w:tc>
        <w:tc>
          <w:tcPr>
            <w:tcW w:type="dxa" w:w="14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per-account</w:t>
            </w:r>
          </w:p>
        </w:tc>
        <w:tc>
          <w:tcPr>
            <w:tcW w:type="dxa" w:w="34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Manage unlimited active client events under one dashboard. Cross-event analytics. Branded planner profile on couple's invitation site ("Coordinated by [Name]"). Token wallet credits at -10% (planner buys client tokens at discount). Replaces the implicit "one wallet per couple" friction.</w:t>
            </w:r>
          </w:p>
        </w:tc>
      </w:tr>
      <w:tr>
        <w:tc>
          <w:tcPr>
            <w:tcW w:type="dxa" w:w="24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bCs/>
                <w:color w:val="111111"/>
                <w:sz w:val="20"/>
                <w:szCs w:val="20"/>
              </w:rPr>
              <w:t>Vendor Lite (Din)</w:t>
            </w:r>
          </w:p>
        </w:tc>
        <w:tc>
          <w:tcPr>
            <w:tcW w:type="dxa" w:w="13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₱149</w:t>
            </w:r>
          </w:p>
        </w:tc>
        <w:tc>
          <w:tcPr>
            <w:tcW w:type="dxa" w:w="15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≈₱645</w:t>
            </w:r>
          </w:p>
        </w:tc>
        <w:tc>
          <w:tcPr>
            <w:tcW w:type="dxa" w:w="14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per-account</w:t>
            </w:r>
          </w:p>
        </w:tc>
        <w:tc>
          <w:tcPr>
            <w:tcW w:type="dxa" w:w="348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[FUTURE — Phase 3] Verified vendor badge, public listing, basic analytics on couple inquiries. Replaces "₱500/mo Pro" placeholder from xlsx with weekly cadence + cleaner ×30 token math (4,470 tokens/wk).</w:t>
            </w:r>
          </w:p>
        </w:tc>
      </w:tr>
      <w:tr>
        <w:tc>
          <w:tcPr>
            <w:tcW w:type="dxa" w:w="24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bCs/>
                <w:color w:val="111111"/>
                <w:sz w:val="20"/>
                <w:szCs w:val="20"/>
              </w:rPr>
              <w:t>Vendor Studio (Din)</w:t>
            </w:r>
          </w:p>
        </w:tc>
        <w:tc>
          <w:tcPr>
            <w:tcW w:type="dxa" w:w="13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₱449</w:t>
            </w:r>
          </w:p>
        </w:tc>
        <w:tc>
          <w:tcPr>
            <w:tcW w:type="dxa" w:w="15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≈₱1,945</w:t>
            </w:r>
          </w:p>
        </w:tc>
        <w:tc>
          <w:tcPr>
            <w:tcW w:type="dxa" w:w="14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per-account</w:t>
            </w:r>
          </w:p>
        </w:tc>
        <w:tc>
          <w:tcPr>
            <w:tcW w:type="dxa" w:w="348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[FUTURE — Phase 3] Everything in Lite + featured placement, Mood Board section authoring, lead gen analytics, multi-staff seats. Slots into the deferred "Studio ₱1,500/mo" placeholder, repriced cleanly.</w:t>
            </w:r>
          </w:p>
        </w:tc>
      </w:tr>
    </w:tbl>
    <w:p>
      <w:pPr>
        <w:spacing w:after="200" w:before="80"/>
      </w:pPr>
      <w:r>
        <w:rPr>
          <w:rFonts w:ascii="Calibri" w:cs="Calibri" w:eastAsia="Calibri" w:hAnsi="Calibri"/>
          <w:b w:val="false"/>
          <w:bCs w:val="false"/>
          <w:color w:val="6B7280"/>
          <w:sz w:val="18"/>
          <w:szCs w:val="18"/>
        </w:rPr>
        <w:t>Grey rows = future SKUs (Din Phase 3, ~6–9 months post-V1). Green = strongest V1 recurring revenue opportunity.</w:t>
      </w:r>
    </w:p>
    <w:p>
      <w:pPr>
        <w:pStyle w:val="Heading2"/>
        <w:spacing w:after="80" w:before="200"/>
      </w:pPr>
      <w:r>
        <w:rPr>
          <w:rFonts w:ascii="Calibri" w:cs="Calibri" w:eastAsia="Calibri" w:hAnsi="Calibri"/>
          <w:b/>
          <w:bCs/>
          <w:color w:val="1F2937"/>
          <w:sz w:val="26"/>
          <w:szCs w:val="26"/>
        </w:rPr>
        <w:t xml:space="preserve">2.4 Why these prices</w:t>
      </w:r>
    </w:p>
    <w:p>
      <w:pPr>
        <w:pStyle w:val="Heading3"/>
        <w:spacing w:after="60" w:before="140"/>
      </w:pPr>
      <w:r>
        <w:rPr>
          <w:rFonts w:ascii="Calibri" w:cs="Calibri" w:eastAsia="Calibri" w:hAnsi="Calibri"/>
          <w:b/>
          <w:bCs/>
          <w:color w:val="374151"/>
          <w:sz w:val="22"/>
          <w:szCs w:val="22"/>
        </w:rPr>
        <w:t>Setnayan Plus (couples) — ₱99/week</w:t>
      </w:r>
    </w:p>
    <w:p>
      <w:pPr>
        <w:spacing w:after="100"/>
      </w:pPr>
      <w:r>
        <w:rPr>
          <w:rFonts w:ascii="Calibri" w:cs="Calibri" w:eastAsia="Calibri" w:hAnsi="Calibri"/>
          <w:b w:val="false"/>
          <w:bCs w:val="false"/>
          <w:color w:val="111111"/>
          <w:sz w:val="22"/>
          <w:szCs w:val="22"/>
        </w:rPr>
        <w:t xml:space="preserve">Anchored to ₱200 Pro Bundle. At 2 weeks of subscription a couple has spent the same as the one-time bundle, so the natural sell is "pay weekly, get the bundle plus planning tools." On a 16-week median planning horizon (4 months) the couple pays ₱1,584 — a 7.9× lift over the ₱200 one-time bundle. This works ONLY if the bundle now includes meaningful planning-tools value (mood board, step-by-step, advanced calendar). Without that, it's just a Pro Bundle markup and couples will revolt. Auto-cancel at wedding date + 7 days is critical to prevent forgotten subscriptions.</w:t>
      </w:r>
    </w:p>
    <w:p>
      <w:pPr>
        <w:pStyle w:val="Heading3"/>
        <w:spacing w:after="60" w:before="140"/>
      </w:pPr>
      <w:r>
        <w:rPr>
          <w:rFonts w:ascii="Calibri" w:cs="Calibri" w:eastAsia="Calibri" w:hAnsi="Calibri"/>
          <w:b/>
          <w:bCs/>
          <w:color w:val="374151"/>
          <w:sz w:val="22"/>
          <w:szCs w:val="22"/>
        </w:rPr>
        <w:t xml:space="preserve">Planner Studio — ₱499/week</w:t>
      </w:r>
    </w:p>
    <w:p>
      <w:pPr>
        <w:spacing w:after="100"/>
      </w:pPr>
      <w:r>
        <w:rPr>
          <w:rFonts w:ascii="Calibri" w:cs="Calibri" w:eastAsia="Calibri" w:hAnsi="Calibri"/>
          <w:b w:val="false"/>
          <w:bCs w:val="false"/>
          <w:color w:val="111111"/>
          <w:sz w:val="22"/>
          <w:szCs w:val="22"/>
        </w:rPr>
        <w:t xml:space="preserve">Filipino wedding coordinators typically charge ₱20,000–₱80,000 per wedding and run 5–15 weddings per quarter. A ₱499/week subscription (₱2,160/month) is 1–3% of one wedding fee — unobjectionable cost. The real value is the multi-event dashboard: today, a planner managing 8 weddings simultaneously has to log in and out of 8 different couple accounts. A consolidated planner login with per-event scoping (using the existing event_members table from iteration 0000) eliminates that friction. The 10% token credit discount is the conversion lever — planners who buy ₱20,000 of tokens for a client save ₱2,000, more than the monthly fee.</w:t>
      </w:r>
    </w:p>
    <w:p>
      <w:pPr>
        <w:pStyle w:val="Heading3"/>
        <w:spacing w:after="60" w:before="140"/>
      </w:pPr>
      <w:r>
        <w:rPr>
          <w:rFonts w:ascii="Calibri" w:cs="Calibri" w:eastAsia="Calibri" w:hAnsi="Calibri"/>
          <w:b/>
          <w:bCs/>
          <w:color w:val="374151"/>
          <w:sz w:val="22"/>
          <w:szCs w:val="22"/>
        </w:rPr>
        <w:t>Vendor Lite/Studio — ₱149/₱449 weekly (Din)</w:t>
      </w:r>
    </w:p>
    <w:p>
      <w:pPr>
        <w:spacing w:after="100"/>
      </w:pPr>
      <w:r>
        <w:rPr>
          <w:rFonts w:ascii="Calibri" w:cs="Calibri" w:eastAsia="Calibri" w:hAnsi="Calibri"/>
          <w:b w:val="false"/>
          <w:bCs w:val="false"/>
          <w:color w:val="111111"/>
          <w:sz w:val="22"/>
          <w:szCs w:val="22"/>
        </w:rPr>
        <w:t>Repriced from the deferred Pro ₱500/mo and Studio ₱1,500/mo placeholders. Weekly cadence smooths cash flow for vendors and matches Filipino vendor billing patterns (most vendors think in per-wedding terms, not per-month). The Lite tier at ₱149/wk is positioned to capture solo HMUA artists, mobile bartenders, photobooth operators — the long tail of the 28-canonical-vendor list. Studio at ₱449/wk is the photographer / venue / planner-bundle target. Pure margin SKU (~99% gross) once Din infrastructure is in place.</w:t>
      </w:r>
    </w:p>
    <w:p>
      <w:pPr>
        <w:spacing w:after="200"/>
      </w:pPr>
      <w:r>
        <w:rPr>
          <w:rFonts w:ascii="Calibri" w:cs="Calibri" w:eastAsia="Calibri" w:hAnsi="Calibri"/>
          <w:b w:val="false"/>
          <w:bCs w:val="false"/>
          <w:color w:val="111111"/>
          <w:sz w:val="22"/>
          <w:szCs w:val="22"/>
        </w:rPr>
        <w:t>Action: don't ship vendor subscription tiers in V1. Schema-design forward (universal users table from 0000 already supports it; just add a subscriptions table referencing user_id) so the migration is data-only when Din lands.</w:t>
      </w:r>
    </w:p>
    <w:p>
      <w:pPr>
        <w:pStyle w:val="Heading2"/>
        <w:spacing w:after="80" w:before="200"/>
      </w:pPr>
      <w:r>
        <w:rPr>
          <w:rFonts w:ascii="Calibri" w:cs="Calibri" w:eastAsia="Calibri" w:hAnsi="Calibri"/>
          <w:b/>
          <w:bCs/>
          <w:color w:val="1F2937"/>
          <w:sz w:val="26"/>
          <w:szCs w:val="26"/>
        </w:rPr>
        <w:t xml:space="preserve">2.5 Per-account vs per-event scoping</w:t>
      </w:r>
    </w:p>
    <w:p>
      <w:pPr>
        <w:spacing w:after="100"/>
      </w:pPr>
      <w:r>
        <w:rPr>
          <w:rFonts w:ascii="Calibri" w:cs="Calibri" w:eastAsia="Calibri" w:hAnsi="Calibri"/>
          <w:b w:val="false"/>
          <w:bCs w:val="false"/>
          <w:color w:val="111111"/>
          <w:sz w:val="22"/>
          <w:szCs w:val="22"/>
        </w:rPr>
        <w:t xml:space="preserve">The split is determined by who is paying and what they're getting. Two rules:</w:t>
      </w:r>
    </w:p>
    <w:p>
      <w:pPr>
        <w:pStyle w:val="ListParagraph"/>
        <w:numPr>
          <w:ilvl w:val="0"/>
          <w:numId w:val="2"/>
        </w:numPr>
        <w:spacing w:after="60"/>
      </w:pPr>
      <w:r>
        <w:rPr>
          <w:rFonts w:ascii="Calibri" w:cs="Calibri" w:eastAsia="Calibri" w:hAnsi="Calibri"/>
          <w:b/>
          <w:bCs/>
          <w:color w:val="111111"/>
          <w:sz w:val="22"/>
          <w:szCs w:val="22"/>
        </w:rPr>
        <w:t xml:space="preserve">Rule 1: </w:t>
      </w:r>
      <w:r>
        <w:rPr>
          <w:rFonts w:ascii="Calibri" w:cs="Calibri" w:eastAsia="Calibri" w:hAnsi="Calibri"/>
          <w:color w:val="111111"/>
          <w:sz w:val="22"/>
          <w:szCs w:val="22"/>
        </w:rPr>
        <w:t xml:space="preserve">If the SKU's value is bound to one event (a wedding's photos, a wedding's broadcast, a wedding's monogram), it is per-event. This is every apparatus SKU.</w:t>
      </w:r>
    </w:p>
    <w:p>
      <w:pPr>
        <w:pStyle w:val="ListParagraph"/>
        <w:numPr>
          <w:ilvl w:val="0"/>
          <w:numId w:val="2"/>
        </w:numPr>
        <w:spacing w:after="60"/>
      </w:pPr>
      <w:r>
        <w:rPr>
          <w:rFonts w:ascii="Calibri" w:cs="Calibri" w:eastAsia="Calibri" w:hAnsi="Calibri"/>
          <w:b/>
          <w:bCs/>
          <w:color w:val="111111"/>
          <w:sz w:val="22"/>
          <w:szCs w:val="22"/>
        </w:rPr>
        <w:t xml:space="preserve">Rule 2: </w:t>
      </w:r>
      <w:r>
        <w:rPr>
          <w:rFonts w:ascii="Calibri" w:cs="Calibri" w:eastAsia="Calibri" w:hAnsi="Calibri"/>
          <w:color w:val="111111"/>
          <w:sz w:val="22"/>
          <w:szCs w:val="22"/>
        </w:rPr>
        <w:t>If the SKU's value spans multiple events (managing a roster of clients, maintaining a marketing presence, recurring planning tools across engagements), it is per-account. This is every subscription tier above except Setnayan Plus.</w:t>
      </w:r>
    </w:p>
    <w:p>
      <w:pPr>
        <w:spacing w:after="100"/>
      </w:pPr>
      <w:r>
        <w:rPr>
          <w:rFonts w:ascii="Calibri" w:cs="Calibri" w:eastAsia="Calibri" w:hAnsi="Calibri"/>
          <w:b w:val="false"/>
          <w:bCs w:val="false"/>
          <w:color w:val="111111"/>
          <w:sz w:val="22"/>
          <w:szCs w:val="22"/>
        </w:rPr>
        <w:t>Setnayan Plus is the deliberate exception: it's a subscription, but it's per-event. The user is a couple, who only has one event; the subscription auto-cancels at the event date. Treating it as per-event keeps the existing wallet model (wallet attached to event_id) intact and avoids the awkward question of "what happens to the subscription if the couple cancels the wedding."</w:t>
      </w:r>
    </w:p>
    <w:p>
      <w:pPr>
        <w:spacing w:after="200"/>
      </w:pPr>
      <w:r>
        <w:rPr>
          <w:rFonts w:ascii="Calibri" w:cs="Calibri" w:eastAsia="Calibri" w:hAnsi="Calibri"/>
          <w:b w:val="false"/>
          <w:bCs w:val="false"/>
          <w:color w:val="111111"/>
          <w:sz w:val="22"/>
          <w:szCs w:val="22"/>
        </w:rPr>
        <w:t xml:space="preserve">Schema implication: add a subscriptions(subscription_id, user_id, scope ENUM('account', 'event'), event_id NULLABLE, tier, status, billing_cadence_weeks DEFAULT 1) table. RLS policy: couple can only see their own subscriptions; planner can see subscriptions where they're the billing_account; vendor (future) can see their account-scoped subscriptions. This slots cleanly under the universal users + event_members model from iteration 0000.</w:t>
      </w:r>
    </w:p>
    <w:p>
      <w:r>
        <w:br w:type="page"/>
      </w:r>
    </w:p>
    <w:p>
      <w:pPr>
        <w:pStyle w:val="Heading1"/>
        <w:spacing w:after="120" w:before="200"/>
      </w:pPr>
      <w:r>
        <w:rPr>
          <w:rFonts w:ascii="Calibri" w:cs="Calibri" w:eastAsia="Calibri" w:hAnsi="Calibri"/>
          <w:b/>
          <w:bCs/>
          <w:color w:val="111111"/>
          <w:sz w:val="32"/>
          <w:szCs w:val="32"/>
        </w:rPr>
        <w:t xml:space="preserve">Part 3 — Is this a strategic way to earn?</w:t>
      </w:r>
    </w:p>
    <w:p>
      <w:pPr>
        <w:pStyle w:val="Heading2"/>
        <w:spacing w:after="80" w:before="200"/>
      </w:pPr>
      <w:r>
        <w:rPr>
          <w:rFonts w:ascii="Calibri" w:cs="Calibri" w:eastAsia="Calibri" w:hAnsi="Calibri"/>
          <w:b/>
          <w:bCs/>
          <w:color w:val="1F2937"/>
          <w:sz w:val="26"/>
          <w:szCs w:val="26"/>
        </w:rPr>
        <w:t xml:space="preserve">3.1 Revenue model comparison</w:t>
      </w:r>
    </w:p>
    <w:p>
      <w:pPr>
        <w:spacing w:after="100"/>
      </w:pPr>
      <w:r>
        <w:rPr>
          <w:rFonts w:ascii="Calibri" w:cs="Calibri" w:eastAsia="Calibri" w:hAnsi="Calibri"/>
          <w:b w:val="false"/>
          <w:bCs w:val="false"/>
          <w:color w:val="111111"/>
          <w:sz w:val="22"/>
          <w:szCs w:val="22"/>
        </w:rPr>
        <w:t>Three revenue rails against a 1,000-couple base, 200 active wedding planners (estimate), 0 vendors in V1 (Din ships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280"/>
      </w:tblGrid>
      <w:tr>
        <w:trPr>
          <w:tblHeader/>
        </w:trPr>
        <w:tc>
          <w:tcPr>
            <w:tcW w:type="dxa" w:w="30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Rail</w:t>
            </w:r>
          </w:p>
        </w:tc>
        <w:tc>
          <w:tcPr>
            <w:tcW w:type="dxa" w:w="24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GMV / 1000 couples</w:t>
            </w:r>
          </w:p>
        </w:tc>
        <w:tc>
          <w:tcPr>
            <w:tcW w:type="dxa" w:w="240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Marginal cost</w:t>
            </w:r>
          </w:p>
        </w:tc>
        <w:tc>
          <w:tcPr>
            <w:tcW w:type="dxa" w:w="2280"/>
            <w:tcBorders>
              <w:top w:val="single" w:color="B4B4B4" w:sz="4"/>
              <w:left w:val="single" w:color="B4B4B4" w:sz="4"/>
              <w:bottom w:val="single" w:color="B4B4B4" w:sz="4"/>
              <w:right w:val="single" w:color="B4B4B4" w:sz="4"/>
            </w:tcBorders>
            <w:shd w:fill="1F2937"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Notes</w:t>
            </w:r>
          </w:p>
        </w:tc>
      </w:tr>
      <w:tr>
        <w:tc>
          <w:tcPr>
            <w:tcW w:type="dxa" w:w="30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bCs/>
                <w:color w:val="111111"/>
                <w:sz w:val="20"/>
                <w:szCs w:val="20"/>
              </w:rPr>
              <w:t xml:space="preserve">Token wallet (current)</w:t>
            </w:r>
          </w:p>
        </w:tc>
        <w:tc>
          <w:tcPr>
            <w:tcW w:type="dxa" w:w="24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≈₱2.5–4.5M</w:t>
            </w:r>
          </w:p>
        </w:tc>
        <w:tc>
          <w:tcPr>
            <w:tcW w:type="dxa" w:w="240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≈10–13% (PayMongo + breakage)</w:t>
            </w:r>
          </w:p>
        </w:tc>
        <w:tc>
          <w:tcPr>
            <w:tcW w:type="dxa" w:w="2280"/>
            <w:tcBorders>
              <w:top w:val="single" w:color="B4B4B4" w:sz="4"/>
              <w:left w:val="single" w:color="B4B4B4" w:sz="4"/>
              <w:bottom w:val="single" w:color="B4B4B4" w:sz="4"/>
              <w:right w:val="single" w:color="B4B4B4" w:sz="4"/>
            </w:tcBorders>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Already shipping. Revenue per couple = token spend on apparatus + add-ons.</w:t>
            </w:r>
          </w:p>
        </w:tc>
      </w:tr>
      <w:tr>
        <w:tc>
          <w:tcPr>
            <w:tcW w:type="dxa" w:w="30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bCs/>
                <w:color w:val="111111"/>
                <w:sz w:val="20"/>
                <w:szCs w:val="20"/>
              </w:rPr>
              <w:t>Setnayan Plus weekly</w:t>
            </w:r>
          </w:p>
        </w:tc>
        <w:tc>
          <w:tcPr>
            <w:tcW w:type="dxa" w:w="24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≈₱600K–1.5M (incremental)</w:t>
            </w:r>
          </w:p>
        </w:tc>
        <w:tc>
          <w:tcPr>
            <w:tcW w:type="dxa" w:w="240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≈3–5% (Stripe sub fees)</w:t>
            </w:r>
          </w:p>
        </w:tc>
        <w:tc>
          <w:tcPr>
            <w:tcW w:type="dxa" w:w="2280"/>
            <w:tcBorders>
              <w:top w:val="single" w:color="B4B4B4" w:sz="4"/>
              <w:left w:val="single" w:color="B4B4B4" w:sz="4"/>
              <w:bottom w:val="single" w:color="B4B4B4" w:sz="4"/>
              <w:right w:val="single" w:color="B4B4B4" w:sz="4"/>
            </w:tcBorders>
            <w:shd w:fill="F3F4F6"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Adds a recurring rail on planning tools. ~30–60% take-rate plausible if bundled with mood board V2.</w:t>
            </w:r>
          </w:p>
        </w:tc>
      </w:tr>
      <w:tr>
        <w:tc>
          <w:tcPr>
            <w:tcW w:type="dxa" w:w="30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bCs/>
                <w:color w:val="111111"/>
                <w:sz w:val="20"/>
                <w:szCs w:val="20"/>
              </w:rPr>
              <w:t xml:space="preserve">Planner Studio weekly</w:t>
            </w:r>
          </w:p>
        </w:tc>
        <w:tc>
          <w:tcPr>
            <w:tcW w:type="dxa" w:w="24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≈₱2.6M (200 planners × ₱13K/yr)</w:t>
            </w:r>
          </w:p>
        </w:tc>
        <w:tc>
          <w:tcPr>
            <w:tcW w:type="dxa" w:w="240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≈3–5%</w:t>
            </w:r>
          </w:p>
        </w:tc>
        <w:tc>
          <w:tcPr>
            <w:tcW w:type="dxa" w:w="2280"/>
            <w:tcBorders>
              <w:top w:val="single" w:color="B4B4B4" w:sz="4"/>
              <w:left w:val="single" w:color="B4B4B4" w:sz="4"/>
              <w:bottom w:val="single" w:color="B4B4B4" w:sz="4"/>
              <w:right w:val="single" w:color="B4B4B4" w:sz="4"/>
            </w:tcBorders>
            <w:shd w:fill="DCFCE7"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Highest-leverage tier. 200 planners × ₱499/wk × 26 weeks active/yr (planners take breaks).</w:t>
            </w:r>
          </w:p>
        </w:tc>
      </w:tr>
      <w:tr>
        <w:tc>
          <w:tcPr>
            <w:tcW w:type="dxa" w:w="30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bCs/>
                <w:color w:val="111111"/>
                <w:sz w:val="20"/>
                <w:szCs w:val="20"/>
              </w:rPr>
              <w:t>Vendor (Din)</w:t>
            </w:r>
          </w:p>
        </w:tc>
        <w:tc>
          <w:tcPr>
            <w:tcW w:type="dxa" w:w="24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₱0 in V1; ≈₱5–15M/yr at scale</w:t>
            </w:r>
          </w:p>
        </w:tc>
        <w:tc>
          <w:tcPr>
            <w:tcW w:type="dxa" w:w="240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≈3–5%</w:t>
            </w:r>
          </w:p>
        </w:tc>
        <w:tc>
          <w:tcPr>
            <w:tcW w:type="dxa" w:w="2280"/>
            <w:tcBorders>
              <w:top w:val="single" w:color="B4B4B4" w:sz="4"/>
              <w:left w:val="single" w:color="B4B4B4" w:sz="4"/>
              <w:bottom w:val="single" w:color="B4B4B4" w:sz="4"/>
              <w:right w:val="single" w:color="B4B4B4" w:sz="4"/>
            </w:tcBorders>
            <w:shd w:fill="EFEFEF" w:val="clear"/>
            <w:tcMar>
              <w:top w:type="dxa" w:w="80"/>
              <w:left w:type="dxa" w:w="120"/>
              <w:bottom w:type="dxa" w:w="80"/>
              <w:right w:type="dxa" w:w="120"/>
            </w:tcMar>
          </w:tcPr>
          <w:p>
            <w:pPr>
              <w:jc w:val="left"/>
            </w:pPr>
            <w:r>
              <w:rPr>
                <w:rFonts w:ascii="Calibri" w:cs="Calibri" w:eastAsia="Calibri" w:hAnsi="Calibri"/>
                <w:b w:val="false"/>
                <w:bCs w:val="false"/>
                <w:color w:val="111111"/>
                <w:sz w:val="20"/>
                <w:szCs w:val="20"/>
              </w:rPr>
              <w:t xml:space="preserve">Long tail of canonical vendor categories × Lite/Studio mix.</w:t>
            </w:r>
          </w:p>
        </w:tc>
      </w:tr>
    </w:tbl>
    <w:p>
      <w:pPr>
        <w:spacing w:after="200" w:before="80"/>
      </w:pPr>
      <w:r>
        <w:rPr>
          <w:rFonts w:ascii="Calibri" w:cs="Calibri" w:eastAsia="Calibri" w:hAnsi="Calibri"/>
          <w:b w:val="false"/>
          <w:bCs w:val="false"/>
          <w:color w:val="6B7280"/>
          <w:sz w:val="18"/>
          <w:szCs w:val="18"/>
        </w:rPr>
        <w:t xml:space="preserve">Numbers are illustrative — they assume realistic but unverified take-rates. Real numbers should be modeled from launch data.</w:t>
      </w:r>
    </w:p>
    <w:p>
      <w:pPr>
        <w:pStyle w:val="Heading2"/>
        <w:spacing w:after="80" w:before="200"/>
      </w:pPr>
      <w:r>
        <w:rPr>
          <w:rFonts w:ascii="Calibri" w:cs="Calibri" w:eastAsia="Calibri" w:hAnsi="Calibri"/>
          <w:b/>
          <w:bCs/>
          <w:color w:val="1F2937"/>
          <w:sz w:val="26"/>
          <w:szCs w:val="26"/>
        </w:rPr>
        <w:t xml:space="preserve">3.2 Strategic upside</w:t>
      </w:r>
    </w:p>
    <w:p>
      <w:pPr>
        <w:pStyle w:val="ListParagraph"/>
        <w:numPr>
          <w:ilvl w:val="0"/>
          <w:numId w:val="2"/>
        </w:numPr>
        <w:spacing w:after="60"/>
      </w:pPr>
      <w:r>
        <w:rPr>
          <w:rFonts w:ascii="Calibri" w:cs="Calibri" w:eastAsia="Calibri" w:hAnsi="Calibri"/>
          <w:b w:val="false"/>
          <w:bCs w:val="false"/>
          <w:color w:val="111111"/>
          <w:sz w:val="22"/>
          <w:szCs w:val="22"/>
        </w:rPr>
        <w:t xml:space="preserve">Recurring revenue smooths cash flow. One-time event SKUs are lumpy (one couple = one big spike, then nothing). Subscriptions are predictable, which matters more for fundraising / budgeting than headline GMV.</w:t>
      </w:r>
    </w:p>
    <w:p>
      <w:pPr>
        <w:pStyle w:val="ListParagraph"/>
        <w:numPr>
          <w:ilvl w:val="0"/>
          <w:numId w:val="2"/>
        </w:numPr>
        <w:spacing w:after="60"/>
      </w:pPr>
      <w:r>
        <w:rPr>
          <w:rFonts w:ascii="Calibri" w:cs="Calibri" w:eastAsia="Calibri" w:hAnsi="Calibri"/>
          <w:b w:val="false"/>
          <w:bCs w:val="false"/>
          <w:color w:val="111111"/>
          <w:sz w:val="22"/>
          <w:szCs w:val="22"/>
        </w:rPr>
        <w:t>Planner subscription is a wedge. Wedding planners drive 30–50% of vendor referral spend in PH. Capturing planners as recurring users gives Setnayan a position from which to onboard their entire vendor network when Din launches.</w:t>
      </w:r>
    </w:p>
    <w:p>
      <w:pPr>
        <w:pStyle w:val="ListParagraph"/>
        <w:numPr>
          <w:ilvl w:val="0"/>
          <w:numId w:val="2"/>
        </w:numPr>
        <w:spacing w:after="60"/>
      </w:pPr>
      <w:r>
        <w:rPr>
          <w:rFonts w:ascii="Calibri" w:cs="Calibri" w:eastAsia="Calibri" w:hAnsi="Calibri"/>
          <w:b w:val="false"/>
          <w:bCs w:val="false"/>
          <w:color w:val="111111"/>
          <w:sz w:val="22"/>
          <w:szCs w:val="22"/>
        </w:rPr>
        <w:t>Subscription pricing = recurring marketing impressions. A vendor paying ₱149/week is opening Setnayan every week to check their listing. That's a free brand engagement loop the one-time SKU model doesn't generate.</w:t>
      </w:r>
    </w:p>
    <w:p>
      <w:pPr>
        <w:pStyle w:val="ListParagraph"/>
        <w:numPr>
          <w:ilvl w:val="0"/>
          <w:numId w:val="2"/>
        </w:numPr>
        <w:spacing w:after="60"/>
      </w:pPr>
      <w:r>
        <w:rPr>
          <w:rFonts w:ascii="Calibri" w:cs="Calibri" w:eastAsia="Calibri" w:hAnsi="Calibri"/>
          <w:b w:val="false"/>
          <w:bCs w:val="false"/>
          <w:color w:val="111111"/>
          <w:sz w:val="22"/>
          <w:szCs w:val="22"/>
        </w:rPr>
        <w:t xml:space="preserve">Per-account model unlocks the events-platform vision. The 0000 picker already shows 6 event types (Birthday / Celebration / Travel / Corporate / Weddings / Burial). Subscriptions are the natural billing model when one user runs many events over time.</w:t>
      </w:r>
    </w:p>
    <w:p>
      <w:pPr>
        <w:pStyle w:val="Heading2"/>
        <w:spacing w:after="80" w:before="200"/>
      </w:pPr>
      <w:r>
        <w:rPr>
          <w:rFonts w:ascii="Calibri" w:cs="Calibri" w:eastAsia="Calibri" w:hAnsi="Calibri"/>
          <w:b/>
          <w:bCs/>
          <w:color w:val="1F2937"/>
          <w:sz w:val="26"/>
          <w:szCs w:val="26"/>
        </w:rPr>
        <w:t xml:space="preserve">3.3 Strategic risks</w:t>
      </w:r>
    </w:p>
    <w:p>
      <w:pPr>
        <w:pStyle w:val="ListParagraph"/>
        <w:numPr>
          <w:ilvl w:val="0"/>
          <w:numId w:val="2"/>
        </w:numPr>
        <w:spacing w:after="60"/>
      </w:pPr>
      <w:r>
        <w:rPr>
          <w:rFonts w:ascii="Calibri" w:cs="Calibri" w:eastAsia="Calibri" w:hAnsi="Calibri"/>
          <w:b w:val="false"/>
          <w:bCs w:val="false"/>
          <w:color w:val="111111"/>
          <w:sz w:val="22"/>
          <w:szCs w:val="22"/>
        </w:rPr>
        <w:t>Cannibalization. If Setnayan Plus is too generous it siphons from Pro Bundle and per-Template revenue. Mitigant: include planning tools that are not currently sold à la carte (mood board V2 features, step-by-step plan builder); keep Pro widget Pros also available as one-time at ₱100 each.</w:t>
      </w:r>
    </w:p>
    <w:p>
      <w:pPr>
        <w:pStyle w:val="ListParagraph"/>
        <w:numPr>
          <w:ilvl w:val="0"/>
          <w:numId w:val="2"/>
        </w:numPr>
        <w:spacing w:after="60"/>
      </w:pPr>
      <w:r>
        <w:rPr>
          <w:rFonts w:ascii="Calibri" w:cs="Calibri" w:eastAsia="Calibri" w:hAnsi="Calibri"/>
          <w:b w:val="false"/>
          <w:bCs w:val="false"/>
          <w:color w:val="111111"/>
          <w:sz w:val="22"/>
          <w:szCs w:val="22"/>
        </w:rPr>
        <w:t>Subscription fatigue. Filipino consumers are increasingly subscription-skeptical (Netflix, Spotify, GCash GSave). Frame Setnayan Plus as "weekly access" not "subscription" in copy; include clean one-tap cancel.</w:t>
      </w:r>
    </w:p>
    <w:p>
      <w:pPr>
        <w:pStyle w:val="ListParagraph"/>
        <w:numPr>
          <w:ilvl w:val="0"/>
          <w:numId w:val="2"/>
        </w:numPr>
        <w:spacing w:after="60"/>
      </w:pPr>
      <w:r>
        <w:rPr>
          <w:rFonts w:ascii="Calibri" w:cs="Calibri" w:eastAsia="Calibri" w:hAnsi="Calibri"/>
          <w:b w:val="false"/>
          <w:bCs w:val="false"/>
          <w:color w:val="111111"/>
          <w:sz w:val="22"/>
          <w:szCs w:val="22"/>
        </w:rPr>
        <w:t xml:space="preserve">Operational complexity. Adding a recurring billing rail means handling failed payments, dunning, refunds, prorated cancellations. PayMongo recurring is mature but adds support load. Plan for 2–4 weeks of engineering on the subscriptions table + RLS + dunning flow.</w:t>
      </w:r>
    </w:p>
    <w:p>
      <w:pPr>
        <w:pStyle w:val="ListParagraph"/>
        <w:numPr>
          <w:ilvl w:val="0"/>
          <w:numId w:val="2"/>
        </w:numPr>
        <w:spacing w:after="60"/>
      </w:pPr>
      <w:r>
        <w:rPr>
          <w:rFonts w:ascii="Calibri" w:cs="Calibri" w:eastAsia="Calibri" w:hAnsi="Calibri"/>
          <w:b w:val="false"/>
          <w:bCs w:val="false"/>
          <w:color w:val="111111"/>
          <w:sz w:val="22"/>
          <w:szCs w:val="22"/>
        </w:rPr>
        <w:t xml:space="preserve">Planner subscription depends on multi-event UX that doesn't exist yet. Iteration 0000 ships event picker but not a planner-style "all my events" superview. Planner Studio realistically ships in V1.1 or V1.2, not at V1 launch.</w:t>
      </w:r>
    </w:p>
    <w:p>
      <w:pPr>
        <w:pStyle w:val="Heading2"/>
        <w:spacing w:after="80" w:before="200"/>
      </w:pPr>
      <w:r>
        <w:rPr>
          <w:rFonts w:ascii="Calibri" w:cs="Calibri" w:eastAsia="Calibri" w:hAnsi="Calibri"/>
          <w:b/>
          <w:bCs/>
          <w:color w:val="1F2937"/>
          <w:sz w:val="26"/>
          <w:szCs w:val="26"/>
        </w:rPr>
        <w:t xml:space="preserve">3.4 Recommendation</w:t>
      </w:r>
    </w:p>
    <w:p>
      <w:pPr>
        <w:pStyle w:val="ListParagraph"/>
        <w:numPr>
          <w:ilvl w:val="0"/>
          <w:numId w:val="2"/>
        </w:numPr>
        <w:spacing w:after="60"/>
      </w:pPr>
      <w:r>
        <w:rPr>
          <w:rFonts w:ascii="Calibri" w:cs="Calibri" w:eastAsia="Calibri" w:hAnsi="Calibri"/>
          <w:b/>
          <w:bCs/>
          <w:color w:val="111111"/>
          <w:sz w:val="22"/>
          <w:szCs w:val="22"/>
        </w:rPr>
        <w:t xml:space="preserve">Ship Setnayan Plus at launch </w:t>
      </w:r>
      <w:r>
        <w:rPr>
          <w:rFonts w:ascii="Calibri" w:cs="Calibri" w:eastAsia="Calibri" w:hAnsi="Calibri"/>
          <w:color w:val="111111"/>
          <w:sz w:val="22"/>
          <w:szCs w:val="22"/>
        </w:rPr>
        <w:t xml:space="preserve">(₱99/week, per-event, auto-cancel at wedding date + 7 days). Bundle Pro widgets + mood board V2 features + step-by-step plan builder. Position against the ₱200 one-time Pro Bundle as "weekly access including planning tools." Low engineering cost, captures recurring revenue without disturbing token wallet.</w:t>
      </w:r>
    </w:p>
    <w:p>
      <w:pPr>
        <w:pStyle w:val="ListParagraph"/>
        <w:numPr>
          <w:ilvl w:val="0"/>
          <w:numId w:val="2"/>
        </w:numPr>
        <w:spacing w:after="60"/>
      </w:pPr>
      <w:r>
        <w:rPr>
          <w:rFonts w:ascii="Calibri" w:cs="Calibri" w:eastAsia="Calibri" w:hAnsi="Calibri"/>
          <w:b/>
          <w:bCs/>
          <w:color w:val="111111"/>
          <w:sz w:val="22"/>
          <w:szCs w:val="22"/>
        </w:rPr>
        <w:t xml:space="preserve">Ship Planner Studio in V1.1 </w:t>
      </w:r>
      <w:r>
        <w:rPr>
          <w:rFonts w:ascii="Calibri" w:cs="Calibri" w:eastAsia="Calibri" w:hAnsi="Calibri"/>
          <w:color w:val="111111"/>
          <w:sz w:val="22"/>
          <w:szCs w:val="22"/>
        </w:rPr>
        <w:t xml:space="preserve">(₱499/week, per-account). Requires planner multi-event superview + 10% token credit mechanic. ~6 weeks engineering. Highest expected revenue impact.</w:t>
      </w:r>
    </w:p>
    <w:p>
      <w:pPr>
        <w:pStyle w:val="ListParagraph"/>
        <w:numPr>
          <w:ilvl w:val="0"/>
          <w:numId w:val="2"/>
        </w:numPr>
        <w:spacing w:after="60"/>
      </w:pPr>
      <w:r>
        <w:rPr>
          <w:rFonts w:ascii="Calibri" w:cs="Calibri" w:eastAsia="Calibri" w:hAnsi="Calibri"/>
          <w:b/>
          <w:bCs/>
          <w:color w:val="111111"/>
          <w:sz w:val="22"/>
          <w:szCs w:val="22"/>
        </w:rPr>
        <w:t xml:space="preserve">Defer Vendor Lite / Studio to Din Phase 3 </w:t>
      </w:r>
      <w:r>
        <w:rPr>
          <w:rFonts w:ascii="Calibri" w:cs="Calibri" w:eastAsia="Calibri" w:hAnsi="Calibri"/>
          <w:color w:val="111111"/>
          <w:sz w:val="22"/>
          <w:szCs w:val="22"/>
        </w:rPr>
        <w:t xml:space="preserve">(₱149 / ₱449 per week, per-account). Schema-design forward in V1 so migration is data-only. Don't build vendor-facing UI in V1 — focus on couple-side polish.</w:t>
      </w:r>
    </w:p>
    <w:p>
      <w:pPr>
        <w:pStyle w:val="ListParagraph"/>
        <w:numPr>
          <w:ilvl w:val="0"/>
          <w:numId w:val="2"/>
        </w:numPr>
        <w:spacing w:after="60"/>
      </w:pPr>
      <w:r>
        <w:rPr>
          <w:rFonts w:ascii="Calibri" w:cs="Calibri" w:eastAsia="Calibri" w:hAnsi="Calibri"/>
          <w:b/>
          <w:bCs/>
          <w:color w:val="111111"/>
          <w:sz w:val="22"/>
          <w:szCs w:val="22"/>
        </w:rPr>
        <w:t xml:space="preserve">Reconcile 00_Pricing_and_Costs.xlsx before any pricing decision ships. </w:t>
      </w:r>
      <w:r>
        <w:rPr>
          <w:rFonts w:ascii="Calibri" w:cs="Calibri" w:eastAsia="Calibri" w:hAnsi="Calibri"/>
          <w:color w:val="111111"/>
          <w:sz w:val="22"/>
          <w:szCs w:val="22"/>
        </w:rPr>
        <w:t xml:space="preserve">It's the artifact stakeholders will check, and it's currently one full reset behind. The drift table in §1.1 is the punch list.</w:t>
      </w:r>
    </w:p>
    <w:p>
      <w:pPr>
        <w:spacing w:after="100"/>
      </w:pPr>
      <w:r>
        <w:rPr>
          <w:rFonts w:ascii="Calibri" w:cs="Calibri" w:eastAsia="Calibri" w:hAnsi="Calibri"/>
          <w:b w:val="false"/>
          <w:bCs w:val="false"/>
          <w:color w:val="111111"/>
          <w:sz w:val="22"/>
          <w:szCs w:val="22"/>
        </w:rPr>
        <w:t xml:space="preserve"/>
      </w:r>
    </w:p>
    <w:p>
      <w:pPr>
        <w:spacing w:after="80" w:before="200"/>
      </w:pPr>
      <w:r>
        <w:rPr>
          <w:rFonts w:ascii="Calibri" w:cs="Calibri" w:eastAsia="Calibri" w:hAnsi="Calibri"/>
          <w:b/>
          <w:bCs/>
          <w:color w:val="111111"/>
          <w:sz w:val="22"/>
          <w:szCs w:val="22"/>
        </w:rPr>
        <w:t xml:space="preserve">Open questions for owner sign-off:</w:t>
      </w:r>
    </w:p>
    <w:p>
      <w:pPr>
        <w:pStyle w:val="ListParagraph"/>
        <w:numPr>
          <w:ilvl w:val="0"/>
          <w:numId w:val="2"/>
        </w:numPr>
        <w:spacing w:after="60"/>
      </w:pPr>
      <w:r>
        <w:rPr>
          <w:rFonts w:ascii="Calibri" w:cs="Calibri" w:eastAsia="Calibri" w:hAnsi="Calibri"/>
          <w:b w:val="false"/>
          <w:bCs w:val="false"/>
          <w:color w:val="111111"/>
          <w:sz w:val="22"/>
          <w:szCs w:val="22"/>
        </w:rPr>
        <w:t>Does Setnayan Plus include the per-Template add-on or not? Inclusion makes it more compelling; exclusion protects per-Template revenue.</w:t>
      </w:r>
    </w:p>
    <w:p>
      <w:pPr>
        <w:pStyle w:val="ListParagraph"/>
        <w:numPr>
          <w:ilvl w:val="0"/>
          <w:numId w:val="2"/>
        </w:numPr>
        <w:spacing w:after="60"/>
      </w:pPr>
      <w:r>
        <w:rPr>
          <w:rFonts w:ascii="Calibri" w:cs="Calibri" w:eastAsia="Calibri" w:hAnsi="Calibri"/>
          <w:b w:val="false"/>
          <w:bCs w:val="false"/>
          <w:color w:val="111111"/>
          <w:sz w:val="22"/>
          <w:szCs w:val="22"/>
        </w:rPr>
        <w:t xml:space="preserve">Auto-cancel grace: 7 days post-wedding (proposed) or 30 days?</w:t>
      </w:r>
    </w:p>
    <w:p>
      <w:pPr>
        <w:pStyle w:val="ListParagraph"/>
        <w:numPr>
          <w:ilvl w:val="0"/>
          <w:numId w:val="2"/>
        </w:numPr>
        <w:spacing w:after="60"/>
      </w:pPr>
      <w:r>
        <w:rPr>
          <w:rFonts w:ascii="Calibri" w:cs="Calibri" w:eastAsia="Calibri" w:hAnsi="Calibri"/>
          <w:b w:val="false"/>
          <w:bCs w:val="false"/>
          <w:color w:val="111111"/>
          <w:sz w:val="22"/>
          <w:szCs w:val="22"/>
        </w:rPr>
        <w:t xml:space="preserve">Planner Studio's 10% token credit — flat or scales with subscription tenure?</w:t>
      </w:r>
    </w:p>
    <w:p>
      <w:pPr>
        <w:pStyle w:val="ListParagraph"/>
        <w:numPr>
          <w:ilvl w:val="0"/>
          <w:numId w:val="2"/>
        </w:numPr>
        <w:spacing w:after="60"/>
      </w:pPr>
      <w:r>
        <w:rPr>
          <w:rFonts w:ascii="Calibri" w:cs="Calibri" w:eastAsia="Calibri" w:hAnsi="Calibri"/>
          <w:b w:val="false"/>
          <w:bCs w:val="false"/>
          <w:color w:val="111111"/>
          <w:sz w:val="22"/>
          <w:szCs w:val="22"/>
        </w:rPr>
        <w:t xml:space="preserve">Should V1 launch with subscription rail at all, or ship token-only and add subscriptions in V1.1 once we have couple-spend data?</w:t>
      </w:r>
    </w:p>
    <w:p>
      <w:pPr>
        <w:spacing w:after="100"/>
      </w:pPr>
      <w:r>
        <w:rPr>
          <w:rFonts w:ascii="Calibri" w:cs="Calibri" w:eastAsia="Calibri" w:hAnsi="Calibri"/>
          <w:b w:val="false"/>
          <w:bCs w:val="false"/>
          <w:color w:val="111111"/>
          <w:sz w:val="22"/>
          <w:szCs w:val="22"/>
        </w:rPr>
        <w:t xml:space="preserve"/>
      </w:r>
    </w:p>
    <w:p>
      <w:pPr>
        <w:spacing w:before="240"/>
        <w:jc w:val="center"/>
      </w:pPr>
      <w:r>
        <w:rPr>
          <w:rFonts w:ascii="Calibri" w:cs="Calibri" w:eastAsia="Calibri" w:hAnsi="Calibri"/>
          <w:b w:val="false"/>
          <w:bCs w:val="false"/>
          <w:color w:val="9CA3AF"/>
          <w:sz w:val="22"/>
          <w:szCs w:val="22"/>
        </w:rPr>
        <w:t xml:space="preserve">— end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8"/>
        <w:szCs w:val="18"/>
      </w:rPr>
      <w:t>Setnayan · Pricing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11111"/>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7415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Pricing Audit &amp; Subscription Strategy</dc:title>
  <dc:creator>Claude</dc:creator>
  <cp:lastModifiedBy>Un-named</cp:lastModifiedBy>
  <cp:revision>1</cp:revision>
  <dcterms:created xsi:type="dcterms:W3CDTF">2026-05-10T15:51:34.839Z</dcterms:created>
  <dcterms:modified xsi:type="dcterms:W3CDTF">2026-05-10T15:51:34.840Z</dcterms:modified>
</cp:coreProperties>
</file>

<file path=docProps/custom.xml><?xml version="1.0" encoding="utf-8"?>
<Properties xmlns="http://schemas.openxmlformats.org/officeDocument/2006/custom-properties" xmlns:vt="http://schemas.openxmlformats.org/officeDocument/2006/docPropsVTypes"/>
</file>