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DOCUMENT SET</w:t>
      </w:r>
    </w:p>
    <w:p>
      <w:pPr>
        <w:spacing w:after="120" w:before="60"/>
      </w:pPr>
      <w:r>
        <w:rPr>
          <w:b/>
          <w:bCs/>
          <w:color w:val="1F3A5F"/>
          <w:sz w:val="72"/>
          <w:szCs w:val="72"/>
        </w:rPr>
        <w:t xml:space="preserve">Strategy Document Set — Master Index</w:t>
      </w:r>
    </w:p>
    <w:p>
      <w:pPr>
        <w:pBdr>
          <w:bottom w:val="single" w:color="C9A961" w:sz="18" w:space="6"/>
        </w:pBdr>
        <w:spacing w:after="240" w:before="0"/>
      </w:pPr>
      <w:r>
        <w:t xml:space="preserve"/>
      </w:r>
    </w:p>
    <w:p>
      <w:pPr>
        <w:spacing w:after="360" w:before="60"/>
      </w:pPr>
      <w:r>
        <w:rPr>
          <w:i/>
          <w:iCs/>
          <w:color w:val="2E2E2E"/>
          <w:sz w:val="32"/>
          <w:szCs w:val="32"/>
        </w:rPr>
        <w:t xml:space="preserve">How to navigate the 10 documents in this strategy folder, and which one to open when.</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v1.0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Internal Strategy</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Welcome</w:t>
      </w:r>
    </w:p>
    <w:p>
      <w:pPr>
        <w:spacing w:after="100" w:before="60" w:line="320"/>
        <w:jc w:val="both"/>
      </w:pPr>
      <w:r>
        <w:t>This folder contains the strategy document set for Setnayan — the Wedding &amp; Event OS for the Philippines. It is designed to be read by different audiences for different purposes. This index tells you which document to open for which question, and gives a 100-word summary of what each one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How to use this set: </w:t>
            </w:r>
            <w:r>
              <w:rPr>
                <w:color w:val="1A1A1A"/>
              </w:rPr>
              <w:t xml:space="preserve">Pick the document that matches your task. Investors → start with 09 Investor Pitch Deck. Customers → 05 Customer Magazine or 05b One-Pager. Vendors and coordinators → 07 Flyers Pack. Internal team → 04 Risk + 08 GTM + 02 SWOT. Strategic / fundraising work → 01 Competitor Analysis + 03 Market Need + 02 SWOT + 09 Pitch Deck.</w:t>
            </w:r>
          </w:p>
        </w:tc>
      </w:tr>
    </w:tbl>
    <w:p>
      <w:r>
        <w:br w:type="page"/>
      </w:r>
    </w:p>
    <w:p>
      <w:pPr>
        <w:pStyle w:val="Heading1"/>
      </w:pPr>
      <w:r>
        <w:t xml:space="preserve">The 10 Documents</w:t>
      </w:r>
    </w:p>
    <w:p>
      <w:pPr>
        <w:pStyle w:val="Heading2"/>
      </w:pPr>
      <w:r>
        <w:t xml:space="preserve">01 — Competitor Analysis</w:t>
      </w:r>
    </w:p>
    <w:p>
      <w:pPr>
        <w:spacing w:after="100" w:before="60" w:line="320"/>
        <w:jc w:val="both"/>
      </w:pPr>
      <w:r>
        <w:t>A four-layer map of the Philippine wedding tech landscape: planning suites (WedPlanner.ph, Joy, Zola, Appy Couple), guest experience and photo apps (POV, Wedibox, Kululu, Veri), vendor marketplaces (Kasal.com, Eventory.ph, Bridestory), and DIY substitutes (Viber, Sheets, Apple Shared Album). Includes positioning matrix, feature comparison, pricing comparison, and Setnayan's five defensible moats.</w:t>
      </w:r>
    </w:p>
    <w:p>
      <w:pPr>
        <w:spacing w:after="100" w:before="60" w:line="320"/>
        <w:jc w:val="both"/>
      </w:pPr>
      <w:r>
        <w:t>Open this when: preparing an investor meeting, defending Setnayan's positioning to a partner, prioritizing a feature relative to a competitor, or building any pitch around the ‘open quadrant’ argument.</w:t>
      </w:r>
    </w:p>
    <w:p>
      <w:pPr>
        <w:pStyle w:val="Heading2"/>
      </w:pPr>
      <w:r>
        <w:t xml:space="preserve">02 — SWOT Analysis</w:t>
      </w:r>
    </w:p>
    <w:p>
      <w:pPr>
        <w:spacing w:after="100" w:before="60" w:line="320"/>
        <w:jc w:val="both"/>
      </w:pPr>
      <w:r>
        <w:t>Strengths, weaknesses, opportunities, and threats — paired with strategic implications and a TOWS matrix that converts each pairing into eight concrete moves Setnayan should make in the next twelve months. Honest about execution risk, market shrinkage, and competitor response.</w:t>
      </w:r>
    </w:p>
    <w:p>
      <w:pPr>
        <w:spacing w:after="100" w:before="60" w:line="320"/>
        <w:jc w:val="both"/>
      </w:pPr>
      <w:r>
        <w:t xml:space="preserve">Open this when: doing strategic planning, onboarding a new team member, preparing a board update, or stress-testing a major decision.</w:t>
      </w:r>
    </w:p>
    <w:p>
      <w:pPr>
        <w:pStyle w:val="Heading2"/>
      </w:pPr>
      <w:r>
        <w:t xml:space="preserve">03 — Market Need / Demand Validation</w:t>
      </w:r>
    </w:p>
    <w:p>
      <w:pPr>
        <w:spacing w:after="100" w:before="60" w:line="320"/>
        <w:jc w:val="both"/>
      </w:pPr>
      <w:r>
        <w:t>Validates Setnayan's market thesis across four dimensions: market sizing (TAM ₱5–10B / SAM ₱520M–780M / Year 1 SOM ₱10M); customer pain (universal, chronic, multi-stakeholder); jobs-to-be-done (seven primary jobs underserved by today's tool stack); and demand signals (willingness-to-pay precedented globally and adjacently in PH). Concludes with three pre-launch validation experiments.</w:t>
      </w:r>
    </w:p>
    <w:p>
      <w:pPr>
        <w:spacing w:after="100" w:before="60" w:line="320"/>
        <w:jc w:val="both"/>
      </w:pPr>
      <w:r>
        <w:t xml:space="preserve">Open this when: an investor or partner asks ‘is the need real,’ when prioritizing the V1 build cuts, or when planning the GTM acquisition channels.</w:t>
      </w:r>
    </w:p>
    <w:p>
      <w:pPr>
        <w:pStyle w:val="Heading2"/>
      </w:pPr>
      <w:r>
        <w:t xml:space="preserve">04 — Risk &amp; Mitigation Plan</w:t>
      </w:r>
    </w:p>
    <w:p>
      <w:pPr>
        <w:spacing w:after="100" w:before="60" w:line="320"/>
        <w:jc w:val="both"/>
      </w:pPr>
      <w:r>
        <w:t xml:space="preserve">The operating risk register expanded from V1 spec Section 17. Categorized into market, product, technical / infrastructure, regulatory &amp; compliance, financial, operational, and strategic / competitive risks. Each risk is rated for likelihood and impact, has a documented mitigation, and is assigned an owner. Includes a quarterly risk review cadence.</w:t>
      </w:r>
    </w:p>
    <w:p>
      <w:pPr>
        <w:spacing w:after="100" w:before="60" w:line="320"/>
        <w:jc w:val="both"/>
      </w:pPr>
      <w:r>
        <w:t xml:space="preserve">Open this when: doing a risk review with the team, before a major release, when an investor asks about downside scenarios, or after any incident or near-miss.</w:t>
      </w:r>
    </w:p>
    <w:p>
      <w:pPr>
        <w:pStyle w:val="Heading2"/>
      </w:pPr>
      <w:r>
        <w:t xml:space="preserve">05 — Customer Magazine</w:t>
      </w:r>
    </w:p>
    <w:p>
      <w:pPr>
        <w:spacing w:after="100" w:before="60" w:line="320"/>
        <w:jc w:val="both"/>
      </w:pPr>
      <w:r>
        <w:t>Editorial-style, customer-facing magazine that introduces couples and guests to Setnayan. Six chapters: why we built Setnayan, how it works for couples, how it works for guests, three real Filipino wedding scenarios, privacy by design, and how to start. Designed to read like a love letter to the Filipino wedding, not a product brochure. Includes FAQ.</w:t>
      </w:r>
    </w:p>
    <w:p>
      <w:pPr>
        <w:spacing w:after="100" w:before="60" w:line="320"/>
        <w:jc w:val="both"/>
      </w:pPr>
      <w:r>
        <w:t>Open this when: pitching the product to a couple, training customer support on Setnayan's voice, or sending a high-value lead a polished introduction.</w:t>
      </w:r>
    </w:p>
    <w:p>
      <w:pPr>
        <w:pStyle w:val="Heading2"/>
      </w:pPr>
      <w:r>
        <w:t xml:space="preserve">05b — Customer One-Pager</w:t>
      </w:r>
    </w:p>
    <w:p>
      <w:pPr>
        <w:spacing w:after="100" w:before="60" w:line="320"/>
        <w:jc w:val="both"/>
      </w:pPr>
      <w:r>
        <w:t>Concise, one-page distillation of the Customer Magazine. Pricing tier table, four reasons couples choose Setnayan, privacy summary, and a clear call to action. Designed to be printed or PDF'd and handed out at vendor partnerships, bridal expos, or sales conversations.</w:t>
      </w:r>
    </w:p>
    <w:p>
      <w:pPr>
        <w:spacing w:after="100" w:before="60" w:line="320"/>
        <w:jc w:val="both"/>
      </w:pPr>
      <w:r>
        <w:t xml:space="preserve">Open this when: you need a quick handout, a PDF for an email attachment, or a slide for a partner deck.</w:t>
      </w:r>
    </w:p>
    <w:p>
      <w:pPr>
        <w:pStyle w:val="Heading2"/>
      </w:pPr>
      <w:r>
        <w:t xml:space="preserve">06 — Pricing Magazine</w:t>
      </w:r>
    </w:p>
    <w:p>
      <w:pPr>
        <w:spacing w:after="100" w:before="60" w:line="320"/>
        <w:jc w:val="both"/>
      </w:pPr>
      <w:r>
        <w:t>Full pricing catalog as a magazine. Five sections: how Setnayan pricing works (three principles), the four base tiers in detail, the full add-on catalog (QR keepsakes, NFC, Photo Team, hardware, resolution / storage / access, post-event personalization), coverage windows and date-aware pricing, wedding-size guide, and pricing FAQ.</w:t>
      </w:r>
    </w:p>
    <w:p>
      <w:pPr>
        <w:spacing w:after="100" w:before="60" w:line="320"/>
        <w:jc w:val="both"/>
      </w:pPr>
      <w:r>
        <w:t>Open this when: a customer asks about pricing in detail, a vendor partner asks how Setnayan monetizes, or you need a reference for any pricing-related question.</w:t>
      </w:r>
    </w:p>
    <w:p>
      <w:pPr>
        <w:pStyle w:val="Heading2"/>
      </w:pPr>
      <w:r>
        <w:t xml:space="preserve">06b — Pricing One-Pager</w:t>
      </w:r>
    </w:p>
    <w:p>
      <w:pPr>
        <w:spacing w:after="100" w:before="60" w:line="320"/>
        <w:jc w:val="both"/>
      </w:pPr>
      <w:r>
        <w:t xml:space="preserve">Concise, one-page distillation of the Pricing Magazine. Base tiers, top add-ons, wedding-size guide, payment methods, and a clear call to action. Designed for partner inquiries, sales conversations, and quick reference.</w:t>
      </w:r>
    </w:p>
    <w:p>
      <w:pPr>
        <w:spacing w:after="100" w:before="60" w:line="320"/>
        <w:jc w:val="both"/>
      </w:pPr>
      <w:r>
        <w:t xml:space="preserve">Open this when: you need a fast pricing answer or a clean handout.</w:t>
      </w:r>
    </w:p>
    <w:p>
      <w:pPr>
        <w:pStyle w:val="Heading2"/>
      </w:pPr>
      <w:r>
        <w:t xml:space="preserve">07 — Flyers Pack</w:t>
      </w:r>
    </w:p>
    <w:p>
      <w:pPr>
        <w:spacing w:after="100" w:before="60" w:line="320"/>
        <w:jc w:val="both"/>
      </w:pPr>
      <w:r>
        <w:t xml:space="preserve">Four audience-specific flyers in one document: For Couples (‘Plan less. Live more.’), For Guests (‘One QR. Everything.’), For Vendors (‘List free. Earn when chosen.’), For Coordinators (‘The dashboard you've been waiting for.’). Each flyer is one page, ready to print, designed for partnership materials, expos, and direct outreach.</w:t>
      </w:r>
    </w:p>
    <w:p>
      <w:pPr>
        <w:spacing w:after="100" w:before="60" w:line="320"/>
        <w:jc w:val="both"/>
      </w:pPr>
      <w:r>
        <w:t xml:space="preserve">Open this when: attending a bridal expo, doing partnership outreach, or assembling a partner welcome kit.</w:t>
      </w:r>
    </w:p>
    <w:p>
      <w:pPr>
        <w:pStyle w:val="Heading2"/>
      </w:pPr>
      <w:r>
        <w:t xml:space="preserve">08 — Go-to-Market Plan</w:t>
      </w:r>
    </w:p>
    <w:p>
      <w:pPr>
        <w:spacing w:after="100" w:before="60" w:line="320"/>
        <w:jc w:val="both"/>
      </w:pPr>
      <w:r>
        <w:t xml:space="preserve">The Year 1 operating plan for acquiring 1,500 paying couples and seeding the compounding guest-to-couple loop. Five GTM pillars (vendor distribution, earned media, paid social, compounding guest loop, founder-led storytelling), the first 90 days week-by-week, channel sequencing, pricing rollout, sales funnel KPIs, ₱2.95M Year 1 GTM budget, and risks to the plan.</w:t>
      </w:r>
    </w:p>
    <w:p>
      <w:pPr>
        <w:spacing w:after="100" w:before="60" w:line="320"/>
        <w:jc w:val="both"/>
      </w:pPr>
      <w:r>
        <w:t xml:space="preserve">Open this when: planning the next quarter's marketing, hiring a marketing role, or briefing a PR partner.</w:t>
      </w:r>
    </w:p>
    <w:p>
      <w:pPr>
        <w:pStyle w:val="Heading2"/>
      </w:pPr>
      <w:r>
        <w:t xml:space="preserve">09 — Investor Pitch Deck</w:t>
      </w:r>
    </w:p>
    <w:p>
      <w:pPr>
        <w:spacing w:after="100" w:before="60" w:line="320"/>
        <w:jc w:val="both"/>
      </w:pPr>
      <w:r>
        <w:t xml:space="preserve">Sixteen-slide pitch deck script for seed / pre-seed conversations. Each slide includes the headline, subtitle, on-slide content, and full speaker notes. Includes a five-minute live demo flow and a Q&amp;A briefing with anticipated investor questions and prepared answers. Designed to be paired with a 12–18 minute live pitch.</w:t>
      </w:r>
    </w:p>
    <w:p>
      <w:pPr>
        <w:spacing w:after="100" w:before="60" w:line="320"/>
        <w:jc w:val="both"/>
      </w:pPr>
      <w:r>
        <w:t xml:space="preserve">Open this when: preparing for an investor meeting, briefing a co-founder for a pitch, or extracting talking points for an angel call.</w:t>
      </w:r>
    </w:p>
    <w:p>
      <w:pPr>
        <w:pStyle w:val="Heading2"/>
      </w:pPr>
      <w:r>
        <w:t xml:space="preserve">10 — Brand &amp; Messaging Guide</w:t>
      </w:r>
    </w:p>
    <w:p>
      <w:pPr>
        <w:spacing w:after="100" w:before="60" w:line="320"/>
        <w:jc w:val="both"/>
      </w:pPr>
      <w:r>
        <w:t>Voice and tone, taglines, value propositions per audience, channel-specific style (in-product, email, push, social, press), the Filipino-English language question, and a 60-second brand test. Includes a ‘Don't Sound Like This’ section showing what we explicitly avoid. The operating manual for keeping Setnayan's voice consistent across surfaces.</w:t>
      </w:r>
    </w:p>
    <w:p>
      <w:pPr>
        <w:spacing w:after="100" w:before="60" w:line="320"/>
        <w:jc w:val="both"/>
      </w:pPr>
      <w:r>
        <w:t xml:space="preserve">Open this when: writing any external-facing copy, briefing a designer or copywriter, or training a new customer-support hire.</w:t>
      </w:r>
    </w:p>
    <w:p>
      <w:r>
        <w:br w:type="page"/>
      </w:r>
    </w:p>
    <w:p>
      <w:pPr>
        <w:pStyle w:val="Heading1"/>
      </w:pPr>
      <w:r>
        <w:t xml:space="preserve">Document Map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Audience</w:t>
            </w:r>
          </w:p>
        </w:tc>
        <w:tc>
          <w:tcPr>
            <w:tcW w:type="dxa" w:w="4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Primary documents</w:t>
            </w:r>
          </w:p>
        </w:tc>
        <w:tc>
          <w:tcPr>
            <w:tcW w:type="dxa" w:w="31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Secondary</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Engaged couples</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05 Customer Magazine, 05b One-Pager, 06 Pricing Magazine, 06b One-Pager</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07 Flyers (couples flyer)</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Wedding guests</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07 Flyers (guests flyer)</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05 Customer Magazine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Vendors / suppliers</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07 Flyers (vendors flyer), 08 GTM Plan</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01 Competitor Analysis, 06 Pricing Magazine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Coordinators</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07 Flyers (coordinators flyer), 08 GTM Plan</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10 Brand Guide (for partners speaking on Setnayan's behalf)</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Investors / VCs</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09 Investor Pitch Deck, 03 Market Need, 02 SWOT</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01 Competitor Analysis, 04 Risk Plan, 08 GTM Plan</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Internal team</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04 Risk Plan, 08 GTM Plan, 02 SWOT, 10 Brand Guide</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10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Press / journalists</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 Brand Guide, 09 Pitch Deck, 03 Market Need</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Founder-led story angle from 10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Personal documentation</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10 — start with this index</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bl>
    <w:p>
      <w:r>
        <w:br w:type="page"/>
      </w:r>
    </w:p>
    <w:p>
      <w:pPr>
        <w:pStyle w:val="Heading1"/>
      </w:pPr>
      <w:r>
        <w:t xml:space="preserve">Versioning &amp; Updates</w:t>
      </w:r>
    </w:p>
    <w:p>
      <w:pPr>
        <w:spacing w:after="100" w:before="60" w:line="320"/>
        <w:jc w:val="both"/>
      </w:pPr>
      <w:r>
        <w:t xml:space="preserve">All documents in this set are versioned at v1.0 — May 2026. They will be updated quarterly through V1 launch, then on a release cadence (V1 → V1.5 → V2). Major updates require a re-export and republication; minor updates are tracked in a change log appended to each file.</w:t>
      </w:r>
    </w:p>
    <w:p>
      <w:pPr>
        <w:pStyle w:val="ListParagraph"/>
        <w:numPr>
          <w:ilvl w:val="0"/>
          <w:numId w:val="2"/>
        </w:numPr>
        <w:spacing w:after="40" w:before="40" w:line="300"/>
      </w:pPr>
      <w:r>
        <w:t xml:space="preserve">Quarterly: full review of 04 Risk Plan and 08 GTM Plan.</w:t>
      </w:r>
    </w:p>
    <w:p>
      <w:pPr>
        <w:pStyle w:val="ListParagraph"/>
        <w:numPr>
          <w:ilvl w:val="0"/>
          <w:numId w:val="2"/>
        </w:numPr>
        <w:spacing w:after="40" w:before="40" w:line="300"/>
      </w:pPr>
      <w:r>
        <w:t xml:space="preserve">Pre-V1 launch: refresh of 03 Market Need with validation experiment results.</w:t>
      </w:r>
    </w:p>
    <w:p>
      <w:pPr>
        <w:pStyle w:val="ListParagraph"/>
        <w:numPr>
          <w:ilvl w:val="0"/>
          <w:numId w:val="2"/>
        </w:numPr>
        <w:spacing w:after="40" w:before="40" w:line="300"/>
      </w:pPr>
      <w:r>
        <w:t xml:space="preserve">Pre-V1.5 launch: refresh of 06 Pricing Magazine and 05 Customer Magazine.</w:t>
      </w:r>
    </w:p>
    <w:p>
      <w:pPr>
        <w:pStyle w:val="ListParagraph"/>
        <w:numPr>
          <w:ilvl w:val="0"/>
          <w:numId w:val="2"/>
        </w:numPr>
        <w:spacing w:after="40" w:before="40" w:line="300"/>
      </w:pPr>
      <w:r>
        <w:t xml:space="preserve">Pre-V2 launch: comprehensive refresh of all 10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All documents share a common voice, palette, and structure. </w:t>
            </w:r>
            <w:r>
              <w:rPr>
                <w:color w:val="1A1A1A"/>
              </w:rPr>
              <w:t xml:space="preserve">If something feels off in voice or tone, return to 10 Brand &amp; Messaging Guide. If something feels off strategically, return to 01 Competitor Analysis or 02 SWOT. The discipline is consistency across the set.</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MASTER INDEX</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Strategy Document Set Master Index</dc:title>
  <dc:creator>Setnayan</dc:creator>
  <dc:description>Setnayan — Strategy Document Set Master Index</dc:description>
  <cp:lastModifiedBy>Un-named</cp:lastModifiedBy>
  <cp:revision>1</cp:revision>
  <dcterms:created xsi:type="dcterms:W3CDTF">2026-05-06T20:21:21.490Z</dcterms:created>
  <dcterms:modified xsi:type="dcterms:W3CDTF">2026-05-06T20:21:21.490Z</dcterms:modified>
</cp:coreProperties>
</file>

<file path=docProps/custom.xml><?xml version="1.0" encoding="utf-8"?>
<Properties xmlns="http://schemas.openxmlformats.org/officeDocument/2006/custom-properties" xmlns:vt="http://schemas.openxmlformats.org/officeDocument/2006/docPropsVTypes"/>
</file>