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pStyle w:val="Eyebrow"/>
      </w:pPr>
      <w:r>
        <w:t xml:space="preserve">TAYO  /  RISK MANAGEMENT</w:t>
      </w:r>
    </w:p>
    <w:p>
      <w:pPr>
        <w:spacing w:after="120" w:before="60"/>
      </w:pPr>
      <w:r>
        <w:rPr>
          <w:b/>
          <w:bCs/>
          <w:color w:val="1F3A5F"/>
          <w:sz w:val="72"/>
          <w:szCs w:val="72"/>
        </w:rPr>
        <w:t xml:space="preserve">Risk &amp; Mitigation Plan</w:t>
      </w:r>
    </w:p>
    <w:p>
      <w:pPr>
        <w:pBdr>
          <w:bottom w:val="single" w:color="C9A961" w:sz="18" w:space="6"/>
        </w:pBdr>
        <w:spacing w:after="240" w:before="0"/>
      </w:pPr>
      <w:r>
        <w:t xml:space="preserve"/>
      </w:r>
    </w:p>
    <w:p>
      <w:pPr>
        <w:spacing w:after="360" w:before="60"/>
      </w:pPr>
      <w:r>
        <w:rPr>
          <w:i/>
          <w:iCs/>
          <w:color w:val="2E2E2E"/>
          <w:sz w:val="32"/>
          <w:szCs w:val="32"/>
        </w:rPr>
        <w:t xml:space="preserve">What could go wrong, how likely it is, what it would cost, and what we will do.</w:t>
      </w:r>
    </w:p>
    <w:p>
      <w:pPr>
        <w:spacing w:after="2400" w:before="0"/>
      </w:pPr>
      <w:r>
        <w:t xml:space="preserve"/>
      </w:r>
    </w:p>
    <w:p>
      <w:r>
        <w:rPr>
          <w:caps/>
          <w:color w:val="6B6B6B"/>
          <w:spacing w:val="60"/>
          <w:sz w:val="18"/>
          <w:szCs w:val="18"/>
        </w:rPr>
        <w:t xml:space="preserve">Document version</w:t>
      </w:r>
    </w:p>
    <w:p>
      <w:pPr>
        <w:spacing w:after="200"/>
      </w:pPr>
      <w:r>
        <w:rPr>
          <w:b/>
          <w:bCs/>
          <w:color w:val="1A1A1A"/>
          <w:sz w:val="24"/>
          <w:szCs w:val="24"/>
        </w:rPr>
        <w:t xml:space="preserve">v1.0 — May 2026</w:t>
      </w:r>
    </w:p>
    <w:p>
      <w:r>
        <w:rPr>
          <w:caps/>
          <w:color w:val="6B6B6B"/>
          <w:spacing w:val="60"/>
          <w:sz w:val="18"/>
          <w:szCs w:val="18"/>
        </w:rPr>
        <w:t xml:space="preserve">Date</w:t>
      </w:r>
    </w:p>
    <w:p>
      <w:pPr>
        <w:spacing w:after="200"/>
      </w:pPr>
      <w:r>
        <w:rPr>
          <w:b/>
          <w:bCs/>
          <w:color w:val="1A1A1A"/>
          <w:sz w:val="24"/>
          <w:szCs w:val="24"/>
        </w:rPr>
        <w:t xml:space="preserve">May 2026</w:t>
      </w:r>
    </w:p>
    <w:p>
      <w:r>
        <w:rPr>
          <w:caps/>
          <w:color w:val="6B6B6B"/>
          <w:spacing w:val="60"/>
          <w:sz w:val="18"/>
          <w:szCs w:val="18"/>
        </w:rPr>
        <w:t xml:space="preserve">Status</w:t>
      </w:r>
    </w:p>
    <w:p>
      <w:r>
        <w:rPr>
          <w:b/>
          <w:bCs/>
          <w:color w:val="1A1A1A"/>
          <w:sz w:val="24"/>
          <w:szCs w:val="24"/>
        </w:rPr>
        <w:t xml:space="preserve">Confidential — Internal Strategy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How To Read This Document</w:t>
      </w:r>
    </w:p>
    <w:p>
      <w:pPr>
        <w:spacing w:after="100" w:before="60" w:line="320"/>
        <w:jc w:val="both"/>
      </w:pPr>
      <w:r>
        <w:t>This is the operating risk register for Setnayan. It expands on Section 17 of the V1 Specification and adds three categories that document only briefly references: regulatory, financial, and operational risk. The intent is to be honest, not exhaustive — every risk listed has an owner, a likelihood rating (Low / Medium / High), an impact rating (Low / Medium / High / Existential), and a concrete mitigation. Risks without a clear mitigation are flagged for further work.</w:t>
      </w:r>
    </w:p>
    <w:p>
      <w:pPr>
        <w:spacing w:after="100" w:before="60" w:line="320"/>
        <w:jc w:val="both"/>
      </w:pPr>
      <w:r>
        <w:t xml:space="preserve">Risks are not balanced equally. An existential risk with low likelihood often deserves more attention than a medium-impact risk with high likelihood, because the asymmetry matters. The ‘existential’ rating is reserved for risks that could end the company outright; ‘high’ is reserved for risks that would meaningfully damage the business but recoverable; ‘medium’ is reserved for risks that require operational response; and ‘low’ is reserved for risks worth tracking but not actively defending against.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12"/>
              <w:left w:val="single" w:color="C9A961" w:sz="12"/>
              <w:bottom w:val="single" w:color="C9A961" w:sz="4"/>
              <w:right w:val="single" w:color="C9A961" w:sz="4"/>
            </w:tcBorders>
            <w:shd w:fill="F4F1E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b/>
                <w:bCs/>
                <w:color w:val="B45309"/>
              </w:rPr>
              <w:t xml:space="preserve">Headline existential risks: </w:t>
            </w:r>
            <w:r>
              <w:rPr>
                <w:color w:val="1A1A1A"/>
              </w:rPr>
              <w:t xml:space="preserve">(1) NPC enforcement action over a privacy breach; (2) catastrophic data loss; (3) PayMongo or core cloud-provider outage during peak wedding season; (4) co-founder departure during V1 build. Each has a dedicated mitigation plan in the relevant section.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Market Risks</w:t>
      </w:r>
    </w:p>
    <w:p>
      <w:pPr>
        <w:spacing w:after="100" w:before="60" w:line="320"/>
        <w:jc w:val="both"/>
      </w:pPr>
      <w:r>
        <w:t xml:space="preserve">Risks tied to the size, composition, and behavior of the Philippine wedding market.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1100"/>
        <w:gridCol w:w="1100"/>
        <w:gridCol w:w="3260"/>
        <w:gridCol w:w="700"/>
      </w:tblGrid>
      <w:tr>
        <w:trPr>
          <w:tblHeader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M1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PH wedding volume continues to decline (449K → 414K → 372K)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Accelerate adjacent event types in V3 roadmap; plan SEA expansion in V2.5; prioritize destination wedding share since destination volume holds even when PH-domestic volume declines.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Founder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M2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Macro recession reduces wedding spending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Free tier remains generous; emphasize budget tracker as a value driver during downturns; defer pricing increases through any recessionary period.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Founder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M3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>Couple awareness of Setnayan is too low to drive sign-ups in Year 1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Vendor partnerships in V1 (Hizon's, top 10 photographers, 3–5 venues) drive zero-CAC referrals; earned media via Bride and Breakfast PH; PHP 1M Year 1 marketing budget allocated to brand-building.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Marketing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M4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Couples reject one-time per-event pricing model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Wedibox/Guestpix/Appy Couple have validated this pricing band globally; Free tier covers the price-sensitive segment; if validation fails, monthly access extension provides a fallback.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Founder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M5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Free tier converts at &lt;20% to paid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Track conversion weekly from launch; soft-limit upgrades (resolution, storage) trigger natural conversion moments without aggressive paywalls.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Product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M6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Filipino guest list culture pressures couples to use cheaper or free alternatives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>Position Setnayan on emotional and convenience dimensions, not on cost — couples who feel overwhelmed are not price-sensitive.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Marketing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M7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Concentration risk on Catholic wedding template in V1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High (by design)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V1.5 expansion to Muslim, INC, Hindu, Civil templates is on the spec roadmap; maintain visible roadmap so non-Catholic couples are not lost permanently.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Product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Product Risks</w:t>
      </w:r>
    </w:p>
    <w:p>
      <w:pPr>
        <w:spacing w:after="100" w:before="60" w:line="320"/>
        <w:jc w:val="both"/>
      </w:pPr>
      <w:r>
        <w:t xml:space="preserve">Risks tied to building, shipping, and operating the V1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1100"/>
        <w:gridCol w:w="1100"/>
        <w:gridCol w:w="3260"/>
        <w:gridCol w:w="700"/>
      </w:tblGrid>
      <w:tr>
        <w:trPr>
          <w:tblHeader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P1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V1 scope is too large to ship in 4–6 months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Quarterly cut-list discipline; each feature reassessed for V1 priority; design partner with 3–5 paying couples to validate cuts in real weddings.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Product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P2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QR scan reliability falls below 90% on older Android devices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Test on the bottom 20% of PH device market share (sub-PHP 10K Android); fallback to name search at low confidence; coordinator dashboard manual override.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Engineering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P3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Photo upload fails or queues indefinitely on slow venue Wi-Fi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Upload queue with retry logic; offline mode for capture; clear UX showing queued state; CDN edge optimization for PH connectivity.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Engineering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P4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Older guests (60+) cannot complete QR onboarding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QR-first with name fallback; mobile-browser onboarding (no app required); test with users 65+ in concierge pilot; coordinator-side manual onboarding station for unexpected guests.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Product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P5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Day-of coordinator dashboard fails during a real event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Existential per-event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Redundant infrastructure; pre-event dry run with every couple; on-call engineering during launch period weekends; hot-spare capability with manual fallback runbook.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Engineering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P6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Per-guest album feature is technically complex and slips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Implement basic shared album first; per-guest filtering as a v1.0 sprint; fall back to ‘photos you took + photos tagged in’ as an MVP cut if needed.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Product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P7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iOS / Android divergence creates two-codebase maintenance burden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React Native single-codebase strategy per V1 spec Section 10.1; native modules only where unavoidable.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Engineering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P8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Push notification delivery rate falls below 90%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FCM/APNs both configured; SMS fallback for critical reminders (24-hour, day-of) per spec; email fallback for non-installers.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Engineering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Technical &amp; Infrastructure Risks</w:t>
      </w:r>
    </w:p>
    <w:p>
      <w:pPr>
        <w:spacing w:after="100" w:before="60" w:line="320"/>
        <w:jc w:val="both"/>
      </w:pPr>
      <w:r>
        <w:t xml:space="preserve">Risks tied to cloud infrastructure, data integrity, third-party dependencies, and platform-level failure.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1100"/>
        <w:gridCol w:w="1100"/>
        <w:gridCol w:w="3260"/>
        <w:gridCol w:w="700"/>
      </w:tblGrid>
      <w:tr>
        <w:trPr>
          <w:tblHeader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T1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Catastrophic data loss (event photos, guest data)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Existential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Multi-region backup of object storage (R2 + S3 cross-region); daily encrypted snapshots; tested restore runbook with quarterly drill; immutable backup retention 30 days minimum.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Engineering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T2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Cloud provider outage during peak wedding season (May/June, Dec)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Multi-region failover; degraded-mode operation (read-only album, queued uploads); status page; on-call rotation; pre-publish event-level fallback runbook (paper QR scan list, manual check-in).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Engineering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T3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Photo storage cost scales faster than revenue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Soft tier limits at the per-event level; auto-compression after 3 months; storage volume add-on as a paid extension; quarterly cost-per-event review.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Founder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T4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DDoS or abuse attack on QR system during a live event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Cloudflare WAF; rate limiting on auth endpoints; QR token signing prevents forgery; coordinator-side manual override for emergency QR reissue.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Engineering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T5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Database corruption during V1.5 schema migration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Online migration patterns; full backup before each migration; staged rollout with canary cohort; reversible migration scripts.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Engineering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T6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Third-party API change breaks production (Twilio, Semaphore, SendGrid, Google Maps, Stripe, PayMongo)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Abstraction layer for each integration; provider-redundant fallbacks for the most critical (SMS, payments); monitoring for breaking-change announcements.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Engineering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T7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AI features (highlight reel, photo curation V2) hallucinate or produce unsafe output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Human-in-the-loop review before delivery; clear ‘draft for couple review’ framing; opt-out by default; abuse reporting flow.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Product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Regulatory &amp; Compliance Risks</w:t>
      </w:r>
    </w:p>
    <w:p>
      <w:pPr>
        <w:spacing w:after="100" w:before="60" w:line="320"/>
        <w:jc w:val="both"/>
      </w:pPr>
      <w:r>
        <w:t xml:space="preserve">Risks tied to the Philippines’ Data Privacy Act of 2012 (RA 10173), the National Privacy Commission, and adjacent regulatory regimes.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1100"/>
        <w:gridCol w:w="1100"/>
        <w:gridCol w:w="3260"/>
        <w:gridCol w:w="700"/>
      </w:tblGrid>
      <w:tr>
        <w:trPr>
          <w:tblHeader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R1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NPC enforcement action over a privacy breach or 72-hour notification failure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Existential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Register as Personal Information Controller within 60 days of launch; designate DPO; publish privacy policy; build 72-hour breach protocol with on-call legal counsel; quarterly privacy audit.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DPO / Founder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R2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Right-to-erasure request floods that overwhelm operations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Self-serve account deletion in product; 30-day grace period; audit logging; escalation path documented.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DPO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R3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Photo ownership dispute (couple vs guest vs photographer)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Terms of Service with explicit license grants per V1 spec Section 11.3; in-app guest photo deletion until event ends; lockdown after event preserves historical record; clear T&amp;C in onboarding.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Legal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R4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Couple content marketing consent dispute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Per V1 spec Section 11.4: every marketing use requires fresh case-by-case consent; revocation handled within 30 days; documented audit trail.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Marketing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R5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Geo-tagging consent inadequate under DPA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Strictly opt-in with clear consent language; time-bound to event window; geo-fenced to ~500m of venue; only arrived/not-arrived flag stored; auto-purge 30 days post-event.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DPO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R6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Tax / VAT obligations on add-on bundles incorrectly classified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External accounting partner from launch; quarterly review of revenue recognition; BIR registration before first revenue.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Founder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R7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>Minor (under 18) guests onboarded into Setnayan by accident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Age verification at QR onboarding; parental consent flow for minor RSVPs; data minimization (no biometric, no photo-tagging-by-strangers); review with DPO before launch.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DPO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R8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Cross-border data transfer compliance (when SEA expansion begins)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 (V2+)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Document data localization in PH for V1; before V2.5 SEA expansion, complete cross-border data transfer impact assessment per DPA Section 21.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DPO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Financial Risks</w:t>
      </w:r>
    </w:p>
    <w:p>
      <w:pPr>
        <w:spacing w:after="100" w:before="60" w:line="320"/>
        <w:jc w:val="both"/>
      </w:pPr>
      <w:r>
        <w:t xml:space="preserve">Risks tied to revenue, margin, cash flow, and unit economics.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1100"/>
        <w:gridCol w:w="1100"/>
        <w:gridCol w:w="3260"/>
        <w:gridCol w:w="700"/>
      </w:tblGrid>
      <w:tr>
        <w:trPr>
          <w:tblHeader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F1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Free tier costs scale faster than paid revenue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Cost-per-free-event capped at PHP 300 in Q1 2026; weekly monitoring; soft tier ceilings on resolution and storage; if unit economics break, tighten free tier scope before raising prices.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Founder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F2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Add-on attach rate falls below 60%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Track weekly from launch; if attach rate underperforms, A/B test add-on positioning, bundling, and upsell timing; consider pre-event vs post-event upsell sequencing.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Product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F3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Currency volatility (PHP/USD) inflates cloud bills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Renegotiate cloud commitments annually; explore PHP-denominated services where available (PayMongo for payments); maintain ~3 months operating runway in PHP cash.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Finance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F4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Insufficient runway to reach Year 2 compounding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18+ months runway before V1 launch; clear capital efficiency thresholds; bridge financing options pre-arranged with friendly investors; SAFEs from beta couples as a possible warrant program.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Founder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F5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Refund risk from couple disputes about delivery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Clear tier-by-tier deliverables; 30-day money-back on Essentials and Premium; case-by-case for Pro Event; refund rate monitored as a leading indicator of customer satisfaction.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Customer Success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F6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Photo Team service margin is thinner than projected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Validate vendor split rate in concierge pilot before scaling; service is gross-margin tracked separately; can be paused if margin underperforms.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Operations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F7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Pricing-tier confusion increases sales cycle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Pricing page A/B testing; tier comparison tool; concierge pre-purchase chat for couples who get stuck; date-aware pricing automatically resolves Standard vs Early Planner.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Product / Marketing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Operational Risks</w:t>
      </w:r>
    </w:p>
    <w:p>
      <w:pPr>
        <w:spacing w:after="100" w:before="60" w:line="320"/>
        <w:jc w:val="both"/>
      </w:pPr>
      <w:r>
        <w:t xml:space="preserve">Risks tied to people, process, vendors, and day-to-day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1100"/>
        <w:gridCol w:w="1100"/>
        <w:gridCol w:w="3260"/>
        <w:gridCol w:w="700"/>
      </w:tblGrid>
      <w:tr>
        <w:trPr>
          <w:tblHeader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O1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Co-founder or key engineer departs during V1 build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Existential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Founder vesting with 1-year cliff; documented architectural decisions; cross-trained engineers; key-person insurance evaluated.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Founder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O2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Customer support overwhelmed during peak wedding season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Tiered support (in-app chat + email); knowledge base; auto-FAQ for top 50 questions; surge capacity contractor agreements; pre-event wellness checks for paid couples.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Customer Success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O3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Coordinator dashboard PIN is shared and compromised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Per-staff PINs; audit log of all dashboard actions; PIN expiry on event end; couple can revoke at any time.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Engineering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O4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Photo Team fulfillment partner cancels last minute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High per-event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Multi-partner roster in each metro; backup coordinator partnership; couple-side communication template ready; partial refund + alternative delivery plan.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Operations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O5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Hardware (label printer, NFC products) fulfillment delays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60-day pre-event order lead times; multiple supplier relationships; tracking visible to couple; SLA clauses with suppliers.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Operations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O6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Vendor-side dispute on V2 marketplace launch (commission, ranking)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 (V2)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Transparent ranking criteria; published complaints process; vendor advisory panel; case-by-case mediation; do not launch the marketplace before processes are documented.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Founder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O7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Brand reputational damage from a viral negative review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Public-relations playbook with response template; founder-led response within 24 hours; case-by-case remediation with affected couple; learn-and-publish post-mortem.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Marketing / Founder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O8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Event-day on-call gap during launch weekend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High per-event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On-call rotation through Year 1 launch period; engineer-on-call SLA: response within 5 minutes for an active event; manual fallback runbook printed and given to coordinator.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Engineering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Strategic &amp; Competitive Risks</w:t>
      </w:r>
    </w:p>
    <w:p>
      <w:pPr>
        <w:spacing w:after="100" w:before="60" w:line="320"/>
        <w:jc w:val="both"/>
      </w:pPr>
      <w:r>
        <w:t xml:space="preserve">Risks tied to competitor moves, partnership dependencies, and strategic positioning.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1100"/>
        <w:gridCol w:w="1100"/>
        <w:gridCol w:w="3260"/>
        <w:gridCol w:w="700"/>
      </w:tblGrid>
      <w:tr>
        <w:trPr>
          <w:tblHeader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S1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Joy or Zola launches a PH-localized version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Low–Medium 18mo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Lock distribution via vendor partnerships before they arrive; speed of execution as the primary defense; build the guest-CRM moat rapidly so even a polished entrant has a steep cliff.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Founder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S2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WedPlanner.ph adds QR identity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 12mo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Stay ahead on integration depth; their team is small and feature scope is narrow; out-execute on day-of operations they cannot easily build.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Product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S3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Bridestory expands from marketplace into planning OS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 24mo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Outpace on QR identity and day-of ops; consider partnership or SEA-wide co-distribution if relevant.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Founder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S4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A new well-funded PH competitor launches similar product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Speed of execution; brand-build via earned media; vendor partnership lock-in; consider raising venture capital faster if a fast-follower emerges.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Founder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S5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Apple or Google add native event-photo features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Low–Medium 36mo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Stay anchored on planning + day-of layers Apple/Google won't build; keep the integrated experience as the moat.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Product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S6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Hizon's or another major catering partner stops referring couples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Multi-partner strategy; never depend on a single referral source for &gt;25% of paid couples; relationship-building across the supplier ecosystem.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Marketing / Founder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Risk Heatmap Summary</w:t>
      </w:r>
    </w:p>
    <w:p>
      <w:pPr>
        <w:spacing w:after="100" w:before="60" w:line="320"/>
        <w:jc w:val="both"/>
      </w:pPr>
      <w:r>
        <w:t xml:space="preserve">Quick visual ranking. Existential and high-impact / high-likelihood risks deserve weekly executive attention; medium risks deserve quarterly review; low-impact risks are tracked on a register but not actively defended against.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6160"/>
      </w:tblGrid>
      <w:tr>
        <w:trPr>
          <w:tblHeader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CA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Existential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Privacy breach (R1), data loss (T1), event-day dashboard failure (P5), co-founder departure (O1), unrecovered runway (F4)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D7A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2E2E2E"/>
                <w:sz w:val="20"/>
                <w:szCs w:val="20"/>
              </w:rPr>
              <w:t xml:space="preserve">High impact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13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M2, M3, P1, P2, P3, P4, T2, R5, F1, F4, O4, O8, S1, S4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2E2E2E"/>
                <w:sz w:val="20"/>
                <w:szCs w:val="20"/>
              </w:rPr>
              <w:t xml:space="preserve">Medium impact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20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Most market, product, regulatory, financial, and operational risks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2E2E2E"/>
                <w:sz w:val="20"/>
                <w:szCs w:val="20"/>
              </w:rPr>
              <w:t xml:space="preserve">Low impact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Watch list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M1 background context; T3 cost monitoring; F7 pricing clarity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Quarterly Risk Review Cadence</w:t>
      </w:r>
    </w:p>
    <w:p>
      <w:pPr>
        <w:spacing w:after="100" w:before="60" w:line="320"/>
        <w:jc w:val="both"/>
      </w:pPr>
      <w:r>
        <w:t xml:space="preserve">Risk management is a living process. The following cadence is the operating discipline for keeping this register current.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Weekly (executive team): Review existential and active high-likelihood risks; update mitigation status.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Monthly (all-hands): Walk the risk register; close any risk that has been demonstrably mitigated; add new risks.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Quarterly (board / advisor): Full risk review with the heatmap; reassess likelihood and impact ratings; publish the register update to the team.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Pre-launch and pre-V1.5 / pre-V2: Full risk re-evaluation; re-rate each item; document any new risks introduced by the next release scope.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Post-incident: Within 5 working days of any material incident, conduct a blameless post-mortem; update mitigation plans; share learnings.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12"/>
              <w:left w:val="single" w:color="C9A961" w:sz="12"/>
              <w:bottom w:val="single" w:color="C9A961" w:sz="4"/>
              <w:right w:val="single" w:color="C9A961" w:sz="4"/>
            </w:tcBorders>
            <w:shd w:fill="F4F1E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b/>
                <w:bCs/>
                <w:color w:val="1F3A5F"/>
              </w:rPr>
              <w:t xml:space="preserve">The discipline that matters: </w:t>
            </w:r>
            <w:r>
              <w:rPr>
                <w:color w:val="1A1A1A"/>
              </w:rPr>
              <w:t xml:space="preserve">no risk in this register should be in 'untracked' status more than 30 days. Risks are either being actively mitigated, demonstrably closed, or formally accepted with a written rationale. There is no fourth state.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b/>
        <w:bCs/>
        <w:color w:val="6B6B6B"/>
        <w:sz w:val="18"/>
        <w:szCs w:val="18"/>
      </w:rPr>
      <w:t xml:space="preserve">TAYO</w:t>
    </w:r>
    <w:r>
      <w:rPr>
        <w:color w:val="6B6B6B"/>
        <w:sz w:val="18"/>
        <w:szCs w:val="18"/>
      </w:rPr>
      <w:t xml:space="preserve">  |  Confidential — Strategic Document  |  </w:t>
    </w:r>
    <w:r>
      <w:rPr>
        <w:color w:val="6B6B6B"/>
        <w:sz w:val="18"/>
        <w:szCs w:val="18"/>
      </w:rPr>
      <w:t xml:space="preserve">Page </w:t>
    </w:r>
    <w:r>
      <w:rPr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8"/>
        <w:szCs w:val="18"/>
      </w:rPr>
      <w:t xml:space="preserve"> of </w:t>
    </w:r>
    <w:r>
      <w:rPr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b/>
        <w:bCs/>
        <w:color w:val="6B6B6B"/>
        <w:sz w:val="18"/>
        <w:szCs w:val="18"/>
      </w:rPr>
      <w:t xml:space="preserve">TAYO</w:t>
    </w:r>
    <w:r>
      <w:rPr>
        <w:color w:val="6B6B6B"/>
        <w:sz w:val="18"/>
        <w:szCs w:val="18"/>
      </w:rPr>
      <w:t xml:space="preserve">  |  Confidential — Strategic Document  |  </w:t>
    </w:r>
    <w:r>
      <w:rPr>
        <w:color w:val="6B6B6B"/>
        <w:sz w:val="18"/>
        <w:szCs w:val="18"/>
      </w:rPr>
      <w:t xml:space="preserve">Page </w:t>
    </w:r>
    <w:r>
      <w:rPr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8"/>
        <w:szCs w:val="18"/>
      </w:rPr>
      <w:t xml:space="preserve"> of </w:t>
    </w:r>
    <w:r>
      <w:rPr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1" w:sz="6" w:space="6"/>
      </w:pBdr>
      <w:tabs>
        <w:tab w:val="right" w:pos="9026"/>
      </w:tabs>
    </w:pPr>
    <w:r>
      <w:rPr>
        <w:b/>
        <w:bCs/>
        <w:color w:val="1F3A5F"/>
        <w:spacing w:val="60"/>
        <w:sz w:val="20"/>
        <w:szCs w:val="20"/>
      </w:rPr>
      <w:t xml:space="preserve"> </w:t>
    </w:r>
    <w:r>
      <w:rPr>
        <w:i/>
        <w:iCs/>
        <w:color w:val="6B6B6B"/>
        <w:sz w:val="18"/>
        <w:szCs w:val="18"/>
      </w:rPr>
      <w:t xml:space="preserve">	The Wedding &amp; Event OS for the Philippines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1" w:sz="6" w:space="6"/>
      </w:pBdr>
      <w:tabs>
        <w:tab w:val="right" w:pos="9026"/>
      </w:tabs>
    </w:pPr>
    <w:r>
      <w:rPr>
        <w:b/>
        <w:bCs/>
        <w:color w:val="1F3A5F"/>
        <w:spacing w:val="60"/>
        <w:sz w:val="20"/>
        <w:szCs w:val="20"/>
      </w:rPr>
      <w:t xml:space="preserve">RISK &amp; MITIGATION PLAN</w:t>
    </w:r>
    <w:r>
      <w:rPr>
        <w:i/>
        <w:iCs/>
        <w:color w:val="6B6B6B"/>
        <w:sz w:val="18"/>
        <w:szCs w:val="18"/>
      </w:rPr>
      <w:t xml:space="preserve">	The Wedding &amp; Event OS for the Philippines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C9A961"/>
      </w:r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left"/>
    </w:pPr>
    <w:rPr>
      <w:rFonts w:ascii="Calibri" w:cs="Calibri" w:eastAsia="Calibri" w:hAnsi="Calibri"/>
      <w:b/>
      <w:bCs/>
      <w:color w:val="1F3A5F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480" w:before="0"/>
      <w:jc w:val="left"/>
    </w:pPr>
    <w:rPr>
      <w:rFonts w:ascii="Calibri" w:cs="Calibri" w:eastAsia="Calibri" w:hAnsi="Calibri"/>
      <w:i/>
      <w:iCs/>
      <w:color w:val="6B6B6B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A6B8A"/>
      <w:sz w:val="24"/>
      <w:szCs w:val="24"/>
    </w:rPr>
  </w:style>
  <w:style w:type="paragraph" w:styleId="Pullquote">
    <w:name w:val="Pullquote"/>
    <w:basedOn w:val="Normal"/>
    <w:next w:val="Normal"/>
    <w:pPr>
      <w:spacing w:after="200" w:before="200"/>
      <w:jc w:val="center"/>
    </w:pPr>
    <w:rPr>
      <w:rFonts w:ascii="Calibri" w:cs="Calibri" w:eastAsia="Calibri" w:hAnsi="Calibri"/>
      <w:i/>
      <w:iCs/>
      <w:color w:val="1F3A5F"/>
      <w:sz w:val="28"/>
      <w:szCs w:val="28"/>
    </w:rPr>
  </w:style>
  <w:style w:type="paragraph" w:styleId="Caption">
    <w:name w:val="Caption"/>
    <w:basedOn w:val="Normal"/>
    <w:next w:val="Normal"/>
    <w:pPr>
      <w:spacing w:after="200" w:before="60"/>
    </w:pPr>
    <w:rPr>
      <w:rFonts w:ascii="Calibri" w:cs="Calibri" w:eastAsia="Calibri" w:hAnsi="Calibri"/>
      <w:i/>
      <w:iCs/>
      <w:color w:val="6B6B6B"/>
      <w:sz w:val="18"/>
      <w:szCs w:val="18"/>
    </w:rPr>
  </w:style>
  <w:style w:type="paragraph" w:styleId="Eyebrow">
    <w:name w:val="Eyebrow"/>
    <w:basedOn w:val="Normal"/>
    <w:next w:val="Normal"/>
    <w:pPr>
      <w:spacing w:after="60" w:before="240"/>
    </w:pPr>
    <w:rPr>
      <w:rFonts w:ascii="Calibri" w:cs="Calibri" w:eastAsia="Calibri" w:hAnsi="Calibri"/>
      <w:b/>
      <w:bCs/>
      <w:caps/>
      <w:color w:val="C9A961"/>
      <w:spacing w:val="60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Setnayan — Risk &amp; Mitigation Plan</dc:title>
  <dc:creator>Setnayan</dc:creator>
  <dc:description>Setnayan — Risk &amp; Mitigation Plan</dc:description>
  <cp:lastModifiedBy>Un-named</cp:lastModifiedBy>
  <cp:revision>1</cp:revision>
  <dcterms:created xsi:type="dcterms:W3CDTF">2026-05-06T20:07:10.035Z</dcterms:created>
  <dcterms:modified xsi:type="dcterms:W3CDTF">2026-05-06T20:07:10.035Z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