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vendors-management"/>
    <w:p>
      <w:pPr>
        <w:pStyle w:val="Heading1"/>
      </w:pPr>
      <w:r>
        <w:t xml:space="preserve">0006 — Vendors Management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“Vendors”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  <w:bCs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setnayan.com/dashboard/[event-id]/vendors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bookmarkStart w:id="9" w:name="what-this-iteration-builds"/>
    <w:p>
      <w:pPr>
        <w:pStyle w:val="Heading2"/>
      </w:pPr>
      <w:r>
        <w:t xml:space="preserve">What this iteration builds</w:t>
      </w:r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  <w:bCs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  <w:bCs/>
        </w:rPr>
        <w:t xml:space="preserve">manually encoded by the couple</w:t>
      </w:r>
      <w:r>
        <w:t xml:space="preserve"> </w:t>
      </w:r>
      <w:r>
        <w:t xml:space="preserve"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“vendor provides own meals”</w:t>
      </w:r>
      <w:r>
        <w:t xml:space="preserve"> </w:t>
      </w:r>
      <w:r>
        <w:t xml:space="preserve">toggle. System computes the crew meal total and rolls up across all vendors.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  <w:bCs/>
        </w:rPr>
        <w:t xml:space="preserve"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  <w:bCs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“do I have a Photographer yet?”</w:t>
      </w:r>
    </w:p>
    <w:p>
      <w:r>
        <w:pict>
          <v:rect style="width:0;height:1.5pt" o:hralign="center" o:hrstd="t" o:hr="t"/>
        </w:pict>
      </w:r>
    </w:p>
    <w:bookmarkEnd w:id="9"/>
    <w:bookmarkStart w:id="10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bookmarkEnd w:id="10"/>
    <w:bookmarkStart w:id="11" w:name="stack-conventions"/>
    <w:p>
      <w:pPr>
        <w:pStyle w:val="Heading2"/>
      </w:pPr>
      <w:r>
        <w:t xml:space="preserve">Stack &amp; conventions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Postgres via existing Setnayan backend; Drizzle/Prisma matching repo convention.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bookmarkEnd w:id="11"/>
    <w:bookmarkStart w:id="12" w:name="route"/>
    <w:p>
      <w:pPr>
        <w:pStyle w:val="Heading2"/>
      </w:pPr>
      <w:r>
        <w:t xml:space="preserve">Route</w:t>
      </w:r>
    </w:p>
    <w:p>
      <w:pPr>
        <w:pStyle w:val="SourceCode"/>
      </w:pPr>
      <w:r>
        <w:rPr>
          <w:rStyle w:val="VerbatimChar"/>
        </w:rPr>
        <w:t xml:space="preserve">setnayan.com/dashboard/vendors                — list view</w:t>
      </w:r>
      <w:r>
        <w:br/>
      </w:r>
      <w:r>
        <w:rPr>
          <w:rStyle w:val="VerbatimChar"/>
        </w:rPr>
        <w:t xml:space="preserve">setnayan.com/dashboard/vendors/[vendor_id]    — vendor detail (drawer overlay; deep-linkable)</w:t>
      </w:r>
      <w:r>
        <w:br/>
      </w:r>
      <w:r>
        <w:rPr>
          <w:rStyle w:val="VerbatimChar"/>
        </w:rPr>
        <w:t xml:space="preserve">setnayan.com/dashboard/vendors/new            — add-vendor flow</w:t>
      </w:r>
      <w:r>
        <w:br/>
      </w:r>
      <w:r>
        <w:rPr>
          <w:rStyle w:val="VerbatimChar"/>
        </w:rPr>
        <w:t xml:space="preserve"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bookmarkEnd w:id="12"/>
    <w:bookmarkStart w:id="24" w:name="data-model"/>
    <w:p>
      <w:pPr>
        <w:pStyle w:val="Heading2"/>
      </w:pPr>
      <w:r>
        <w:t xml:space="preserve">Data model</w:t>
      </w:r>
    </w:p>
    <w:bookmarkStart w:id="13" w:name="canonical_services-hardcoded-enum"/>
    <w:p>
      <w:pPr>
        <w:pStyle w:val="Heading3"/>
      </w:pPr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  <w:bCs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“not needed”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</w:p>
    <w:p>
      <w:pPr>
        <w:pStyle w:val="FirstParagraph"/>
      </w:pPr>
      <w:r>
        <w:t xml:space="preserve">(28 canonical services. Order roughly matches wedding-planning priority. Final list reviewed in HTML mockup; add/remove via PR.)</w:t>
      </w:r>
    </w:p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wedding_coordination</w:t>
      </w:r>
      <w:r>
        <w:rPr>
          <w:b/>
          <w:bCs/>
        </w:rPr>
        <w:t xml:space="preserve"> </w:t>
      </w:r>
      <w:r>
        <w:rPr>
          <w:b/>
          <w:bCs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“coordinator”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bookmarkEnd w:id="13"/>
    <w:bookmarkStart w:id="14" w:name="event_vendor_relationships-table"/>
    <w:p>
      <w:pPr>
        <w:pStyle w:val="Heading3"/>
      </w:pP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</w:p>
    <w:p>
      <w:pPr>
        <w:pStyle w:val="BlockText"/>
      </w:pPr>
      <w:r>
        <w:rPr>
          <w:b/>
          <w:bCs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bookmarkEnd w:id="14"/>
    <w:bookmarkStart w:id="15" w:name="X0a9aafec4322183066c0f91b4824d7765961b9d"/>
    <w:p>
      <w:pPr>
        <w:pStyle w:val="Heading3"/>
      </w:pPr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“meal count”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“180 guests + 22 crew = 202 covers”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bookmarkEnd w:id="15"/>
    <w:bookmarkStart w:id="16" w:name="Xd256b197d03ad49d93bf798306af9b0516fff77"/>
    <w:p>
      <w:pPr>
        <w:pStyle w:val="Heading3"/>
      </w:pP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16"/>
    <w:bookmarkStart w:id="17" w:name="X68fbc0784be445d3f65ae6d281ee1f2cd2084bb"/>
    <w:p>
      <w:pPr>
        <w:pStyle w:val="Heading3"/>
      </w:pPr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“not needed”</w:t>
      </w:r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“needed but not yet booked.”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“not needed.”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bookmarkEnd w:id="17"/>
    <w:bookmarkStart w:id="18" w:name="X5eda2d22a964245b07e01cd5c8bc995f120442c"/>
    <w:p>
      <w:pPr>
        <w:pStyle w:val="Heading3"/>
      </w:pPr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bookmarkEnd w:id="18"/>
    <w:bookmarkStart w:id="19" w:name="X358fb2f82ca8b6ebc1b5fce6c31bec79b8655ab"/>
    <w:p>
      <w:pPr>
        <w:pStyle w:val="Heading3"/>
      </w:pPr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19"/>
    <w:bookmarkStart w:id="20" w:name="X7c2b17711a8a97b0e798731674674d188bd797e"/>
    <w:p>
      <w:pPr>
        <w:pStyle w:val="Heading3"/>
      </w:pPr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bookmarkEnd w:id="20"/>
    <w:bookmarkStart w:id="21" w:name="Xe4667386c7c4dda45f8cd820cbe620e835cbbd0"/>
    <w:p>
      <w:pPr>
        <w:pStyle w:val="Heading3"/>
      </w:pPr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 xml:space="preserve">, but the column lets Din writes coexist with legacy couple-encoded rows once the vendor app ships. No data migration is required when Din launches.</w:t>
      </w:r>
    </w:p>
    <w:bookmarkEnd w:id="21"/>
    <w:bookmarkStart w:id="22" w:name="vendor_contracts-uploaded-contract-files"/>
    <w:p>
      <w:pPr>
        <w:pStyle w:val="Heading3"/>
      </w:pPr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bookmarkEnd w:id="22"/>
    <w:bookmarkStart w:id="23" w:name="X420113ef103b31314b14a877bb56e433f63f644"/>
    <w:p>
      <w:pPr>
        <w:pStyle w:val="Heading3"/>
      </w:pPr>
      <w:r>
        <w:rPr>
          <w:rStyle w:val="VerbatimChar"/>
        </w:rPr>
        <w:t xml:space="preserve">vendor_invites</w:t>
      </w:r>
      <w:r>
        <w:t xml:space="preserve"> </w:t>
      </w:r>
      <w:r>
        <w:t xml:space="preserve">— couple-initiated invitations for off-platform vendors (locked 2026-05-19)</w:t>
      </w:r>
    </w:p>
    <w:p>
      <w:pPr>
        <w:pStyle w:val="FirstParagraph"/>
      </w:pPr>
      <w:r>
        <w:t xml:space="preserve">The couple may invite an off-platform vendor (any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row where</w:t>
      </w:r>
      <w:r>
        <w:t xml:space="preserve"> </w:t>
      </w:r>
      <w:r>
        <w:rPr>
          <w:rStyle w:val="VerbatimChar"/>
        </w:rPr>
        <w:t xml:space="preserve">marketplace_vendor_id IS NULL</w:t>
      </w:r>
      <w:r>
        <w:t xml:space="preserve">) to claim a free Setnayan profile. On successful claim, the new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 is auto-linked back to the originating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, which transitions the relationship from off-platform to on-platform and unlocks chat (0019) for that couple. UX rules live in</w:t>
      </w:r>
      <w:r>
        <w:t xml:space="preserve"> </w:t>
      </w:r>
      <w:r>
        <w:rPr>
          <w:rStyle w:val="VerbatimChar"/>
        </w:rPr>
        <w:t xml:space="preserve">## Invite-to-Setnayan flow — UX rules</w:t>
      </w:r>
      <w:r>
        <w:t xml:space="preserve"> </w:t>
      </w:r>
      <w:r>
        <w:t xml:space="preserve">below; the vendor-side claim landing page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vendor_invites (</w:t>
      </w:r>
      <w:r>
        <w:br/>
      </w:r>
      <w:r>
        <w:rPr>
          <w:rStyle w:val="NormalTok"/>
        </w:rPr>
        <w:t xml:space="preserve">  invite_id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couple member who sent the invite</w:t>
      </w:r>
      <w:r>
        <w:br/>
      </w:r>
      <w:r>
        <w:rPr>
          <w:rStyle w:val="NormalTok"/>
        </w:rPr>
        <w:t xml:space="preserve">  email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email-only delivery (locked 2026-05-19)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snapshot from the relationship row at invite time</w:t>
      </w:r>
      <w:r>
        <w:br/>
      </w:r>
      <w:r>
        <w:rPr>
          <w:rStyle w:val="NormalTok"/>
        </w:rPr>
        <w:t xml:space="preserve">  service_category    TEXT,                                </w:t>
      </w:r>
      <w:r>
        <w:rPr>
          <w:rStyle w:val="CommentTok"/>
        </w:rPr>
        <w:t xml:space="preserve">-- canonical_key or custom service name (snapshot)</w:t>
      </w:r>
      <w:r>
        <w:br/>
      </w:r>
      <w:r>
        <w:rPr>
          <w:rStyle w:val="NormalTok"/>
        </w:rPr>
        <w:t xml:space="preserve">  claim_token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URL-safe ~32 char nonce; routes to /vendor/claim/{token}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'claimed'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created_at + 90 days</w:t>
      </w:r>
      <w:r>
        <w:br/>
      </w:r>
      <w:r>
        <w:rPr>
          <w:rStyle w:val="NormalTok"/>
        </w:rPr>
        <w:t xml:space="preserve">  sent_at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claimed_by_user_id  UUID,                                </w:t>
      </w:r>
      <w:r>
        <w:rPr>
          <w:rStyle w:val="CommentTok"/>
        </w:rPr>
        <w:t xml:space="preserve">-- vendor user on claim</w:t>
      </w:r>
      <w:r>
        <w:br/>
      </w:r>
      <w:r>
        <w:rPr>
          <w:rStyle w:val="NormalTok"/>
        </w:rPr>
        <w:t xml:space="preserve">  claimed_vendor_id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new (or existing) marketplace vendor row on claim</w:t>
      </w:r>
      <w:r>
        <w:br/>
      </w:r>
      <w:r>
        <w:rPr>
          <w:rStyle w:val="NormalTok"/>
        </w:rPr>
        <w:t xml:space="preserve">  claimed_at          TIMESTAMPTZ,</w:t>
      </w:r>
      <w:r>
        <w:br/>
      </w:r>
      <w:r>
        <w:rPr>
          <w:rStyle w:val="NormalTok"/>
        </w:rPr>
        <w:t xml:space="preserve">  declined_at         TIMESTAMPTZ,</w:t>
      </w:r>
      <w:r>
        <w:br/>
      </w:r>
      <w:r>
        <w:rPr>
          <w:rStyle w:val="NormalTok"/>
        </w:rPr>
        <w:t xml:space="preserve">  revoked_at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vendor_invites_relationship_idx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vendor_invites_token_idx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(claim_token);</w:t>
      </w:r>
      <w:r>
        <w:br/>
      </w:r>
      <w:r>
        <w:rPr>
          <w:rStyle w:val="CommentTok"/>
        </w:rPr>
        <w:t xml:space="preserve">-- One live (pending) invite per (relationship_id, normalized email) at a time: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vendor_invites_live_idx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(relationship_id,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Server-enforced rules:</w:t>
      </w:r>
    </w:p>
    <w:p>
      <w:pPr>
        <w:pStyle w:val="Compact"/>
        <w:numPr>
          <w:ilvl w:val="0"/>
          <w:numId w:val="1005"/>
        </w:numPr>
      </w:pPr>
      <w:r>
        <w:t xml:space="preserve">Invite can only be created when the parent</w:t>
      </w:r>
      <w:r>
        <w:t xml:space="preserve"> </w:t>
      </w:r>
      <w:r>
        <w:rPr>
          <w:rStyle w:val="VerbatimChar"/>
        </w:rPr>
        <w:t xml:space="preserve">event_vendor_relationships.marketplace_vendor_id IS NULL</w:t>
      </w:r>
      <w:r>
        <w:t xml:space="preserve">. If a vendor has already been linked, the</w:t>
      </w:r>
      <w:r>
        <w:t xml:space="preserve"> </w:t>
      </w:r>
      <w:r>
        <w:t xml:space="preserve">“Invite to Setnayan”</w:t>
      </w:r>
      <w:r>
        <w:t xml:space="preserve"> </w:t>
      </w:r>
      <w:r>
        <w:t xml:space="preserve">action is hidden on the couple’s surface.</w:t>
      </w:r>
    </w:p>
    <w:p>
      <w:pPr>
        <w:pStyle w:val="Compact"/>
        <w:numPr>
          <w:ilvl w:val="0"/>
          <w:numId w:val="1005"/>
        </w:numPr>
      </w:pPr>
      <w:r>
        <w:t xml:space="preserve">One pending invite per</w:t>
      </w:r>
      <w:r>
        <w:t xml:space="preserve"> </w:t>
      </w:r>
      <w:r>
        <w:rPr>
          <w:rStyle w:val="VerbatimChar"/>
        </w:rPr>
        <w:t xml:space="preserve">(relationship_id, LOWER(email))</w:t>
      </w:r>
      <w:r>
        <w:t xml:space="preserve"> </w:t>
      </w:r>
      <w:r>
        <w:t xml:space="preserve">at a time. To re-send to the same address, the couple revokes the existing pending invite first (one-tap</w:t>
      </w:r>
      <w:r>
        <w:t xml:space="preserve"> </w:t>
      </w:r>
      <w:r>
        <w:t xml:space="preserve">“Resend”</w:t>
      </w:r>
      <w:r>
        <w:t xml:space="preserve"> </w:t>
      </w:r>
      <w:r>
        <w:t xml:space="preserve">affordance does revoke + create-new atomically).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cap on total pending invites per event</w:t>
      </w:r>
      <w:r>
        <w:t xml:space="preserve"> </w:t>
      </w:r>
      <w:r>
        <w:t xml:space="preserve">(locked 2026-05-19).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cooldown after decline / expire / revoke</w:t>
      </w:r>
      <w:r>
        <w:t xml:space="preserve"> </w:t>
      </w:r>
      <w:r>
        <w:t xml:space="preserve">(locked 2026-05-19) — couple may re-invite the same email immediately. Email-deliverability throttling is enforced at the transactional-email provider layer (standard de-dupe + bounce handling), not exposed as a UI 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Lazy expiration sweep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/vendor/claim/{token}</w:t>
      </w:r>
      <w:r>
        <w:t xml:space="preserve"> </w:t>
      </w:r>
      <w:r>
        <w:t xml:space="preserve">is opened (or when the couple’s vendor list is rendered), the server flips any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No cron job per [[reference_setnayan_cron_strategy]].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Claim resolution:</w:t>
      </w:r>
      <w:r>
        <w:t xml:space="preserve"> </w:t>
      </w:r>
      <w:r>
        <w:t xml:space="preserve">on successful signup-from-claim, the new marketplace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written to BOTH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vendor_invites.claimed_vendor_id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vendor_invites.status='claimed'</w:t>
      </w:r>
      <w:r>
        <w:t xml:space="preserve">. The same transaction also inserts a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</w:t>
      </w:r>
      <w:r>
        <w:t xml:space="preserve"> </w:t>
      </w:r>
      <w:r>
        <w:rPr>
          <w:b/>
          <w:bCs/>
        </w:rPr>
        <w:t xml:space="preserve">0019 § Booking-implies-follow auto-insert</w:t>
      </w:r>
      <w:r>
        <w:t xml:space="preserve"> </w:t>
      </w:r>
      <w:r>
        <w:t xml:space="preserve">so the couple’s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button enables immediately without a separate follow step. The couple’s 0019 chat surface unlocks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Already-on-Setnayan short-circuit:</w:t>
      </w:r>
      <w:r>
        <w:t xml:space="preserve"> </w:t>
      </w:r>
      <w:r>
        <w:t xml:space="preserve">when the couple submits the invite modal and the entered email 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row, the modal switches to a</w:t>
      </w:r>
      <w:r>
        <w:t xml:space="preserve"> </w:t>
      </w:r>
      <w:r>
        <w:t xml:space="preserve">“Connect to existing profile?”</w:t>
      </w:r>
      <w:r>
        <w:t xml:space="preserve"> </w:t>
      </w:r>
      <w:r>
        <w:t xml:space="preserve">path. On confirm,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created;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linked directly into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(same transaction also writes the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 0019). The existing vendor receives a 0019 system notification that the couple has connected.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computed-derived-values"/>
    <w:p>
      <w:pPr>
        <w:pStyle w:val="Heading2"/>
      </w:pPr>
      <w:r>
        <w:t xml:space="preserve">Computed / derived values</w:t>
      </w:r>
    </w:p>
    <w:bookmarkStart w:id="25" w:name="per-vendor"/>
    <w:p>
      <w:pPr>
        <w:pStyle w:val="Heading3"/>
      </w:pPr>
      <w:r>
        <w:t xml:space="preserve">Per-vendor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 and in the drawer header.</w:t>
      </w:r>
    </w:p>
    <w:bookmarkEnd w:id="25"/>
    <w:bookmarkStart w:id="26" w:name="per-event-aggregate-vendor-panel-header"/>
    <w:p>
      <w:pPr>
        <w:pStyle w:val="Heading3"/>
      </w:pPr>
      <w:r>
        <w:t xml:space="preserve">Per-event aggregate (Vendor Panel header)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  <w:bCs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ybrid-service-taxonomy-ux-rules"/>
    <w:p>
      <w:pPr>
        <w:pStyle w:val="Heading2"/>
      </w:pPr>
      <w:r>
        <w:t xml:space="preserve">Hybrid service taxonomy — UX rules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“Add custom service”</w:t>
      </w:r>
      <w:r>
        <w:rPr>
          <w:b/>
          <w:bCs/>
        </w:rPr>
        <w:t xml:space="preserve"> </w:t>
      </w:r>
      <w:r>
        <w:rPr>
          <w:b/>
          <w:bCs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“Habagat reception band”</w:t>
      </w:r>
      <w:r>
        <w:t xml:space="preserve"> </w:t>
      </w:r>
      <w:r>
        <w:t xml:space="preserve">don’t pollute other couples’ lists.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“Custom services”</w:t>
      </w:r>
      <w:r>
        <w:t xml:space="preserve"> </w:t>
      </w:r>
      <w:r>
        <w:t xml:space="preserve">panel below the canonical grid.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“Not needed”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“mark not needed.”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bookmarkEnd w:id="28"/>
    <w:bookmarkStart w:id="29" w:name="payment-milestones-ux-rules"/>
    <w:p>
      <w:pPr>
        <w:pStyle w:val="Heading2"/>
      </w:pPr>
      <w:r>
        <w:t xml:space="preserve">Payment milestones — UX rules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“Reservation + Down + Balance,”</w:t>
      </w:r>
      <w:r>
        <w:t xml:space="preserve"> </w:t>
      </w:r>
      <w:r>
        <w:t xml:space="preserve">“Reservation + 4 partials + Balance,”</w:t>
      </w:r>
      <w:r>
        <w:t xml:space="preserve"> </w:t>
      </w:r>
      <w:r>
        <w:t xml:space="preserve">“Lump sum on the day.”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“X day(s) overdue”</w:t>
      </w:r>
      <w:r>
        <w:t xml:space="preserve"> </w:t>
      </w:r>
      <w:r>
        <w:t xml:space="preserve">so the couple sees it without opening the detail.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bookmarkEnd w:id="29"/>
    <w:bookmarkStart w:id="30" w:name="crew-meals-ux-rules"/>
    <w:p>
      <w:pPr>
        <w:pStyle w:val="Heading2"/>
      </w:pPr>
      <w:r>
        <w:t xml:space="preserve">Crew meals — UX rules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meal_cost_each_centavos</w:t>
      </w:r>
      <w:r>
        <w:rPr>
          <w:b/>
          <w:bCs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“crew meal rate.”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bookmarkEnd w:id="30"/>
    <w:bookmarkStart w:id="31" w:name="meetings-ux-rules"/>
    <w:p>
      <w:pPr>
        <w:pStyle w:val="Heading2"/>
      </w:pPr>
      <w:r>
        <w:t xml:space="preserve">Meetings — UX rules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“Next meeting”</w:t>
      </w:r>
      <w:r>
        <w:rPr>
          <w:b/>
          <w:bCs/>
        </w:rPr>
        <w:t xml:space="preserve"> </w:t>
      </w:r>
      <w:r>
        <w:rPr>
          <w:b/>
          <w:bCs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“Next: Menu tasting · Apr 22 · in-person”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“Past — confirm outcome”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Mode-specific UX: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“Open meeting link”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“vendor will call.”</w:t>
      </w:r>
      <w:r>
        <w:t xml:space="preserve"> </w:t>
      </w:r>
      <w:r>
        <w:t xml:space="preserve">No dialer integration in V1.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 xml:space="preserve">). The vendor cannot edit, propose, or confirm — they communicate offline (email, message, call) and the couple records the meeting. The schema is shaped to accept Din writes later without a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“Picked the seafood option, no allergies, vendor will send invoice by Mon”</w:t>
      </w:r>
      <w:r>
        <w:t xml:space="preserve">). Notes stay attached to the meeting row for future reference.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.ics</w:t>
      </w:r>
      <w:r>
        <w:rPr>
          <w:b/>
          <w:bCs/>
        </w:rPr>
        <w:t xml:space="preserve"> </w:t>
      </w:r>
      <w:r>
        <w:rPr>
          <w:b/>
          <w:bCs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  <w:bCs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 migration path.</w:t>
      </w:r>
      <w:r>
        <w:t xml:space="preserve"> </w:t>
      </w:r>
      <w:r>
        <w:t xml:space="preserve"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bookmarkEnd w:id="31"/>
    <w:bookmarkStart w:id="38" w:name="Xd83924166f2bf3788f2b7ec10fde7ff5d563c84"/>
    <w:p>
      <w:pPr>
        <w:pStyle w:val="Heading2"/>
      </w:pPr>
      <w:r>
        <w:t xml:space="preserve">Invite-to-Setnayan flow — UX rules (locked 2026-05-19)</w:t>
      </w:r>
    </w:p>
    <w:p>
      <w:pPr>
        <w:pStyle w:val="FirstParagraph"/>
      </w:pPr>
      <w:r>
        <w:t xml:space="preserve">For every off-platform vendor row (</w:t>
      </w:r>
      <w:r>
        <w:rPr>
          <w:rStyle w:val="VerbatimChar"/>
        </w:rPr>
        <w:t xml:space="preserve">event_vendor_relationships.marketplace_vendor_id IS NULL</w:t>
      </w:r>
      <w:r>
        <w:t xml:space="preserve">), the vendor detail drawer / mobile sheet exposes a secondary action:</w:t>
      </w:r>
      <w:r>
        <w:t xml:space="preserve"> </w:t>
      </w:r>
      <w:r>
        <w:rPr>
          <w:b/>
          <w:bCs/>
        </w:rPr>
        <w:t xml:space="preserve">“Invite to Setnayan.”</w:t>
      </w:r>
      <w:r>
        <w:t xml:space="preserve"> </w:t>
      </w:r>
      <w:r>
        <w:t xml:space="preserve">The action is hidden the moment the relationship is linked to a marketplace vendor (whether via claim, Connect, or marketplace-vendor selection in the original add-vendor flow).</w:t>
      </w:r>
    </w:p>
    <w:bookmarkStart w:id="32" w:name="Xe8a4c70b8143a91ce4efa8cfd8e75153002f19e"/>
    <w:p>
      <w:pPr>
        <w:pStyle w:val="Heading3"/>
      </w:pPr>
      <w:r>
        <w:t xml:space="preserve">Invite modal —</w:t>
      </w:r>
      <w:r>
        <w:t xml:space="preserve"> </w:t>
      </w:r>
      <w:r>
        <w:rPr>
          <w:rStyle w:val="VerbatimChar"/>
        </w:rPr>
        <w:t xml:space="preserve">Invite {Business Name} to claim their profile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Email field:</w:t>
      </w:r>
      <w:r>
        <w:t xml:space="preserve"> </w:t>
      </w:r>
      <w:r>
        <w:t xml:space="preserve">pre-filled from</w:t>
      </w:r>
      <w:r>
        <w:t xml:space="preserve"> </w:t>
      </w:r>
      <w:r>
        <w:rPr>
          <w:rStyle w:val="VerbatimChar"/>
        </w:rPr>
        <w:t xml:space="preserve">event_vendor_relationships.email</w:t>
      </w:r>
      <w:r>
        <w:t xml:space="preserve"> </w:t>
      </w:r>
      <w:r>
        <w:t xml:space="preserve">(couple can correct). Required.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Copy:</w:t>
      </w:r>
      <w:r>
        <w:t xml:space="preserve"> </w:t>
      </w:r>
      <w:r>
        <w:rPr>
          <w:i/>
          <w:iCs/>
        </w:rPr>
        <w:t xml:space="preserve">“We’ll email them an invitation to claim a free Setnayan profile. If they sign up, you can message them in-app and your records here will connect to their profile automatically.”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CTA:</w:t>
      </w:r>
      <w:r>
        <w:t xml:space="preserve"> </w:t>
      </w:r>
      <w:r>
        <w:rPr>
          <w:b/>
          <w:bCs/>
        </w:rPr>
        <w:t xml:space="preserve">Send invite</w:t>
      </w:r>
      <w:r>
        <w:t xml:space="preserve"> </w:t>
      </w:r>
      <w:r>
        <w:t xml:space="preserve">→ creates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+ 90 days</w:t>
      </w:r>
      <w:r>
        <w:t xml:space="preserve">), triggers the transactional email, closes modal, status pill on the relationship row flips to</w:t>
      </w:r>
      <w:r>
        <w:t xml:space="preserve"> </w:t>
      </w:r>
      <w:r>
        <w:rPr>
          <w:b/>
          <w:bCs/>
        </w:rPr>
        <w:t xml:space="preserve">Invite sent</w:t>
      </w:r>
      <w:r>
        <w:t xml:space="preserve">.</w:t>
      </w:r>
    </w:p>
    <w:bookmarkEnd w:id="32"/>
    <w:bookmarkStart w:id="33" w:name="Xcba79d462305dab238a56a31aacc50a2c190206"/>
    <w:p>
      <w:pPr>
        <w:pStyle w:val="Heading3"/>
      </w:pPr>
      <w:r>
        <w:t xml:space="preserve">Already-on-Setnayan detection (in the modal)</w:t>
      </w:r>
    </w:p>
    <w:p>
      <w:pPr>
        <w:pStyle w:val="FirstParagraph"/>
      </w:pPr>
      <w:r>
        <w:t xml:space="preserve">On submit, the server checks whether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row. If yes, the modal swaps copy to:</w:t>
      </w:r>
    </w:p>
    <w:p>
      <w:pPr>
        <w:pStyle w:val="BlockText"/>
      </w:pPr>
      <w:r>
        <w:rPr>
          <w:i/>
          <w:iCs/>
        </w:rPr>
        <w:t xml:space="preserve">“This vendor is already on Setnayan 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{Existing Business Name}</w:t>
      </w:r>
      <w:r>
        <w:rPr>
          <w:i/>
          <w:iCs/>
        </w:rPr>
        <w:t xml:space="preserve">. Connect this engagement to their existing profile?”</w:t>
      </w:r>
    </w:p>
    <w:p>
      <w:pPr>
        <w:pStyle w:val="FirstParagraph"/>
      </w:pPr>
      <w:r>
        <w:t xml:space="preserve">with a single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CTA. On confirm: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set to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.</w:t>
      </w:r>
      <w:r>
        <w:t xml:space="preserve"> </w:t>
      </w:r>
      <w:r>
        <w:t xml:space="preserve">- The existing vendor receives a 0019 system notification + Threads entry:</w:t>
      </w:r>
      <w:r>
        <w:t xml:space="preserve"> </w:t>
      </w:r>
      <w:r>
        <w:rPr>
          <w:i/>
          <w:iCs/>
        </w:rPr>
        <w:t xml:space="preserve">“{Couple display name} added you as their {service_category} for {event_date}.”</w:t>
      </w:r>
      <w:r>
        <w:t xml:space="preserve"> </w:t>
      </w:r>
      <w:r>
        <w:t xml:space="preserve">- Chat unlocks for the couple immediately; the toast confirms</w:t>
      </w:r>
      <w:r>
        <w:t xml:space="preserve"> </w:t>
      </w:r>
      <w:r>
        <w:rPr>
          <w:i/>
          <w:iCs/>
        </w:rPr>
        <w:t xml:space="preserve">“Connected to {Existing Business Name} — chat is now unlocked.”</w:t>
      </w:r>
    </w:p>
    <w:bookmarkEnd w:id="33"/>
    <w:bookmarkStart w:id="34" w:name="status-pill-on-the-relationship-row"/>
    <w:p>
      <w:pPr>
        <w:pStyle w:val="Heading3"/>
      </w:pPr>
      <w:r>
        <w:t xml:space="preserve">Status pill on the relationship row</w:t>
      </w:r>
    </w:p>
    <w:p>
      <w:pPr>
        <w:pStyle w:val="FirstParagraph"/>
      </w:pPr>
      <w:r>
        <w:t xml:space="preserve">Replaces the off-platform muted</w:t>
      </w:r>
      <w:r>
        <w:t xml:space="preserve"> </w:t>
      </w:r>
      <w:r>
        <w:t xml:space="preserve">“Manual entry”</w:t>
      </w:r>
      <w:r>
        <w:t xml:space="preserve"> </w:t>
      </w:r>
      <w:r>
        <w:t xml:space="preserve">pill whenever an invite (or Connect) has happened. Pill state derives from the most recent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for that relationship, or from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sent · {N days left}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'pending'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Joined Setnayan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marketplace_vendor_id IS NOT NULL</w:t>
            </w:r>
            <w:r>
              <w:t xml:space="preserve"> </w:t>
            </w:r>
            <w:r>
              <w:t xml:space="preserve">(whether via claim or Connect) — also fires a one-time toast on the couple’s session:</w:t>
            </w:r>
            <w:r>
              <w:t xml:space="preserve"> </w:t>
            </w:r>
            <w:r>
              <w:rPr>
                <w:i/>
                <w:iCs/>
              </w:rPr>
              <w:t xml:space="preserve">“{Business Name} joined Setnayan — chat is now unlocked”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Declined the invite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'declined'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expired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'expired'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revoked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'revoked'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pill)</w:t>
            </w:r>
          </w:p>
        </w:tc>
        <w:tc>
          <w:tcPr/>
          <w:p>
            <w:pPr>
              <w:pStyle w:val="Compact"/>
            </w:pPr>
            <w:r>
              <w:t xml:space="preserve">no invite has ever been sent — fall back to the existing off-platform muted indicator</w:t>
            </w:r>
          </w:p>
        </w:tc>
      </w:tr>
    </w:tbl>
    <w:p>
      <w:pPr>
        <w:pStyle w:val="BodyText"/>
      </w:pPr>
      <w:r>
        <w:t xml:space="preserve">The pill has a tap target that opens a small inline menu with contextually relevant actions:</w:t>
      </w:r>
      <w:r>
        <w:t xml:space="preserve"> </w:t>
      </w:r>
      <w:r>
        <w:rPr>
          <w:b/>
          <w:bCs/>
        </w:rPr>
        <w:t xml:space="preserve">Resend invite</w:t>
      </w:r>
      <w:r>
        <w:t xml:space="preserve"> </w:t>
      </w:r>
      <w:r>
        <w:t xml:space="preserve">(for declined / expired / revoked / no-pill states),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(for pending), or</w:t>
      </w:r>
      <w:r>
        <w:t xml:space="preserve"> </w:t>
      </w:r>
      <w:r>
        <w:rPr>
          <w:b/>
          <w:bCs/>
        </w:rPr>
        <w:t xml:space="preserve">View Setnayan profile</w:t>
      </w:r>
      <w:r>
        <w:t xml:space="preserve"> </w:t>
      </w:r>
      <w:r>
        <w:t xml:space="preserve">(for Joined).</w:t>
      </w:r>
    </w:p>
    <w:bookmarkEnd w:id="34"/>
    <w:bookmarkStart w:id="35" w:name="couple-controls-no-cap-no-cooldown"/>
    <w:p>
      <w:pPr>
        <w:pStyle w:val="Heading3"/>
      </w:pPr>
      <w:r>
        <w:t xml:space="preserve">Couple controls — no cap, no cooldown</w:t>
      </w:r>
    </w:p>
    <w:p>
      <w:pPr>
        <w:pStyle w:val="FirstParagraph"/>
      </w:pPr>
      <w:r>
        <w:t xml:space="preserve">Both locked 2026-05-19. Couple may have an unlimited number of pending invites across their event, and may immediately re-invite the same email after a decline / expire / revoke. Deliverability hygiene (rate limits, bounce handling) is enforced at the transactional-email provider layer and never surfaced as a UI restriction.</w:t>
      </w:r>
    </w:p>
    <w:bookmarkEnd w:id="35"/>
    <w:bookmarkStart w:id="36" w:name="privacy-on-the-claim-page-identity-only"/>
    <w:p>
      <w:pPr>
        <w:pStyle w:val="Heading3"/>
      </w:pPr>
      <w:r>
        <w:t xml:space="preserve">Privacy on the claim page (identity-only)</w:t>
      </w:r>
    </w:p>
    <w:p>
      <w:pPr>
        <w:pStyle w:val="FirstParagraph"/>
      </w:pPr>
      <w:r>
        <w:t xml:space="preserve">The vendor’s claim landing page surfaces an identity-only snapshot of the relationship row — business name, contact info, service category, event date, couple display name. The following fields are</w:t>
      </w:r>
      <w:r>
        <w:t xml:space="preserve"> </w:t>
      </w:r>
      <w:r>
        <w:rPr>
          <w:b/>
          <w:bCs/>
        </w:rPr>
        <w:t xml:space="preserve">explicitly NOT shown pre-claim</w:t>
      </w:r>
      <w:r>
        <w:t xml:space="preserve"> </w:t>
      </w:r>
      <w:r>
        <w:t xml:space="preserve">(locked 2026-05-19):</w:t>
      </w:r>
      <w:r>
        <w:t xml:space="preserve"> </w:t>
      </w:r>
      <w:r>
        <w:rPr>
          <w:rStyle w:val="VerbatimChar"/>
        </w:rPr>
        <w:t xml:space="preserve">package_name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package_total_centavos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. The vendor sees those the moment they finish signup and land in their 0022 Clients pipeline. Full claim-page surface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bookmarkEnd w:id="36"/>
    <w:bookmarkStart w:id="37" w:name="failure-handling"/>
    <w:p>
      <w:pPr>
        <w:pStyle w:val="Heading3"/>
      </w:pPr>
      <w:r>
        <w:t xml:space="preserve">Failure handling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 sees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 </w:t>
      </w:r>
      <w:r>
        <w:t xml:space="preserve">pill. The off-platform row stays intact (no chat, full payment-tracking still works). Couple can re-invite the same email immediately.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Vendor ignores for 90 days</w:t>
      </w:r>
      <w:r>
        <w:t xml:space="preserve"> </w:t>
      </w:r>
      <w:r>
        <w:t xml:space="preserve">→ invite 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next access. Pill switches to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 </w:t>
      </w:r>
      <w:r>
        <w:t xml:space="preserve">with a one-tap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affordance.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Couple changes their mind</w:t>
      </w:r>
      <w:r>
        <w:t xml:space="preserve"> </w:t>
      </w:r>
      <w:r>
        <w:t xml:space="preserve">→ tap pill →</w:t>
      </w:r>
      <w:r>
        <w:t xml:space="preserve"> </w:t>
      </w:r>
      <w:r>
        <w:rPr>
          <w:b/>
          <w:bCs/>
        </w:rPr>
        <w:t xml:space="preserve">Revoke</w:t>
      </w:r>
      <w:r>
        <w:t xml:space="preserve">. Pill flips to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. The vendor’s claim link returns</w:t>
      </w:r>
      <w:r>
        <w:t xml:space="preserve"> </w:t>
      </w:r>
      <w:r>
        <w:t xml:space="preserve">“This invite is no longer active”</w:t>
      </w:r>
      <w:r>
        <w:t xml:space="preserve"> </w:t>
      </w:r>
      <w:r>
        <w:t xml:space="preserve">if they later try to open it.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iy-mode-vendor-browse-filter-popup"/>
    <w:p>
      <w:pPr>
        <w:pStyle w:val="Heading2"/>
      </w:pPr>
      <w:r>
        <w:t xml:space="preserve">DIY-mode vendor browse — filter popup</w:t>
      </w:r>
    </w:p>
    <w:bookmarkStart w:id="39" w:name="diy-mode-filter-popup-locked-2026-05-12"/>
    <w:p>
      <w:pPr>
        <w:pStyle w:val="Heading3"/>
      </w:pPr>
      <w:r>
        <w:t xml:space="preserve">DIY-mode filter popup (locked 2026-05-12)</w:t>
      </w:r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  <w:bCs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“Filter &amp; sort”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  <w:bCs/>
        </w:rPr>
        <w:t xml:space="preserve">Filter popup contents: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Distance radius from venue</w:t>
      </w:r>
      <w:r>
        <w:t xml:space="preserve"> </w:t>
      </w:r>
      <w:r>
        <w:t xml:space="preserve">(10 / 20 / 30 / 50 km; default 30 km — uses event venue lat/lon as origin)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Has reviews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Verified only</w:t>
      </w:r>
      <w:r>
        <w:t xml:space="preserve"> </w:t>
      </w:r>
      <w:r>
        <w:t xml:space="preserve">(toggle, OFF by default — locked 2026-05-15) — when OFF (default), browse shows BOTH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public_visibility='coming_soon'</w:t>
      </w:r>
      <w:r>
        <w:t xml:space="preserve"> </w:t>
      </w:r>
      <w:r>
        <w:t xml:space="preserve">vendors. Coming-soon cards render with a muted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badge, no booking CTA, profile is read-only preview. When ON, only verified vendors appear. Default OFF so couples see the platform’s growing vendor pool even before verification completes — per 2026-05-15 decision. See iteration 0022 § 2.1c for the</w:t>
      </w:r>
      <w:r>
        <w:t xml:space="preserve"> 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state machine.</w:t>
      </w:r>
    </w:p>
    <w:p>
      <w:pPr>
        <w:pStyle w:val="FirstParagraph"/>
      </w:pPr>
      <w:r>
        <w:rPr>
          <w:b/>
          <w:bCs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  <w:bCs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  <w:bCs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reviews-schema-locked-2026-05-12"/>
    <w:p>
      <w:pPr>
        <w:pStyle w:val="Heading2"/>
      </w:pPr>
      <w:r>
        <w:t xml:space="preserve">Reviews schema (locked 2026-05-12)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  <w:r>
        <w:br/>
      </w:r>
      <w:r>
        <w:br/>
      </w:r>
      <w:r>
        <w:rPr>
          <w:rStyle w:val="CommentTok"/>
        </w:rPr>
        <w:t xml:space="preserve">-- Self-review hard gate — schema CHECK + BEFORE INSERT trigger.</w:t>
      </w:r>
      <w:r>
        <w:br/>
      </w:r>
      <w:r>
        <w:rPr>
          <w:rStyle w:val="CommentTok"/>
        </w:rPr>
        <w:t xml:space="preserve">-- See CLAUDE.md decision log 2026-05-15.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no_self_review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(reviewer_user_id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vendor_reviews.vendor_id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matched_signal TEXT;</w:t>
      </w:r>
      <w:r>
        <w:br/>
      </w:r>
      <w:r>
        <w:rPr>
          <w:rStyle w:val="NormalTok"/>
        </w:rPr>
        <w:t xml:space="preserve">  v_owner_id     UUID;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v_owner_id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-- 1. Team member of the vendor (owner_self is already caught by the CHECK above).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'team_member'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-- 2. Payment-method match — reviewer and vendor owner share any payer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reference across service_order_payments history.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service_order_payments p1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o1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o1.order_id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service_order_payments p2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p2.payer_account_number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p1.payer_account_number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p2.payer_account_number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o2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o2.order_id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p2.order_id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-- 3. Device fingerprint match (requires user_devices table — iteration 0034 § 3.1a).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user_devices d1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user_devices d2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d2.device_hash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d1.device_hash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'device_match'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-- 4. Household address match (requires users.address_normalized; null-safe).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u2.address_normalized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u1.address_normalized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u1.address_normalized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(u1.address_normalized)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'household_match'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matched_signal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'SELF_REVIEW_BLOCKED: % (appeal via 0023 Help inbox)'</w:t>
      </w:r>
      <w:r>
        <w:rPr>
          <w:rStyle w:val="NormalTok"/>
        </w:rPr>
        <w:t xml:space="preserve">, matched_signal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'check_violation'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vendor_reviews_block_related_account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block_related_account_review();</w:t>
      </w:r>
    </w:p>
    <w:p>
      <w:pPr>
        <w:pStyle w:val="FirstParagraph"/>
      </w:pPr>
      <w:r>
        <w:rPr>
          <w:b/>
          <w:bCs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“How was [Vendor Name] at your wedding?”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“review permanence + mediation”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bookmarkEnd w:id="41"/>
    <w:bookmarkStart w:id="42" w:name="X0d1752632dffb436fa5d77436b6a863126aa7f1"/>
    <w:p>
      <w:pPr>
        <w:pStyle w:val="Heading2"/>
      </w:pPr>
      <w:r>
        <w:t xml:space="preserve">Dual-role customer ↔ vendor — review gate (locked 2026-05-15)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may carry</w:t>
      </w:r>
      <w:r>
        <w:t xml:space="preserve"> </w:t>
      </w:r>
      <w:r>
        <w:rPr>
          <w:rStyle w:val="VerbatimChar"/>
        </w:rPr>
        <w:t xml:space="preserve">account_type='vendor'</w:t>
      </w:r>
      <w:r>
        <w:t xml:space="preserve"> </w:t>
      </w:r>
      <w:r>
        <w:t xml:space="preserve">AND own/host events as a customer. Setnayan’s</w:t>
      </w:r>
      <w:r>
        <w:t xml:space="preserve"> </w:t>
      </w:r>
      <w:r>
        <w:t xml:space="preserve">“one app, three role-routed entries”</w:t>
      </w:r>
      <w:r>
        <w:t xml:space="preserve"> </w:t>
      </w:r>
      <w:r>
        <w:t xml:space="preserve">rule (CLAUDE.md 2026-05-11) extends explicitly to the customer ↔ vendor surface: applying to become a vendor is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it never closes the customer surface, and the Switch-view pill toggles between roles in chrome. The model mirrors the admin = customer-with-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pattern locked in § 10a (CLAUDE.md 2026-05-12): one identity, multiple roles, real customer codepath.</w:t>
      </w:r>
    </w:p>
    <w:p>
      <w:pPr>
        <w:pStyle w:val="BodyText"/>
      </w:pPr>
      <w:r>
        <w:rPr>
          <w:b/>
          <w:bCs/>
        </w:rPr>
        <w:t xml:space="preserve">Self-purchase is allowed.</w:t>
      </w:r>
      <w:r>
        <w:t xml:space="preserve"> </w:t>
      </w:r>
      <w:r>
        <w:t xml:space="preserve">A vendor who books a service from their own catalog hits the standard cart and checkout flow. At checkout, iteration 0034 § 3.1a surfaces a confirm modal with two CTAs —</w:t>
      </w:r>
      <w:r>
        <w:t xml:space="preserve"> </w:t>
      </w:r>
      <w:r>
        <w:rPr>
          <w:b/>
          <w:bCs/>
        </w:rPr>
        <w:t xml:space="preserve">“Pay full price”</w:t>
      </w:r>
      <w:r>
        <w:t xml:space="preserve"> </w:t>
      </w:r>
      <w:r>
        <w:t xml:space="preserve">(standard payment) or</w:t>
      </w:r>
      <w:r>
        <w:t xml:space="preserve"> </w:t>
      </w:r>
      <w:r>
        <w:rPr>
          <w:b/>
          <w:bCs/>
        </w:rPr>
        <w:t xml:space="preserve">“Comp for myself”</w:t>
      </w:r>
      <w:r>
        <w:t xml:space="preserve"> </w:t>
      </w:r>
      <w:r>
        <w:t xml:space="preserve">(audit-logged self-comp, rate-limited per quarter; see 0034 § 10c). Legitimate use cases include grand-opening dogfooding, internal booking-flow QA, and gifting a service to a friend’s event.</w:t>
      </w:r>
    </w:p>
    <w:p>
      <w:pPr>
        <w:pStyle w:val="BodyText"/>
      </w:pPr>
      <w:r>
        <w:rPr>
          <w:b/>
          <w:bCs/>
        </w:rPr>
        <w:t xml:space="preserve">Self-review is blocked at three layers: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no_self_review</w:t>
      </w:r>
      <w:r>
        <w:t xml:space="preserve"> </w:t>
      </w:r>
      <w:r>
        <w:t xml:space="preserve">CHECK constraint and the</w:t>
      </w:r>
      <w:r>
        <w:t xml:space="preserve"> </w:t>
      </w:r>
      <w:r>
        <w:rPr>
          <w:rStyle w:val="VerbatimChar"/>
        </w:rPr>
        <w:t xml:space="preserve">block_related_account_review()</w:t>
      </w:r>
      <w:r>
        <w:t xml:space="preserve"> </w:t>
      </w:r>
      <w:r>
        <w:t xml:space="preserve">BEFORE INSERT trigger (declared above in the Reviews schema block) refuse any row where reviewer + vendor owner share</w:t>
      </w:r>
      <w:r>
        <w:t xml:space="preserve"> </w:t>
      </w:r>
      <w:r>
        <w:rPr>
          <w:rStyle w:val="VerbatimChar"/>
        </w:rPr>
        <w:t xml:space="preserve">owner_user_id</w:t>
      </w:r>
      <w:r>
        <w:t xml:space="preserve"> </w:t>
      </w:r>
      <w:r>
        <w:t xml:space="preserve">(CHECK), team membership (</w:t>
      </w:r>
      <w:r>
        <w:rPr>
          <w:rStyle w:val="VerbatimChar"/>
        </w:rPr>
        <w:t xml:space="preserve">vendor_service_agents.member_id</w:t>
      </w:r>
      <w:r>
        <w:t xml:space="preserve">), payment method (matching</w:t>
      </w:r>
      <w:r>
        <w:t xml:space="preserve"> </w:t>
      </w:r>
      <w:r>
        <w:rPr>
          <w:rStyle w:val="VerbatimChar"/>
        </w:rPr>
        <w:t xml:space="preserve">service_order_payments.payer_account_number</w:t>
      </w:r>
      <w:r>
        <w:t xml:space="preserve">), device fingerprint (</w:t>
      </w:r>
      <w:r>
        <w:rPr>
          <w:rStyle w:val="VerbatimChar"/>
        </w:rPr>
        <w:t xml:space="preserve">user_devices.device_hash</w:t>
      </w:r>
      <w:r>
        <w:t xml:space="preserve">), or household address (</w:t>
      </w:r>
      <w:r>
        <w:rPr>
          <w:rStyle w:val="VerbatimChar"/>
        </w:rPr>
        <w:t xml:space="preserve">users.address_normalized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/api/v1/reviews</w:t>
      </w:r>
      <w:r>
        <w:t xml:space="preserve"> </w:t>
      </w:r>
      <w:r>
        <w:t xml:space="preserve">catches the trigger exception and returns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with the matched-signal name (</w:t>
      </w:r>
      <w:r>
        <w:rPr>
          <w:rStyle w:val="VerbatimChar"/>
        </w:rPr>
        <w:t xml:space="preserve">owner_self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team_member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household_match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next_action: "contest_via_help"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— the</w:t>
      </w:r>
      <w:r>
        <w:t xml:space="preserve"> </w:t>
      </w:r>
      <w:r>
        <w:t xml:space="preserve">“Leave a review”</w:t>
      </w:r>
      <w:r>
        <w:t xml:space="preserve"> </w:t>
      </w:r>
      <w:r>
        <w:t xml:space="preserve">CTA renders disabled on the booked-vendor card with the hint</w:t>
      </w:r>
      <w:r>
        <w:t xml:space="preserve"> </w:t>
      </w:r>
      <w:r>
        <w:rPr>
          <w:i/>
          <w:iCs/>
        </w:rPr>
        <w:t xml:space="preserve">“You can’t review your own services”</w:t>
      </w:r>
      <w:r>
        <w:t xml:space="preserve"> </w:t>
      </w:r>
      <w:r>
        <w:t xml:space="preserve">when the event flips to Wrap stage (0021 § 2.2d). Tap-on-disabled opens the appeal flow.</w:t>
      </w:r>
    </w:p>
    <w:p>
      <w:pPr>
        <w:pStyle w:val="FirstParagraph"/>
      </w:pPr>
      <w:r>
        <w:rPr>
          <w:b/>
          <w:bCs/>
        </w:rPr>
        <w:t xml:space="preserve">Appeal path.</w:t>
      </w:r>
      <w:r>
        <w:t xml:space="preserve"> </w:t>
      </w:r>
      <w:r>
        <w:t xml:space="preserve">Filipino households legitimately share GCash numbers, devices, and addresses, so the hard gate WILL produce false positives. The appeal routes to the 0023 Help inbox; admin investigates, and if the related-account match is coincidental (couple sharing a GCash with an unrelated vendor’s owner is the canonical false-positive), the admin can</w:t>
      </w:r>
      <w:r>
        <w:t xml:space="preserve"> </w:t>
      </w:r>
      <w:r>
        <w:rPr>
          <w:b/>
          <w:bCs/>
        </w:rPr>
        <w:t xml:space="preserve">override-publish</w:t>
      </w:r>
      <w:r>
        <w:t xml:space="preserve"> </w:t>
      </w:r>
      <w:r>
        <w:t xml:space="preserve">the review with reason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Single-admin authority (falls below the two-admin threshold per § 9.1).</w:t>
      </w:r>
    </w:p>
    <w:p>
      <w:pPr>
        <w:pStyle w:val="BodyText"/>
      </w:pPr>
      <w:r>
        <w:rPr>
          <w:b/>
          <w:bCs/>
        </w:rPr>
        <w:t xml:space="preserve">Admin parity.</w:t>
      </w:r>
      <w:r>
        <w:t xml:space="preserve"> </w:t>
      </w:r>
      <w:r>
        <w:t xml:space="preserve">Admins are already customers carrying</w:t>
      </w:r>
      <w:r>
        <w:t xml:space="preserve"> 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(§ 10a). The self-review gate applies symmetrically — an admin who books a vendor on the customer side cannot review that vendor if the admin sits on the vendor’s team.</w:t>
      </w:r>
    </w:p>
    <w:p>
      <w:r>
        <w:pict>
          <v:rect style="width:0;height:1.5pt" o:hralign="center" o:hrstd="t" o:hr="t"/>
        </w:pict>
      </w:r>
    </w:p>
    <w:bookmarkEnd w:id="42"/>
    <w:bookmarkStart w:id="43" w:name="Xc78334ae089ae27bdfde730c25d518c8d1c9b2d"/>
    <w:p>
      <w:pPr>
        <w:pStyle w:val="Heading2"/>
      </w:pPr>
      <w:r>
        <w:t xml:space="preserve">Public marketplace stats — completed-events count (locked 2026-05-15)</w:t>
      </w:r>
    </w:p>
    <w:p>
      <w:pPr>
        <w:pStyle w:val="FirstParagraph"/>
      </w:pPr>
      <w:r>
        <w:t xml:space="preserve">The marketplace vendor card and the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landing page display a</w:t>
      </w:r>
      <w:r>
        <w:t xml:space="preserve"> </w:t>
      </w:r>
      <w:r>
        <w:t xml:space="preserve">“completed events”</w:t>
      </w:r>
      <w:r>
        <w:t xml:space="preserve"> </w:t>
      </w:r>
      <w:r>
        <w:t xml:space="preserve">credibility number. Per the dual-role public-stats rule (CLAUDE.md decision log 2026-05-15, second row), this number EXCLUDES bookings made by the vendor’s own people. Encoded as a materialized view, the public sibling of</w:t>
      </w:r>
      <w:r>
        <w:t xml:space="preserve"> </w:t>
      </w:r>
      <w:r>
        <w:rPr>
          <w:rStyle w:val="VerbatimChar"/>
        </w:rPr>
        <w:t xml:space="preserve">vendor_review_stats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vendor_public_completed_events_stats — the count shown on</w:t>
      </w:r>
      <w:r>
        <w:br/>
      </w:r>
      <w:r>
        <w:rPr>
          <w:rStyle w:val="CommentTok"/>
        </w:rPr>
        <w:t xml:space="preserve">-- the marketplace card and the public /v/[slug] landing.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vendor_public_completed_events_stats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public_completed_count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so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comp_grants cg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cg.grant_id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so.comp_grant_id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Exclude any booking where the buying couple includes the vendor's owner...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v.owner_user_id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 vendor team member...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vsa.member_id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an internal account that owns or sits on this vendor's team.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v.owner_user_id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vsa.member_id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self-comp orders never count regardless of buyer identity.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'vendor_self_comp'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vendor_public_completed_events_pk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vendor_public_completed_events_stats(vendor_id);</w:t>
      </w:r>
      <w:r>
        <w:br/>
      </w:r>
      <w:r>
        <w:br/>
      </w:r>
      <w:r>
        <w:rPr>
          <w:rStyle w:val="CommentTok"/>
        </w:rPr>
        <w:t xml:space="preserve">-- Refresh on relationship stage change or comp-grant insert</w:t>
      </w:r>
      <w:r>
        <w:br/>
      </w:r>
      <w:r>
        <w:rPr>
          <w:rStyle w:val="CommentTok"/>
        </w:rPr>
        <w:t xml:space="preserve">-- (trigger or hourly cron, whichever is cheaper).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vendor_full_completed_events_stats — the unfiltered count</w:t>
      </w:r>
      <w:r>
        <w:br/>
      </w:r>
      <w:r>
        <w:rPr>
          <w:rStyle w:val="CommentTok"/>
        </w:rPr>
        <w:t xml:space="preserve">-- the vendor's own backend card reads when their toggle is 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vendor_full_completed_events_stats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full_completed_count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vendors.show_team_bookings_in_backend_count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Per-vendor toggle. Default FALSE = vendor's backend card reads from</w:t>
      </w:r>
      <w:r>
        <w:br/>
      </w:r>
      <w:r>
        <w:rPr>
          <w:rStyle w:val="CommentTok"/>
        </w:rPr>
        <w:t xml:space="preserve">-- vendor_public_completed_events_stats (same number the public sees).</w:t>
      </w:r>
      <w:r>
        <w:br/>
      </w:r>
      <w:r>
        <w:rPr>
          <w:rStyle w:val="CommentTok"/>
        </w:rPr>
        <w:t xml:space="preserve">-- TRUE = backend card reads from vendor_full_completed_events_stats and</w:t>
      </w:r>
      <w:r>
        <w:br/>
      </w:r>
      <w:r>
        <w:rPr>
          <w:rStyle w:val="CommentTok"/>
        </w:rPr>
        <w:t xml:space="preserve">-- renders the delta inline. Public count is unaffected either way.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br/>
      </w:r>
      <w:r>
        <w:rPr>
          <w:rStyle w:val="NormalTok"/>
        </w:rPr>
        <w:t xml:space="preserve">  show_team_bookings_in_backend_count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Surface consumers: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View read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browse vendor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The credibility number next to the avg-rating 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Inside the credibility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Vendor’s own dashboard</w:t>
            </w:r>
            <w:r>
              <w:t xml:space="preserve"> </w:t>
            </w:r>
            <w:r>
              <w:t xml:space="preserve">“Completed events”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(when toggle ON)</w:t>
            </w:r>
          </w:p>
        </w:tc>
        <w:tc>
          <w:tcPr/>
          <w:p>
            <w:pPr>
              <w:pStyle w:val="Compact"/>
            </w:pPr>
            <w:r>
              <w:t xml:space="preserve">See iteration 0022 § 2.4a for the toggle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vendor detail (0023 § 3.4)</w:t>
            </w:r>
          </w:p>
        </w:tc>
        <w:tc>
          <w:tcPr/>
          <w:p>
            <w:pPr>
              <w:pStyle w:val="Compact"/>
            </w:pPr>
            <w:r>
              <w:t xml:space="preserve">Both side-by-side</w:t>
            </w:r>
          </w:p>
        </w:tc>
        <w:tc>
          <w:tcPr/>
          <w:p>
            <w:pPr>
              <w:pStyle w:val="Compact"/>
            </w:pPr>
            <w:r>
              <w:t xml:space="preserve">Admin sees public and full counts together for moderation visibility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Personal/customer side unaffected.</w:t>
      </w:r>
      <w:r>
        <w:t xml:space="preserve"> </w:t>
      </w:r>
      <w:r>
        <w:t xml:space="preserve">A team member viewing their own customer-side dashboard sees the full history of THEIR events as a customer. The exclusion above is strictly about the vendor’s marketplace credibility number, not the user’s personal record.</w:t>
      </w:r>
    </w:p>
    <w:p>
      <w:r>
        <w:pict>
          <v:rect style="width:0;height:1.5pt" o:hralign="center" o:hrstd="t" o:hr="t"/>
        </w:pict>
      </w:r>
    </w:p>
    <w:bookmarkEnd w:id="43"/>
    <w:bookmarkStart w:id="44" w:name="Xc0f47d8f9e0127f3548f70baf68c87536625ac0"/>
    <w:p>
      <w:pPr>
        <w:pStyle w:val="Heading2"/>
      </w:pPr>
      <w:r>
        <w:t xml:space="preserve">Connection to other iterations (forward-sequenced)</w:t>
      </w:r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  <w:bCs/>
        </w:rPr>
        <w:t xml:space="preserve">&lt; 0006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  <w:bCs/>
        </w:rPr>
        <w:t xml:space="preserve">NOT used here.</w:t>
      </w:r>
      <w:r>
        <w:t xml:space="preserve"> </w:t>
      </w:r>
      <w:r>
        <w:t xml:space="preserve">Vendor payments are external; the wallet is reserved for Setnayan-charged services. This is a deliberate separation; see decision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  <w:bCs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‘booked’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bookmarkEnd w:id="44"/>
    <w:bookmarkStart w:id="45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19"/>
        </w:numPr>
      </w:pPr>
      <w:r>
        <w:t xml:space="preserve">Contract files are couple-scoped. Only logged-in members of the couple’s event can fetch signed download URLs. Setnayan Staff have read access for support; access is logged.</w:t>
      </w:r>
    </w:p>
    <w:p>
      <w:pPr>
        <w:pStyle w:val="Compact"/>
        <w:numPr>
          <w:ilvl w:val="0"/>
          <w:numId w:val="1019"/>
        </w:numPr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pStyle w:val="Compact"/>
        <w:numPr>
          <w:ilvl w:val="0"/>
          <w:numId w:val="1019"/>
        </w:numPr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bookmarkEnd w:id="45"/>
    <w:bookmarkStart w:id="52" w:name="X714c90ff4f0da33bd8b56b52324a2ca0911b375"/>
    <w:p>
      <w:pPr>
        <w:pStyle w:val="Heading2"/>
      </w:pPr>
      <w:r>
        <w:t xml:space="preserve">Vendor Verification flow (locked 2026-05-16)</w:t>
      </w:r>
    </w:p>
    <w:p>
      <w:pPr>
        <w:pStyle w:val="FirstParagraph"/>
      </w:pPr>
      <w:r>
        <w:t xml:space="preserve">The verification flow gates which vendors can offer Setnayan Pay to couples, which can subscribe to Pro Weekly, and which can run paid marketing (Boosted Ads / Sponsored Boost). It is the trust spine of the marketplace.</w:t>
      </w:r>
    </w:p>
    <w:bookmarkStart w:id="46" w:name="pricing"/>
    <w:p>
      <w:pPr>
        <w:pStyle w:val="Heading3"/>
      </w:pPr>
      <w:r>
        <w:t xml:space="preserve">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Setnayan absorbs ~₱535/vendor</w:t>
            </w:r>
          </w:p>
        </w:tc>
        <w:tc>
          <w:tcPr/>
          <w:p>
            <w:pPr>
              <w:pStyle w:val="Compact"/>
            </w:pPr>
            <w:r>
              <w:t xml:space="preserve">Treated as customer acquisition cost — keeps onboarding funnel frictionless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Re-verification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₱1,499/year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Light-touch yearly refresh — re-checks docs are current (charm-corrected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Re-verification after demotion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Higher gate to discourage demotion churn (vendor is paying to climb back up from coming_soon state · charm-corrected 2026-05-17)</w:t>
            </w:r>
          </w:p>
        </w:tc>
      </w:tr>
    </w:tbl>
    <w:bookmarkEnd w:id="46"/>
    <w:bookmarkStart w:id="47" w:name="required-documents-all-12-no-exceptions"/>
    <w:p>
      <w:pPr>
        <w:pStyle w:val="Heading3"/>
      </w:pPr>
      <w:r>
        <w:t xml:space="preserve">Required documents (all 12 — no exceptions)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DTI Business Name Certificate</w:t>
      </w:r>
      <w:r>
        <w:t xml:space="preserve"> </w:t>
      </w:r>
      <w:r>
        <w:t xml:space="preserve">— auto-validated via DTI Database lookup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BIR Form 2303</w:t>
      </w:r>
      <w:r>
        <w:t xml:space="preserve"> </w:t>
      </w:r>
      <w:r>
        <w:t xml:space="preserve">(Certificate of Registration)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Mayor’s Permit</w:t>
      </w:r>
      <w:r>
        <w:t xml:space="preserve"> </w:t>
      </w:r>
      <w:r>
        <w:t xml:space="preserve">(current year)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Valid government ID (owner)</w:t>
      </w:r>
      <w:r>
        <w:t xml:space="preserve"> </w:t>
      </w:r>
      <w:r>
        <w:t xml:space="preserve">— verified via Persona / Veriff / Onfido (~₱200 per check)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Bank account proof</w:t>
      </w:r>
      <w:r>
        <w:t xml:space="preserve"> </w:t>
      </w:r>
      <w:r>
        <w:t xml:space="preserve">— Maya / GCash micro-deposit verification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5-10 portfolio samples</w:t>
      </w:r>
      <w:r>
        <w:t xml:space="preserve"> </w:t>
      </w:r>
      <w:r>
        <w:t xml:space="preserve">— reverse image search check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3-5 past client references</w:t>
      </w:r>
      <w:r>
        <w:t xml:space="preserve"> </w:t>
      </w:r>
      <w:r>
        <w:t xml:space="preserve">— Setnayan calls 1-2 randomly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Live selfie + ID liveness check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15-min Google Meet with admin</w:t>
      </w:r>
      <w:r>
        <w:t xml:space="preserve"> </w:t>
      </w:r>
      <w:r>
        <w:t xml:space="preserve">(scheduled in verification queue)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Phone SMS OTP + email confirmation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Social media presence</w:t>
      </w:r>
      <w:r>
        <w:t xml:space="preserve"> </w:t>
      </w:r>
      <w:r>
        <w:t xml:space="preserve">— Instagram or Facebook business page link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Sanctions / PEP screening</w:t>
      </w:r>
      <w:r>
        <w:t xml:space="preserve"> </w:t>
      </w:r>
      <w:r>
        <w:t xml:space="preserve">— AMLC watchlist API</w:t>
      </w:r>
    </w:p>
    <w:bookmarkEnd w:id="47"/>
    <w:bookmarkStart w:id="48" w:name="category-specific-extras"/>
    <w:p>
      <w:pPr>
        <w:pStyle w:val="Heading3"/>
      </w:pPr>
      <w:r>
        <w:t xml:space="preserve">Category-specific extras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Wedding venues:</w:t>
      </w:r>
      <w:r>
        <w:t xml:space="preserve"> </w:t>
      </w:r>
      <w:r>
        <w:t xml:space="preserve">insurance documents ≥ ₱1M liability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Catering &gt; 100 guests:</w:t>
      </w:r>
      <w:r>
        <w:t xml:space="preserve"> </w:t>
      </w:r>
      <w:r>
        <w:t xml:space="preserve">Health Department certification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Wedding coordinators:</w:t>
      </w:r>
      <w:r>
        <w:t xml:space="preserve"> </w:t>
      </w:r>
      <w:r>
        <w:t xml:space="preserve">industry certification OR 5+ years experience proof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High-value vendors (₱500K+ avg booking):</w:t>
      </w:r>
      <w:r>
        <w:t xml:space="preserve"> </w:t>
      </w:r>
      <w:r>
        <w:t xml:space="preserve">background check on owner</w:t>
      </w:r>
    </w:p>
    <w:bookmarkEnd w:id="48"/>
    <w:bookmarkStart w:id="49" w:name="process"/>
    <w:p>
      <w:pPr>
        <w:pStyle w:val="Heading3"/>
      </w:pPr>
      <w:r>
        <w:t xml:space="preserve">Process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Vendor effort:</w:t>
      </w:r>
      <w:r>
        <w:t xml:space="preserve"> </w:t>
      </w:r>
      <w:r>
        <w:t xml:space="preserve">30-45 minutes (document upload + Google Meet)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Setnayan SLA:</w:t>
      </w:r>
      <w:r>
        <w:t xml:space="preserve"> </w:t>
      </w:r>
      <w:r>
        <w:t xml:space="preserve">3-5 business days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All-or-nothing:</w:t>
      </w:r>
      <w:r>
        <w:t xml:space="preserve"> </w:t>
      </w:r>
      <w:r>
        <w:t xml:space="preserve">no partial verified state — a vendor is either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coming_soon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 storage:</w:t>
      </w:r>
      <w:r>
        <w:t xml:space="preserve"> </w:t>
      </w:r>
      <w:r>
        <w:t xml:space="preserve">R2 bucket</w:t>
      </w:r>
      <w:r>
        <w:t xml:space="preserve"> </w:t>
      </w:r>
      <w:r>
        <w:rPr>
          <w:rStyle w:val="VerbatimChar"/>
        </w:rPr>
        <w:t xml:space="preserve">setnayan-vendor-verification</w:t>
      </w:r>
      <w:r>
        <w:t xml:space="preserve"> </w:t>
      </w:r>
      <w:r>
        <w:t xml:space="preserve">(90-day rolling for raw uploads · 7-year retention for verification audit trail per BIR § 235)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Admin queue:</w:t>
      </w:r>
      <w:r>
        <w:t xml:space="preserve"> </w:t>
      </w:r>
      <w:r>
        <w:t xml:space="preserve">Setnayan admin reviews each application in 0023 Admin Console → Verification Queue surface</w:t>
      </w:r>
    </w:p>
    <w:bookmarkEnd w:id="49"/>
    <w:bookmarkStart w:id="50" w:name="tier-perkslimitations-locked"/>
    <w:p>
      <w:pPr>
        <w:pStyle w:val="Heading3"/>
      </w:pPr>
      <w:r>
        <w:t xml:space="preserve">Tier perks/limitations (locked)</w:t>
      </w:r>
    </w:p>
    <w:p>
      <w:pPr>
        <w:pStyle w:val="FirstParagraph"/>
      </w:pPr>
      <w:r>
        <w:rPr>
          <w:b/>
          <w:bCs/>
        </w:rPr>
        <w:t xml:space="preserve">Verified vendor perks:</w:t>
      </w:r>
    </w:p>
    <w:p>
      <w:pPr>
        <w:pStyle w:val="Compact"/>
        <w:numPr>
          <w:ilvl w:val="0"/>
          <w:numId w:val="1023"/>
        </w:numPr>
      </w:pPr>
      <w:r>
        <w:t xml:space="preserve">Verified badge in marketplace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Setnayan Pay unlocks for couples</w:t>
      </w:r>
      <w:r>
        <w:t xml:space="preserve"> </w:t>
      </w:r>
      <w:r>
        <w:t xml:space="preserve">(couples can ONLY use Setnayan Pay with verified vendors)</w:t>
      </w:r>
    </w:p>
    <w:p>
      <w:pPr>
        <w:pStyle w:val="Compact"/>
        <w:numPr>
          <w:ilvl w:val="0"/>
          <w:numId w:val="1023"/>
        </w:numPr>
      </w:pPr>
      <w:r>
        <w:t xml:space="preserve">Custom partial payment plan configuration</w:t>
      </w:r>
    </w:p>
    <w:p>
      <w:pPr>
        <w:pStyle w:val="Compact"/>
        <w:numPr>
          <w:ilvl w:val="0"/>
          <w:numId w:val="1023"/>
        </w:numPr>
      </w:pPr>
      <w:r>
        <w:t xml:space="preserve">Pro Weekly subscription access (₱499/wk)</w:t>
      </w:r>
    </w:p>
    <w:p>
      <w:pPr>
        <w:pStyle w:val="Compact"/>
        <w:numPr>
          <w:ilvl w:val="0"/>
          <w:numId w:val="1023"/>
        </w:numPr>
      </w:pPr>
      <w:r>
        <w:t xml:space="preserve">Sponsored Boost eligibility (Quarterly ₱249,999 / Annual ₱799,999)</w:t>
      </w:r>
    </w:p>
    <w:p>
      <w:pPr>
        <w:pStyle w:val="Compact"/>
        <w:numPr>
          <w:ilvl w:val="0"/>
          <w:numId w:val="1023"/>
        </w:numPr>
      </w:pPr>
      <w:r>
        <w:t xml:space="preserve">Boosted Ads eligibility (5km ₱4,999 / 10km ₱7,999 / 20km ₱14,999 per week)</w:t>
      </w:r>
    </w:p>
    <w:p>
      <w:pPr>
        <w:pStyle w:val="Compact"/>
        <w:numPr>
          <w:ilvl w:val="0"/>
          <w:numId w:val="1023"/>
        </w:numPr>
      </w:pPr>
      <w:r>
        <w:t xml:space="preserve">All Tools Unlock bundle access (₱9,999/year)</w:t>
      </w:r>
    </w:p>
    <w:p>
      <w:pPr>
        <w:pStyle w:val="Compact"/>
        <w:numPr>
          <w:ilvl w:val="0"/>
          <w:numId w:val="1023"/>
        </w:numPr>
      </w:pPr>
      <w:r>
        <w:t xml:space="preserve">Immediate full payout (no 3-stage hold)</w:t>
      </w:r>
    </w:p>
    <w:p>
      <w:pPr>
        <w:pStyle w:val="Compact"/>
        <w:numPr>
          <w:ilvl w:val="0"/>
          <w:numId w:val="1023"/>
        </w:numPr>
      </w:pPr>
      <w:r>
        <w:t xml:space="preserve">Higher marketplace search ranking</w:t>
      </w:r>
    </w:p>
    <w:p>
      <w:pPr>
        <w:pStyle w:val="Compact"/>
        <w:numPr>
          <w:ilvl w:val="0"/>
          <w:numId w:val="1023"/>
        </w:numPr>
      </w:pPr>
      <w:r>
        <w:t xml:space="preserve">Featured Vendor program eligibility</w:t>
      </w:r>
    </w:p>
    <w:p>
      <w:pPr>
        <w:pStyle w:val="Compact"/>
        <w:numPr>
          <w:ilvl w:val="0"/>
          <w:numId w:val="1023"/>
        </w:numPr>
      </w:pPr>
      <w:r>
        <w:t xml:space="preserve">Coordinator-join permission in couple threads</w:t>
      </w:r>
    </w:p>
    <w:p>
      <w:pPr>
        <w:pStyle w:val="FirstParagraph"/>
      </w:pPr>
      <w:r>
        <w:rPr>
          <w:b/>
          <w:bCs/>
        </w:rPr>
        <w:t xml:space="preserve">Coming_soon vendor limitations:</w:t>
      </w:r>
    </w:p>
    <w:p>
      <w:pPr>
        <w:pStyle w:val="Compact"/>
        <w:numPr>
          <w:ilvl w:val="0"/>
          <w:numId w:val="1024"/>
        </w:numPr>
      </w:pPr>
      <w:r>
        <w:t xml:space="preserve">Setnayan Pay LOCKED (couples pay direct off-platform — vendor’s own BDO / GCash)</w:t>
      </w:r>
    </w:p>
    <w:p>
      <w:pPr>
        <w:pStyle w:val="Compact"/>
        <w:numPr>
          <w:ilvl w:val="0"/>
          <w:numId w:val="1024"/>
        </w:numPr>
      </w:pPr>
      <w:r>
        <w:t xml:space="preserve">Fixed Setnayan-managed 3-stage payout (see § Payout below)</w:t>
      </w:r>
    </w:p>
    <w:p>
      <w:pPr>
        <w:pStyle w:val="Compact"/>
        <w:numPr>
          <w:ilvl w:val="0"/>
          <w:numId w:val="1024"/>
        </w:numPr>
      </w:pPr>
      <w:r>
        <w:t xml:space="preserve">“Coming Soon”</w:t>
      </w:r>
      <w:r>
        <w:t xml:space="preserve"> </w:t>
      </w:r>
      <w:r>
        <w:t xml:space="preserve">badge in marketplace</w:t>
      </w:r>
    </w:p>
    <w:p>
      <w:pPr>
        <w:pStyle w:val="Compact"/>
        <w:numPr>
          <w:ilvl w:val="0"/>
          <w:numId w:val="1024"/>
        </w:numPr>
      </w:pPr>
      <w:r>
        <w:t xml:space="preserve">No Pro Weekly subscription</w:t>
      </w:r>
    </w:p>
    <w:p>
      <w:pPr>
        <w:pStyle w:val="Compact"/>
        <w:numPr>
          <w:ilvl w:val="0"/>
          <w:numId w:val="1024"/>
        </w:numPr>
      </w:pPr>
      <w:r>
        <w:t xml:space="preserve">No Boosted Ads or Sponsored Boost</w:t>
      </w:r>
    </w:p>
    <w:p>
      <w:pPr>
        <w:pStyle w:val="Compact"/>
        <w:numPr>
          <w:ilvl w:val="0"/>
          <w:numId w:val="1024"/>
        </w:numPr>
      </w:pPr>
      <w:r>
        <w:t xml:space="preserve">Lower marketplace search ranking</w:t>
      </w:r>
    </w:p>
    <w:p>
      <w:pPr>
        <w:pStyle w:val="Compact"/>
        <w:numPr>
          <w:ilvl w:val="0"/>
          <w:numId w:val="1024"/>
        </w:numPr>
      </w:pPr>
      <w:r>
        <w:t xml:space="preserve">No tool access (All Tools Unlock locked at coming_soon — wait, exception: All Tools Unlock is open to ALL paying vendors including coming_soon per 2026-05-16 lock; the other marketing/payment perks remain locked)</w:t>
      </w:r>
    </w:p>
    <w:bookmarkEnd w:id="50"/>
    <w:bookmarkStart w:id="51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verification_state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(verification_state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'demoted'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last_verified_at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next_renewal_due_at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demotion_count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last_demoted_at TIMESTAMPTZ;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vendor_verification_applications (</w:t>
      </w:r>
      <w:r>
        <w:br/>
      </w:r>
      <w:r>
        <w:rPr>
          <w:rStyle w:val="NormalTok"/>
        </w:rPr>
        <w:t xml:space="preserve">  application_id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application_type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(application_type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'initial'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'annual_renewal'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'post_demotion'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fee_php_centavos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-- 0 / 150000 / 250000</w:t>
      </w:r>
      <w:r>
        <w:br/>
      </w:r>
      <w:r>
        <w:rPr>
          <w:rStyle w:val="NormalTok"/>
        </w:rPr>
        <w:t xml:space="preserve">  submitted_at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doc_uploads JSONB,                 </w:t>
      </w:r>
      <w:r>
        <w:rPr>
          <w:rStyle w:val="CommentTok"/>
        </w:rPr>
        <w:t xml:space="preserve">-- 12-doc checklist + R2 keys</w:t>
      </w:r>
      <w:r>
        <w:br/>
      </w:r>
      <w:r>
        <w:rPr>
          <w:rStyle w:val="NormalTok"/>
        </w:rPr>
        <w:t xml:space="preserve">  persona_check_result JSONB,</w:t>
      </w:r>
      <w:r>
        <w:br/>
      </w:r>
      <w:r>
        <w:rPr>
          <w:rStyle w:val="NormalTok"/>
        </w:rPr>
        <w:t xml:space="preserve">  amlc_screening_result JSONB,</w:t>
      </w:r>
      <w:r>
        <w:br/>
      </w:r>
      <w:r>
        <w:rPr>
          <w:rStyle w:val="NormalTok"/>
        </w:rPr>
        <w:t xml:space="preserve">  google_meet_scheduled_at TIMESTAMPTZ,</w:t>
      </w:r>
      <w:r>
        <w:br/>
      </w:r>
      <w:r>
        <w:rPr>
          <w:rStyle w:val="NormalTok"/>
        </w:rPr>
        <w:t xml:space="preserve">  reviewer_admin_id UUID,</w:t>
      </w:r>
      <w:r>
        <w:br/>
      </w:r>
      <w:r>
        <w:rPr>
          <w:rStyle w:val="NormalTok"/>
        </w:rPr>
        <w:t xml:space="preserve">  approved_at TIMESTAMPTZ,</w:t>
      </w:r>
      <w:r>
        <w:br/>
      </w:r>
      <w:r>
        <w:rPr>
          <w:rStyle w:val="NormalTok"/>
        </w:rPr>
        <w:t xml:space="preserve">  rejected_at TIMESTAMPTZ,</w:t>
      </w:r>
      <w:r>
        <w:br/>
      </w:r>
      <w:r>
        <w:rPr>
          <w:rStyle w:val="NormalTok"/>
        </w:rPr>
        <w:t xml:space="preserve">  rejection_reason TEXT,</w:t>
      </w:r>
      <w:r>
        <w:br/>
      </w:r>
      <w:r>
        <w:rPr>
          <w:rStyle w:val="NormalTok"/>
        </w:rPr>
        <w:t xml:space="preserve">  notes TEXT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vendor-payout-model-locked-2026-05-16"/>
    <w:p>
      <w:pPr>
        <w:pStyle w:val="Heading2"/>
      </w:pPr>
      <w:r>
        <w:t xml:space="preserve">Vendor Payout model (locked 2026-05-16)</w:t>
      </w:r>
    </w:p>
    <w:bookmarkStart w:id="53" w:name="verified-vendors-immediate-full-payout"/>
    <w:p>
      <w:pPr>
        <w:pStyle w:val="Heading3"/>
      </w:pPr>
      <w:r>
        <w:t xml:space="preserve">Verified vendors — immediate full payout</w:t>
      </w:r>
    </w:p>
    <w:p>
      <w:pPr>
        <w:pStyle w:val="Compact"/>
        <w:numPr>
          <w:ilvl w:val="0"/>
          <w:numId w:val="1025"/>
        </w:numPr>
      </w:pPr>
      <w:r>
        <w:t xml:space="preserve">Released</w:t>
      </w:r>
      <w:r>
        <w:t xml:space="preserve"> </w:t>
      </w:r>
      <w:r>
        <w:rPr>
          <w:b/>
          <w:bCs/>
        </w:rPr>
        <w:t xml:space="preserve">T+1</w:t>
      </w:r>
      <w:r>
        <w:t xml:space="preserve"> </w:t>
      </w:r>
      <w:r>
        <w:t xml:space="preserve">to vendor’s chosen disbursement method (Maya / GCash / bank transfer)</w:t>
      </w:r>
    </w:p>
    <w:p>
      <w:pPr>
        <w:pStyle w:val="Compact"/>
        <w:numPr>
          <w:ilvl w:val="0"/>
          <w:numId w:val="1025"/>
        </w:numPr>
      </w:pPr>
      <w:r>
        <w:t xml:space="preserve">Net amount = vendor list price − gateway/terminal fee − BIR Marketplace Withholding 0.5%</w:t>
      </w:r>
    </w:p>
    <w:p>
      <w:pPr>
        <w:pStyle w:val="Compact"/>
        <w:numPr>
          <w:ilvl w:val="0"/>
          <w:numId w:val="1025"/>
        </w:numPr>
      </w:pPr>
      <w:r>
        <w:t xml:space="preserve">Setnayan absorbs the ₱15-25 outbound disbursement fee (vendor sees nominal net, no additional deduction)</w:t>
      </w:r>
    </w:p>
    <w:p>
      <w:pPr>
        <w:pStyle w:val="Compact"/>
        <w:numPr>
          <w:ilvl w:val="0"/>
          <w:numId w:val="1025"/>
        </w:numPr>
      </w:pPr>
      <w:r>
        <w:t xml:space="preserve">BIR Form 2307 issued quarterly to vendor (creditable against vendor’s own income tax)</w:t>
      </w:r>
    </w:p>
    <w:bookmarkEnd w:id="53"/>
    <w:bookmarkStart w:id="54" w:name="X2ee8468690b1cd80269e46aa12ea0f5806ea7d5"/>
    <w:p>
      <w:pPr>
        <w:pStyle w:val="Heading3"/>
      </w:pPr>
      <w:r>
        <w:t xml:space="preserve">Coming_soon vendors — 3-stage milestone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Release %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Dispute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Reservation deposit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Booking confirmation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Pre-event check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T-14 days · couple confirms vendor’s prep on track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Post-event balance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T+7 days · couple confirms delivery, no dispute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</w:tbl>
    <w:bookmarkEnd w:id="54"/>
    <w:bookmarkStart w:id="55" w:name="demote-to-coming_soon-trigger"/>
    <w:p>
      <w:pPr>
        <w:pStyle w:val="Heading3"/>
      </w:pPr>
      <w:r>
        <w:t xml:space="preserve">Demote-to-coming_soon trigger</w:t>
      </w:r>
    </w:p>
    <w:p>
      <w:pPr>
        <w:pStyle w:val="FirstParagraph"/>
      </w:pPr>
      <w:r>
        <w:t xml:space="preserve">A verified vendor is auto-demoted if they accumulate</w:t>
      </w:r>
      <w:r>
        <w:t xml:space="preserve"> </w:t>
      </w:r>
      <w:r>
        <w:rPr>
          <w:b/>
          <w:bCs/>
        </w:rPr>
        <w:t xml:space="preserve">3+ disputes within 30 days</w:t>
      </w:r>
      <w:r>
        <w:t xml:space="preserve">. Demotion:</w:t>
      </w:r>
    </w:p>
    <w:p>
      <w:pPr>
        <w:pStyle w:val="Compact"/>
        <w:numPr>
          <w:ilvl w:val="0"/>
          <w:numId w:val="1026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verification_state = 'demoted'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last_demoted_at = NOW()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demotion_count = demotion_count + 1</w:t>
      </w:r>
    </w:p>
    <w:p>
      <w:pPr>
        <w:pStyle w:val="Compact"/>
        <w:numPr>
          <w:ilvl w:val="0"/>
          <w:numId w:val="1026"/>
        </w:numPr>
      </w:pPr>
      <w:r>
        <w:t xml:space="preserve">Locks Setnayan Pay (couples pay direct off-platform)</w:t>
      </w:r>
    </w:p>
    <w:p>
      <w:pPr>
        <w:pStyle w:val="Compact"/>
        <w:numPr>
          <w:ilvl w:val="0"/>
          <w:numId w:val="1026"/>
        </w:numPr>
      </w:pPr>
      <w:r>
        <w:t xml:space="preserve">Switches payout model to the 3-stage milestone release for in-flight bookings</w:t>
      </w:r>
    </w:p>
    <w:p>
      <w:pPr>
        <w:pStyle w:val="Compact"/>
        <w:numPr>
          <w:ilvl w:val="0"/>
          <w:numId w:val="1026"/>
        </w:numPr>
      </w:pPr>
      <w:r>
        <w:t xml:space="preserve">Removes Boosted Ads / Sponsored Boost eligibility</w:t>
      </w:r>
    </w:p>
    <w:p>
      <w:pPr>
        <w:pStyle w:val="Compact"/>
        <w:numPr>
          <w:ilvl w:val="0"/>
          <w:numId w:val="1026"/>
        </w:numPr>
      </w:pPr>
      <w:r>
        <w:t xml:space="preserve">Email + in-app notification to vendor with re-verification fee (₱2,500) and link to apply</w:t>
      </w:r>
    </w:p>
    <w:bookmarkEnd w:id="55"/>
    <w:bookmarkStart w:id="56" w:name="X5e515f9771d12e12e422ad4a98fb14826905e18"/>
    <w:p>
      <w:pPr>
        <w:pStyle w:val="Heading3"/>
      </w:pPr>
      <w:r>
        <w:t xml:space="preserve">Disbursement rail tiers (V1.5+ Maya Bulk Fund Transfer, locked 2026-05-17)</w:t>
      </w:r>
    </w:p>
    <w:p>
      <w:pPr>
        <w:pStyle w:val="FirstParagraph"/>
      </w:pPr>
      <w:r>
        <w:t xml:space="preserve">Once Maya Business goes live as the V1.5+ primary gateway, all vendor payouts batch through</w:t>
      </w:r>
      <w:r>
        <w:t xml:space="preserve"> </w:t>
      </w:r>
      <w:r>
        <w:rPr>
          <w:b/>
          <w:bCs/>
        </w:rPr>
        <w:t xml:space="preserve">Maya Business Bulk Fund Transfer</w:t>
      </w:r>
      <w:r>
        <w:t xml:space="preserve"> </w:t>
      </w:r>
      <w:r>
        <w:t xml:space="preserve">(one CSV upload per day). Three rails are available; the rail chosen determines settlement time + Setnayan’s absorbed disbursement cost. Full routing logic + schema lives in</w:t>
      </w:r>
      <w:r>
        <w:t xml:space="preserve"> </w:t>
      </w:r>
      <w:r>
        <w:rPr>
          <w:b/>
          <w:bCs/>
        </w:rPr>
        <w:t xml:space="preserve">0034 § 6.7 Outbound — Setnayan pays vendor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 6.9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disbursement_batches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Vendor sees money</w:t>
            </w:r>
          </w:p>
        </w:tc>
        <w:tc>
          <w:tcPr/>
          <w:p>
            <w:pPr>
              <w:pStyle w:val="Compact"/>
            </w:pPr>
            <w:r>
              <w:t xml:space="preserve">Setnayan absorbs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Intra-Maya</w:t>
            </w:r>
            <w:r>
              <w:t xml:space="preserve"> </w:t>
            </w:r>
            <w:r>
              <w:t xml:space="preserve">(vendor has Maya Bank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Instant · 24/7 · 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All payout types when vendor’s disbursement bank is Maya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InstaPay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&lt; 1 minute · 24/7 incl. weekends</w:t>
            </w:r>
          </w:p>
        </w:tc>
        <w:tc>
          <w:tcPr/>
          <w:p>
            <w:pPr>
              <w:pStyle w:val="Compact"/>
            </w:pPr>
            <w:r>
              <w:t xml:space="preserve">~₱10 per payout (bulk rate)</w:t>
            </w:r>
          </w:p>
        </w:tc>
        <w:tc>
          <w:tcPr/>
          <w:p>
            <w:pPr>
              <w:pStyle w:val="Compact"/>
            </w:pPr>
            <w:r>
              <w:t xml:space="preserve">Verified vendor immediate payout to non-Maya destinations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PESONet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EOD same banking day · T+1 weekends/holidays</w:t>
            </w:r>
          </w:p>
        </w:tc>
        <w:tc>
          <w:tcPr/>
          <w:p>
            <w:pPr>
              <w:pStyle w:val="Compact"/>
            </w:pPr>
            <w:r>
              <w:t xml:space="preserve">~₱15 per payout (bulk rate)</w:t>
            </w:r>
          </w:p>
        </w:tc>
        <w:tc>
          <w:tcPr/>
          <w:p>
            <w:pPr>
              <w:pStyle w:val="Compact"/>
            </w:pPr>
            <w:r>
              <w:t xml:space="preserve">Coming_soon vendor 3-stage milestone releases · payouts &lt; ₱500 or &gt; ₱500K</w:t>
            </w:r>
          </w:p>
        </w:tc>
      </w:tr>
    </w:tbl>
    <w:p>
      <w:pPr>
        <w:pStyle w:val="BodyText"/>
      </w:pPr>
      <w:r>
        <w:rPr>
          <w:b/>
          <w:bCs/>
        </w:rPr>
        <w:t xml:space="preserve">Maya Bank vendor-recruiting copy</w:t>
      </w:r>
      <w:r>
        <w:t xml:space="preserve"> </w:t>
      </w:r>
      <w:r>
        <w:t xml:space="preserve">(verification flow + onboarding surfaces):</w:t>
      </w:r>
    </w:p>
    <w:p>
      <w:pPr>
        <w:pStyle w:val="BlockText"/>
      </w:pPr>
      <w:r>
        <w:rPr>
          <w:b/>
          <w:bCs/>
        </w:rPr>
        <w:t xml:space="preserve">Get paid instantly, free, 24/7 — open a Maya Bank business account.</w:t>
      </w:r>
      <w:r>
        <w:t xml:space="preserve"> </w:t>
      </w:r>
      <w:r>
        <w:t xml:space="preserve">Or get paid in under a minute to any PH bank, including weekends (InstaPay).</w:t>
      </w:r>
      <w:r>
        <w:t xml:space="preserve"> </w:t>
      </w:r>
      <w:r>
        <w:t xml:space="preserve">Standard payout settles end of business day (PESONet) — default for milestone releases.</w:t>
      </w:r>
    </w:p>
    <w:p>
      <w:pPr>
        <w:pStyle w:val="FirstParagraph"/>
      </w:pPr>
      <w:r>
        <w:t xml:space="preserve">The verification approval email + the 0022 Vendor Dashboard onboarding tour both surface the Maya Bank option as the</w:t>
      </w:r>
      <w:r>
        <w:t xml:space="preserve"> </w:t>
      </w:r>
      <w:r>
        <w:rPr>
          <w:b/>
          <w:bCs/>
        </w:rPr>
        <w:t xml:space="preserve">strongest single payout-experience win</w:t>
      </w:r>
      <w:r>
        <w:t xml:space="preserve"> </w:t>
      </w:r>
      <w:r>
        <w:t xml:space="preserve">vendors can take — instant + free is a real upgrade vs the EOD/PESONet default. Setnayan benefits too: every Maya Bank vendor onboarded is a zero-fee payout for life.</w:t>
      </w:r>
    </w:p>
    <w:p>
      <w:pPr>
        <w:pStyle w:val="BodyText"/>
      </w:pPr>
      <w:r>
        <w:rPr>
          <w:b/>
          <w:bCs/>
        </w:rPr>
        <w:t xml:space="preserve">Vendor override</w:t>
      </w:r>
      <w:r>
        <w:t xml:space="preserve"> </w:t>
      </w:r>
      <w:r>
        <w:t xml:space="preserve">(in 0022 Vendor Dashboard payout preferences):</w:t>
      </w:r>
    </w:p>
    <w:p>
      <w:pPr>
        <w:pStyle w:val="Compact"/>
        <w:numPr>
          <w:ilvl w:val="0"/>
          <w:numId w:val="1027"/>
        </w:numPr>
      </w:pPr>
      <w:r>
        <w:t xml:space="preserve">Verified vendors may downgrade their default to PESONet — earns a ₱5/payout rebate credit (Setnayan saves ~₱5/payout in exchange)</w:t>
      </w:r>
    </w:p>
    <w:p>
      <w:pPr>
        <w:pStyle w:val="Compact"/>
        <w:numPr>
          <w:ilvl w:val="0"/>
          <w:numId w:val="1027"/>
        </w:numPr>
      </w:pPr>
      <w:r>
        <w:t xml:space="preserve">Coming_soon vendors may upgrade individual milestone payouts to InstaPay — vendor absorbs the ₱5 difference deducted from that milestone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whats-not-in-v1-dont-backdoor-in"/>
    <w:p>
      <w:pPr>
        <w:pStyle w:val="Heading2"/>
      </w:pPr>
      <w:r>
        <w:t xml:space="preserve">What’s NOT in V1 (don’t backdoor in)</w:t>
      </w:r>
    </w:p>
    <w:p>
      <w:pPr>
        <w:pStyle w:val="Compact"/>
        <w:numPr>
          <w:ilvl w:val="0"/>
          <w:numId w:val="1028"/>
        </w:numPr>
      </w:pPr>
      <w:r>
        <w:t xml:space="preserve">Vendor self-input app or login (Phase 3 — Din).</w:t>
      </w:r>
    </w:p>
    <w:p>
      <w:pPr>
        <w:pStyle w:val="Compact"/>
        <w:numPr>
          <w:ilvl w:val="0"/>
          <w:numId w:val="1028"/>
        </w:numPr>
      </w:pPr>
      <w:r>
        <w:t xml:space="preserve">Automated reminder emails / push to the couple about upcoming deadlines (V1.1).</w:t>
      </w:r>
    </w:p>
    <w:p>
      <w:pPr>
        <w:pStyle w:val="Compact"/>
        <w:numPr>
          <w:ilvl w:val="0"/>
          <w:numId w:val="1028"/>
        </w:numPr>
      </w:pPr>
      <w:r>
        <w:t xml:space="preserve">Vendor-side proof of payment (V1.1+).</w:t>
      </w:r>
    </w:p>
    <w:p>
      <w:pPr>
        <w:pStyle w:val="Compact"/>
        <w:numPr>
          <w:ilvl w:val="0"/>
          <w:numId w:val="1028"/>
        </w:numPr>
      </w:pPr>
      <w:r>
        <w:t xml:space="preserve">Vendor reviews / star ratings (Phase 4).</w:t>
      </w:r>
    </w:p>
    <w:p>
      <w:pPr>
        <w:pStyle w:val="Compact"/>
        <w:numPr>
          <w:ilvl w:val="0"/>
          <w:numId w:val="1028"/>
        </w:numPr>
      </w:pPr>
      <w:r>
        <w:t xml:space="preserve">Importing vendors from a Setnayan-curated marketplace (Phase 4).</w:t>
      </w:r>
    </w:p>
    <w:p>
      <w:pPr>
        <w:pStyle w:val="Compact"/>
        <w:numPr>
          <w:ilvl w:val="0"/>
          <w:numId w:val="1028"/>
        </w:numPr>
      </w:pPr>
      <w:r>
        <w:t xml:space="preserve">E-signatures on contracts in Setnayan (V2+).</w:t>
      </w:r>
    </w:p>
    <w:p>
      <w:pPr>
        <w:pStyle w:val="Compact"/>
        <w:numPr>
          <w:ilvl w:val="0"/>
          <w:numId w:val="1028"/>
        </w:numPr>
      </w:pPr>
      <w:r>
        <w:t xml:space="preserve">Currency other than PHP (V2+).</w:t>
      </w:r>
    </w:p>
    <w:p>
      <w:pPr>
        <w:pStyle w:val="Compact"/>
        <w:numPr>
          <w:ilvl w:val="0"/>
          <w:numId w:val="1028"/>
        </w:numPr>
      </w:pPr>
      <w:r>
        <w:t xml:space="preserve">Multi-event vendor copy (</w:t>
      </w:r>
      <w:r>
        <w:t xml:space="preserve">“use my photographer from cousin’s wedding”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bookmarkEnd w:id="58"/>
    <w:bookmarkStart w:id="63" w:name="X6aa2a909d6007e1741b46c65a3fc459a0f9ed90"/>
    <w:p>
      <w:pPr>
        <w:pStyle w:val="Heading2"/>
      </w:pPr>
      <w:r>
        <w:t xml:space="preserve">Convenience-fee absorption opt-in (locked 2026-05-16 PM)</w:t>
      </w:r>
    </w:p>
    <w:p>
      <w:pPr>
        <w:pStyle w:val="FirstParagraph"/>
      </w:pPr>
      <w:r>
        <w:t xml:space="preserve">Vendors may opt in to</w:t>
      </w:r>
      <w:r>
        <w:t xml:space="preserve"> </w:t>
      </w:r>
      <w:r>
        <w:rPr>
          <w:b/>
          <w:bCs/>
        </w:rPr>
        <w:t xml:space="preserve">absorb the 5.0% Setnayan Pay convenience fee</w:t>
      </w:r>
      <w:r>
        <w:t xml:space="preserve"> </w:t>
      </w:r>
      <w:r>
        <w:t xml:space="preserve">out of their own listed price rather than have it added on top of the customer’s bill at checkout. Vendors who opt in earn a public-facing</w:t>
      </w:r>
      <w:r>
        <w:t xml:space="preserve"> </w:t>
      </w:r>
      <w:r>
        <w:rPr>
          <w:b/>
          <w:bCs/>
        </w:rPr>
        <w:t xml:space="preserve">“No Convenience Fee”</w:t>
      </w:r>
      <w:r>
        <w:rPr>
          <w:b/>
          <w:bCs/>
        </w:rP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on their marketplace profile, search results, and detail page. Setnayan’s revenue from each booking is unchanged either way — only the visibility of the fee at the cart shifts. The full cart math, customer-side cart treatment, and the worked payout example live in</w:t>
      </w:r>
      <w:r>
        <w:t xml:space="preserve"> </w:t>
      </w:r>
      <w:r>
        <w:rPr>
          <w:b/>
          <w:bCs/>
        </w:rPr>
        <w:t xml:space="preserve">0034 § 6.8 Vendor opt-in: cover the convenience fee for customers</w:t>
      </w:r>
      <w:r>
        <w:t xml:space="preserve">.</w:t>
      </w:r>
    </w:p>
    <w:bookmarkStart w:id="59" w:name="schema-1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A single boolean on the canonical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(defined formally alongside the marketplace vendor profile in 0022):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absorbs_convenience_fee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flag is read by the cart math in 0034 at the moment a</w:t>
      </w:r>
      <w:r>
        <w:t xml:space="preserve"> </w:t>
      </w:r>
      <w:r>
        <w:rPr>
          <w:rStyle w:val="VerbatimChar"/>
        </w:rPr>
        <w:t xml:space="preserve">cart_items</w:t>
      </w:r>
      <w:r>
        <w:t xml:space="preserve"> </w:t>
      </w:r>
      <w:r>
        <w:t xml:space="preserve">row is created against a vendor booking, and snapshotted onto</w:t>
      </w:r>
      <w:r>
        <w:t xml:space="preserve"> </w:t>
      </w:r>
      <w:r>
        <w:rPr>
          <w:rStyle w:val="VerbatimChar"/>
        </w:rPr>
        <w:t xml:space="preserve">service_orders.vendor_absorbed_fee</w:t>
      </w:r>
      <w:r>
        <w:t xml:space="preserve"> </w:t>
      </w:r>
      <w:r>
        <w:t xml:space="preserve">so a vendor flipping the toggle later doesn’t retroactively change in-progress orders (consistent with the 2026-05-12</w:t>
      </w:r>
      <w:r>
        <w:t xml:space="preserve"> </w:t>
      </w:r>
      <w:r>
        <w:t xml:space="preserve">“price snapshot at add-to-cart time”</w:t>
      </w:r>
      <w:r>
        <w:t xml:space="preserve"> </w:t>
      </w:r>
      <w:r>
        <w:t xml:space="preserve">decision in 0034).</w:t>
      </w:r>
    </w:p>
    <w:bookmarkEnd w:id="59"/>
    <w:bookmarkStart w:id="60" w:name="X797559cae5093f210eeb3393f5ad8452a7424fc"/>
    <w:p>
      <w:pPr>
        <w:pStyle w:val="Heading3"/>
      </w:pPr>
      <w:r>
        <w:t xml:space="preserve">Vendor-side surface (per 0022 dashboard settings)</w:t>
      </w:r>
    </w:p>
    <w:p>
      <w:pPr>
        <w:pStyle w:val="FirstParagraph"/>
      </w:pPr>
      <w:r>
        <w:t xml:space="preserve">A toggle in the Settings panel of the 0022 Vendor Dashboard:</w:t>
      </w:r>
    </w:p>
    <w:p>
      <w:pPr>
        <w:pStyle w:val="BlockText"/>
      </w:pPr>
      <w:r>
        <w:rPr>
          <w:b/>
          <w:bCs/>
        </w:rPr>
        <w:t xml:space="preserve">Cover the Setnayan Pay convenience fee for customers</w:t>
      </w:r>
      <w:r>
        <w:t xml:space="preserve"> </w:t>
      </w:r>
      <w:r>
        <w:t xml:space="preserve">Show your customers the price they pay — no extra 5% line at checkout. Earn the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badge on your profile.</w:t>
      </w:r>
    </w:p>
    <w:p>
      <w:pPr>
        <w:pStyle w:val="BlockText"/>
      </w:pPr>
      <w:r>
        <w:t xml:space="preserve">[ Toggle: OFF / ON ]</w:t>
      </w:r>
    </w:p>
    <w:p>
      <w:pPr>
        <w:pStyle w:val="BlockText"/>
      </w:pPr>
      <w:r>
        <w:rPr>
          <w:b/>
          <w:bCs/>
        </w:rPr>
        <w:t xml:space="preserve">Your net on a sample ₱100,000 booking: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you cover the fee (badge ON):</w:t>
      </w:r>
      <w:r>
        <w:t xml:space="preserve"> </w:t>
      </w:r>
      <w:r>
        <w:t xml:space="preserve">Maya QR Ph → ₱93,100 · Cards (max 2.5%) → ₱92,150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customer pays (default):</w:t>
      </w:r>
      <w:r>
        <w:t xml:space="preserve"> </w:t>
      </w:r>
      <w:r>
        <w:t xml:space="preserve">Maya QR Ph → ₱98,000 · Cards (max 2.5%) → ₱97,000</w:t>
      </w:r>
    </w:p>
    <w:p>
      <w:pPr>
        <w:pStyle w:val="FirstParagraph"/>
      </w:pPr>
      <w:r>
        <w:t xml:space="preserve">Toggle changes are single-admin authority for the vendor (their own account), logged in</w:t>
      </w:r>
      <w:r>
        <w:t xml:space="preserve"> </w:t>
      </w:r>
      <w:r>
        <w:rPr>
          <w:rStyle w:val="VerbatimChar"/>
        </w:rPr>
        <w:t xml:space="preserve">vendor_audit_log</w:t>
      </w:r>
      <w:r>
        <w:t xml:space="preserve">, and apply only to NEW cart_items snapshotted after the change.</w:t>
      </w:r>
    </w:p>
    <w:bookmarkEnd w:id="60"/>
    <w:bookmarkStart w:id="61" w:name="customer-side-surface"/>
    <w:p>
      <w:pPr>
        <w:pStyle w:val="Heading3"/>
      </w:pPr>
      <w:r>
        <w:t xml:space="preserve">Customer-side surface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Marketplace listing / search results:</w:t>
      </w:r>
      <w:r>
        <w:t xml:space="preserve"> </w:t>
      </w:r>
      <w:r>
        <w:t xml:space="preserve">vendors with</w:t>
      </w:r>
      <w:r>
        <w:t xml:space="preserve"> </w:t>
      </w:r>
      <w:r>
        <w:rPr>
          <w:rStyle w:val="VerbatimChar"/>
        </w:rPr>
        <w:t xml:space="preserve">absorbs_convenience_fee = TRUE</w:t>
      </w:r>
      <w:r>
        <w:t xml:space="preserve"> </w:t>
      </w:r>
      <w:r>
        <w:t xml:space="preserve">render a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chip next to their name. A search filter chip</w:t>
      </w:r>
      <w:r>
        <w:t xml:space="preserve"> </w:t>
      </w:r>
      <w:r>
        <w:t xml:space="preserve">“No convenience fee”</w:t>
      </w:r>
      <w:r>
        <w:t xml:space="preserve"> </w:t>
      </w:r>
      <w:r>
        <w:t xml:space="preserve">lets couples narrow to vendors who absorb.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Vendor profile page:</w:t>
      </w:r>
      <w:r>
        <w:t xml:space="preserve"> </w:t>
      </w:r>
      <w:r>
        <w:t xml:space="preserve">badge appears in the trust-signals strip alongside the verification badge. Tap reveals:</w:t>
      </w:r>
      <w:r>
        <w:t xml:space="preserve"> </w:t>
      </w:r>
      <w:r>
        <w:t xml:space="preserve">“This vendor covers the platform convenience fee. The price you see is the price you pay.”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Cart drawer (per 0034 § 3.2):</w:t>
      </w:r>
      <w:r>
        <w:t xml:space="preserve"> </w:t>
      </w:r>
      <w:r>
        <w:t xml:space="preserve">when a vendor booking with</w:t>
      </w:r>
      <w:r>
        <w:t xml:space="preserve"> </w:t>
      </w:r>
      <w:r>
        <w:rPr>
          <w:rStyle w:val="VerbatimChar"/>
        </w:rPr>
        <w:t xml:space="preserve">vendor_absorbed_fee = TRUE</w:t>
      </w:r>
      <w:r>
        <w:t xml:space="preserve"> </w:t>
      </w:r>
      <w:r>
        <w:t xml:space="preserve">is in the cart, the convenience-fee row renders as</w:t>
      </w:r>
      <w:r>
        <w:t xml:space="preserve"> </w:t>
      </w:r>
      <w:r>
        <w:rPr>
          <w:rStyle w:val="VerbatimChar"/>
        </w:rPr>
        <w:t xml:space="preserve">"Convenience fee  ✓ covered by vendor  ₱0.00"</w:t>
      </w:r>
      <w:r>
        <w:t xml:space="preserve"> </w:t>
      </w:r>
      <w:r>
        <w:t xml:space="preserve">in muted text. Customer still sees a clear line item but understands the math.</w:t>
      </w:r>
    </w:p>
    <w:bookmarkEnd w:id="61"/>
    <w:bookmarkStart w:id="62" w:name="Xb5e239aeadeaa6bab08d3327529bd085891f4ab"/>
    <w:p>
      <w:pPr>
        <w:pStyle w:val="Heading3"/>
      </w:pPr>
      <w:r>
        <w:t xml:space="preserve">Marketing positioning (per 0015 main website § 8.5)</w:t>
      </w:r>
    </w:p>
    <w:p>
      <w:pPr>
        <w:pStyle w:val="FirstParagraph"/>
      </w:pPr>
      <w:r>
        <w:t xml:space="preserve">A second worked example block sits next to the default 5.0% example showing</w:t>
      </w:r>
      <w:r>
        <w:t xml:space="preserve"> </w:t>
      </w:r>
      <w:r>
        <w:t xml:space="preserve">“Some vendors cover the convenience fee — look for the badge. With these vendors, the listed price is the all-in price.”</w:t>
      </w:r>
      <w:r>
        <w:t xml:space="preserve"> </w:t>
      </w:r>
      <w:r>
        <w:t xml:space="preserve">Engineering hooks into</w:t>
      </w:r>
      <w:r>
        <w:t xml:space="preserve"> </w:t>
      </w:r>
      <w:r>
        <w:rPr>
          <w:rStyle w:val="VerbatimChar"/>
        </w:rPr>
        <w:t xml:space="preserve">apps/web/app/(marketing)/page.tsx</w:t>
      </w:r>
      <w:r>
        <w:t xml:space="preserve"> </w:t>
      </w:r>
      <w:r>
        <w:t xml:space="preserve">and the eventual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page.</w:t>
      </w:r>
    </w:p>
    <w:bookmarkEnd w:id="62"/>
    <w:bookmarkEnd w:id="63"/>
    <w:bookmarkStart w:id="64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30"/>
        </w:numPr>
      </w:pPr>
      <w:r>
        <w:t xml:space="preserve">Couple can add a vendor with manually entered business name, contact, phone, email, website, notes, day-of arrival.</w:t>
      </w:r>
    </w:p>
    <w:p>
      <w:pPr>
        <w:pStyle w:val="Compact"/>
        <w:numPr>
          <w:ilvl w:val="0"/>
          <w:numId w:val="1030"/>
        </w:numPr>
      </w:pPr>
      <w:r>
        <w:t xml:space="preserve">Hybrid service assignment works: multi-select from 28 canonical services + add custom service inline.</w:t>
      </w:r>
    </w:p>
    <w:p>
      <w:pPr>
        <w:pStyle w:val="Compact"/>
        <w:numPr>
          <w:ilvl w:val="0"/>
          <w:numId w:val="1030"/>
        </w:numPr>
      </w:pPr>
      <w:r>
        <w:t xml:space="preserve">Couple can mark a canonical service as</w:t>
      </w:r>
      <w:r>
        <w:t xml:space="preserve"> </w:t>
      </w:r>
      <w:r>
        <w:t xml:space="preserve">“not needed”</w:t>
      </w:r>
      <w:r>
        <w:t xml:space="preserve">; it disappears from gap count.</w:t>
      </w:r>
    </w:p>
    <w:p>
      <w:pPr>
        <w:pStyle w:val="Compact"/>
        <w:numPr>
          <w:ilvl w:val="0"/>
          <w:numId w:val="1030"/>
        </w:numPr>
      </w:pPr>
      <w:r>
        <w:t xml:space="preserve">Vendor package: package name + total amount in PHP; inclusions list with add/remove/reorder.</w:t>
      </w:r>
    </w:p>
    <w:p>
      <w:pPr>
        <w:pStyle w:val="Compact"/>
        <w:numPr>
          <w:ilvl w:val="0"/>
          <w:numId w:val="1030"/>
        </w:numPr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pStyle w:val="Compact"/>
        <w:numPr>
          <w:ilvl w:val="0"/>
          <w:numId w:val="1030"/>
        </w:numPr>
      </w:pPr>
      <w:r>
        <w:t xml:space="preserve">Balance, payment progress %, next-unpaid-milestone, and overdue flag are all computed and displayed correctly.</w:t>
      </w:r>
    </w:p>
    <w:p>
      <w:pPr>
        <w:pStyle w:val="Compact"/>
        <w:numPr>
          <w:ilvl w:val="0"/>
          <w:numId w:val="1030"/>
        </w:numPr>
      </w:pPr>
      <w:r>
        <w:t xml:space="preserve">Crew block: count + per-meal cost +</w:t>
      </w:r>
      <w:r>
        <w:t xml:space="preserve"> </w:t>
      </w:r>
      <w:r>
        <w:t xml:space="preserve">“vendor provides meals”</w:t>
      </w:r>
      <w:r>
        <w:t xml:space="preserve"> </w:t>
      </w:r>
      <w:r>
        <w:t xml:space="preserve">toggle. Crew meal total is computed and rolled up.</w:t>
      </w:r>
    </w:p>
    <w:p>
      <w:pPr>
        <w:pStyle w:val="Compact"/>
        <w:numPr>
          <w:ilvl w:val="0"/>
          <w:numId w:val="1030"/>
        </w:numPr>
      </w:pPr>
      <w:r>
        <w:t xml:space="preserve">Contract upload: PDF / JPG / PNG up to 25 MB per file, stored in R2; download via signed URL works.</w:t>
      </w:r>
    </w:p>
    <w:p>
      <w:pPr>
        <w:pStyle w:val="Compact"/>
        <w:numPr>
          <w:ilvl w:val="0"/>
          <w:numId w:val="1030"/>
        </w:numPr>
      </w:pPr>
      <w:r>
        <w:t xml:space="preserve">Service coverage view shows status of every canonical service (Booked / Gap / Not needed) with vendor name when booked.</w:t>
      </w:r>
    </w:p>
    <w:p>
      <w:pPr>
        <w:pStyle w:val="Compact"/>
        <w:numPr>
          <w:ilvl w:val="0"/>
          <w:numId w:val="1030"/>
        </w:numPr>
      </w:pPr>
      <w:r>
        <w:t xml:space="preserve">Aggregate stats strip (total contracted, total paid, outstanding, next deadline, crew meal estimate, coverage %) reflects current data.</w:t>
      </w:r>
    </w:p>
    <w:p>
      <w:pPr>
        <w:pStyle w:val="Compact"/>
        <w:numPr>
          <w:ilvl w:val="0"/>
          <w:numId w:val="1030"/>
        </w:numPr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pStyle w:val="Compact"/>
        <w:numPr>
          <w:ilvl w:val="0"/>
          <w:numId w:val="1030"/>
        </w:numPr>
      </w:pPr>
      <w:r>
        <w:t xml:space="preserve">Mobile view: thumb-friendly, single-column, ≥44pt tap targets, FAB for add-vendor.</w:t>
      </w:r>
    </w:p>
    <w:p>
      <w:pPr>
        <w:pStyle w:val="Compact"/>
        <w:numPr>
          <w:ilvl w:val="0"/>
          <w:numId w:val="1030"/>
        </w:numPr>
      </w:pPr>
      <w:r>
        <w:t xml:space="preserve">Empty states: list view with no vendors shows</w:t>
      </w:r>
      <w:r>
        <w:t xml:space="preserve"> </w:t>
      </w:r>
      <w:r>
        <w:t xml:space="preserve">“Add your first vendor”</w:t>
      </w:r>
      <w:r>
        <w:t xml:space="preserve"> </w:t>
      </w:r>
      <w:r>
        <w:t xml:space="preserve">with quick-start cards for top 5 canonical services.</w:t>
      </w:r>
    </w:p>
    <w:p>
      <w:pPr>
        <w:pStyle w:val="Compact"/>
        <w:numPr>
          <w:ilvl w:val="0"/>
          <w:numId w:val="1030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pStyle w:val="Compact"/>
        <w:numPr>
          <w:ilvl w:val="0"/>
          <w:numId w:val="1030"/>
        </w:numPr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pStyle w:val="Compact"/>
        <w:numPr>
          <w:ilvl w:val="0"/>
          <w:numId w:val="1030"/>
        </w:numPr>
      </w:pPr>
      <w:r>
        <w:t xml:space="preserve">“Next meeting”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pStyle w:val="Compact"/>
        <w:numPr>
          <w:ilvl w:val="0"/>
          <w:numId w:val="1030"/>
        </w:numPr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pStyle w:val="Compact"/>
        <w:numPr>
          <w:ilvl w:val="0"/>
          <w:numId w:val="1030"/>
        </w:numPr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 xml:space="preserve">for forward compatibility with Din.</w:t>
      </w:r>
    </w:p>
    <w:p>
      <w:pPr>
        <w:pStyle w:val="Compact"/>
        <w:numPr>
          <w:ilvl w:val="0"/>
          <w:numId w:val="1030"/>
        </w:numPr>
      </w:pPr>
      <w:r>
        <w:t xml:space="preserve">“Invite to Setnayan”</w:t>
      </w:r>
      <w:r>
        <w:t xml:space="preserve"> </w:t>
      </w:r>
      <w:r>
        <w:t xml:space="preserve">action is visible on every off-platform vendor row (</w:t>
      </w:r>
      <w:r>
        <w:rPr>
          <w:rStyle w:val="VerbatimChar"/>
        </w:rPr>
        <w:t xml:space="preserve">marketplace_vendor_id IS NULL</w:t>
      </w:r>
      <w:r>
        <w:t xml:space="preserve">) and hidden once the row is linked. Sending an invite creates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row, fires a transactional email, and flips the row’s status pill to</w:t>
      </w:r>
      <w:r>
        <w:t xml:space="preserve"> </w:t>
      </w:r>
      <w:r>
        <w:rPr>
          <w:rStyle w:val="VerbatimChar"/>
        </w:rPr>
        <w:t xml:space="preserve">Invite sent · {N days left}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Already-on-Setnayan detection: submitting the invite modal with an email that matches an existing vendor owner offers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Send invite</w:t>
      </w:r>
      <w:r>
        <w:t xml:space="preserve">. Connect links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directly into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without creating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0"/>
        </w:numPr>
      </w:pPr>
      <w:r>
        <w:t xml:space="preserve">On vendor claim,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populated and the couple’s 0019 chat surface unlocks automatically — verified by a single one-time toast on the couple’s session.</w:t>
      </w:r>
    </w:p>
    <w:p>
      <w:pPr>
        <w:pStyle w:val="Compact"/>
        <w:numPr>
          <w:ilvl w:val="0"/>
          <w:numId w:val="1030"/>
        </w:numPr>
      </w:pPr>
      <w:r>
        <w:t xml:space="preserve">The relationship row’s status pill cycles correctly through</w:t>
      </w:r>
      <w:r>
        <w:t xml:space="preserve"> </w:t>
      </w:r>
      <w:r>
        <w:rPr>
          <w:rStyle w:val="VerbatimChar"/>
        </w:rPr>
        <w:t xml:space="preserve">Invite sent → Joined Setnayan</w:t>
      </w:r>
      <w:r>
        <w:t xml:space="preserve"> </w:t>
      </w:r>
      <w:r>
        <w:t xml:space="preserve">(claim or Connect path),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 </w:t>
      </w:r>
      <w:r>
        <w:t xml:space="preserve">based on the latest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plus the linked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Couple may have unlimited pending invites per event and re-invite the same email immediately after decline / expire / revoke (no UI cap, no cooldown).</w:t>
      </w:r>
    </w:p>
    <w:p>
      <w:pPr>
        <w:pStyle w:val="Compact"/>
        <w:numPr>
          <w:ilvl w:val="0"/>
          <w:numId w:val="1030"/>
        </w:numPr>
      </w:pPr>
      <w:r>
        <w:t xml:space="preserve">Claim landing page shows identity-only snapshot —</w:t>
      </w:r>
      <w:r>
        <w:t xml:space="preserve"> </w:t>
      </w:r>
      <w:r>
        <w:rPr>
          <w:rStyle w:val="VerbatimChar"/>
        </w:rPr>
        <w:t xml:space="preserve">package_*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are not surfaced pre-claim.</w:t>
      </w:r>
    </w:p>
    <w:p>
      <w:r>
        <w:pict>
          <v:rect style="width:0;height:1.5pt" o:hralign="center" o:hrstd="t" o:hr="t"/>
        </w:pict>
      </w:r>
    </w:p>
    <w:bookmarkEnd w:id="64"/>
    <w:bookmarkStart w:id="65" w:name="decision-log-this-iteration"/>
    <w:p>
      <w:pPr>
        <w:pStyle w:val="Heading2"/>
      </w:pPr>
      <w:r>
        <w:t xml:space="preserve">Decision log (this iteration)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tcPr/>
          <w:p>
            <w:pPr>
              <w:pStyle w:val="Compac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“request canonical addition”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tcPr/>
          <w:p>
            <w:pPr>
              <w:pStyle w:val="Compac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tcPr/>
          <w:p>
            <w:pPr>
              <w:pStyle w:val="Compac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token wallet integration — vendor payments are external, tracking-only</w:t>
            </w:r>
          </w:p>
        </w:tc>
        <w:tc>
          <w:tcPr/>
          <w:p>
            <w:pPr>
              <w:pStyle w:val="Compact"/>
            </w:pPr>
            <w:r>
              <w:t xml:space="preserve"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“what I paid the vendor”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“what I paid Setnayan.”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tcPr/>
          <w:p>
            <w:pPr>
              <w:pStyle w:val="Compact"/>
            </w:pPr>
            <w:r>
              <w:t xml:space="preserve"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Contracts in R2 with 5-year retention</w:t>
            </w:r>
          </w:p>
        </w:tc>
        <w:tc>
          <w:tcPr/>
          <w:p>
            <w:pPr>
              <w:pStyle w:val="Compact"/>
            </w:pPr>
            <w:r>
              <w:t xml:space="preserve">Mirrors photographer industry norm and Setnayan’s existing photo retention policy. Aligns the storage lifecycle across the platform.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tcPr/>
          <w:p>
            <w:pPr>
              <w:pStyle w:val="Compact"/>
            </w:pPr>
            <w:r>
              <w:t xml:space="preserve">Vendor money never touches Setnayan’s books, so no reason to render in tokens. Tokens are for Setnayan SKUs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“Next meeting”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 xml:space="preserve"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tcPr/>
          <w:p>
            <w:pPr>
              <w:pStyle w:val="Compact"/>
            </w:pPr>
            <w:r>
              <w:t xml:space="preserve"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 flow locked — FREE initial / ₱1,499 annual renewal / ₱2,499 re-verification after demotion (charm-corrected 2026-05-17 from ₱1,500 / ₱2,500) · 12-document checklist · all-or-nothing (no partial verified state) · 3-5 business day SLA · documents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setnayan-vendor-verification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R2 bucket.</w:t>
            </w:r>
            <w:r>
              <w:t xml:space="preserve"> </w:t>
            </w:r>
            <w:r>
              <w:t xml:space="preserve">Verified tier unlocks Setnayan Pay for couples, Pro Weekly access, Boosted Ads, Sponsored Boost, All Tools Unlock, immediate payout, and Featured Vendor eligibility. Coming_soon tier is restricted to marketplace profile + listing only with Setnayan-managed 3-stage payout (20%/60%/20%).</w:t>
            </w:r>
          </w:p>
        </w:tc>
        <w:tc>
          <w:tcPr/>
          <w:p>
            <w:pPr>
              <w:pStyle w:val="Compact"/>
            </w:pPr>
            <w:r>
              <w:t xml:space="preserve">The FREE initial onboarding lowers vendor activation friction while the 12-doc bar filters out non-serious applicants at zero cost to Setnayan’s revenue model. The renewal fee (₱1,499/yr) covers Setnayan’s ongoing trust-maintenance cost; the post-demotion fee (₱2,499) discourages demotion churn. The Setnayan Pay gate is the spine of the marketplace’s trust signal — only verified vendors get the in-app convenience-fee rail (flat 5.0% on top of vendor price per 0034, locked 2026-05-16 evening · supersedes the morning’s 5.5%/6.5% dual-rate). Coming_soon vendors get a path to inclusion (marketplace listing + 3-stage payout) without compromising couple safety.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Payout model locked — verified = immediate full payout T+1; coming_soon = 3-stage milestone release 20/60/20 with T-14 + T+7 dispute windows.</w:t>
            </w:r>
            <w:r>
              <w:t xml:space="preserve"> </w:t>
            </w:r>
            <w:r>
              <w:t xml:space="preserve">Demote-to-coming_soon trigger: 3+ disputes within 30 days. Setnayan absorbs the ₱15-25 outbound disbursement fee per payout. BIR Form 2307 issued quarterly to all vendors.</w:t>
            </w:r>
          </w:p>
        </w:tc>
        <w:tc>
          <w:tcPr/>
          <w:p>
            <w:pPr>
              <w:pStyle w:val="Compact"/>
            </w:pPr>
            <w:r>
              <w:t xml:space="preserve">Coming_soon 3-stage release puts a real-money escrow safety net behind unverified vendors — couples don’t lose deposits to no-show low-trust providers. Verified vendors are trusted to deliver, so payout is immediate (T+1) less only gateway fee + BIR withholding — no Setnayan deduction. The auto-release-on-silence pattern (T+14 + T+7 7-day windows) keeps the workflow lightweight: couples confirm or stay silent; silence = approval.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Renamed the per-event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“this couple’s event is working with this vendor”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disbursement rail tiers locked (V1.5+ Maya Bulk Fund Transfer) — Intra-Maya (instant + free) / InstaPay (&lt; 1 min + ₱10 Setnayan-absorbed) / PESONet (EOD same-day + ₱15 Setnayan-absorbed) · default per payout type per 0034 § 6.7 · vendor override available in 0022 with rebate/upgrade pricing · Maya Bank vendor-recruiting copy surfaces on verification approval email + onboarding tour.</w:t>
            </w:r>
            <w:r>
              <w:t xml:space="preserve"> </w:t>
            </w:r>
            <w:r>
              <w:t xml:space="preserve">Schema (0034 § 6.9):</w:t>
            </w:r>
            <w:r>
              <w:t xml:space="preserve"> </w:t>
            </w:r>
            <w:r>
              <w:rPr>
                <w:rStyle w:val="VerbatimChar"/>
              </w:rPr>
              <w:t xml:space="preserve">vendor_payouts.rail</w:t>
            </w:r>
            <w:r>
              <w:t xml:space="preserve"> </w:t>
            </w:r>
            <w:r>
              <w:t xml:space="preserve">enum (intra_maya/instapay/pesonet),</w:t>
            </w:r>
            <w:r>
              <w:t xml:space="preserve"> </w:t>
            </w:r>
            <w:r>
              <w:rPr>
                <w:rStyle w:val="VerbatimChar"/>
              </w:rPr>
              <w:t xml:space="preserve">rail_chosen_by</w:t>
            </w:r>
            <w:r>
              <w:t xml:space="preserve"> </w:t>
            </w:r>
            <w:r>
              <w:t xml:space="preserve">enum (default/vendor_preference/admin_override),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t xml:space="preserve"> </w:t>
            </w:r>
            <w:r>
              <w:t xml:space="preserve">FK to new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table. Failure handling: rejected rows revert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rejoin next-day batch; 3 consecutive batch failures for same vendor trigger admin alert + manual-reconciliation fallback.</w:t>
            </w:r>
          </w:p>
        </w:tc>
        <w:tc>
          <w:tcPr/>
          <w:p>
            <w:pPr>
              <w:pStyle w:val="Compact"/>
            </w:pPr>
            <w:r>
              <w:t xml:space="preserve">Three drivers.</w:t>
            </w:r>
            <w:r>
              <w:t xml:space="preserve"> </w:t>
            </w:r>
            <w:r>
              <w:rPr>
                <w:b/>
                <w:bCs/>
              </w:rPr>
              <w:t xml:space="preserve">First, batched disbursement at scale collapses per-payout admin time from ~5 minutes (click-through) to ~5 seconds (CSV row) — the real value isn’t fee savings but operational efficiency.</w:t>
            </w:r>
            <w:r>
              <w:t xml:space="preserve"> </w:t>
            </w:r>
            <w:r>
              <w:t xml:space="preserve">Annual disbursement-cost absorption stays under 0.3% of platform revenue even at 5,000-couple scale.</w:t>
            </w:r>
            <w:r>
              <w:t xml:space="preserve"> </w:t>
            </w:r>
            <w:r>
              <w:rPr>
                <w:b/>
                <w:bCs/>
              </w:rPr>
              <w:t xml:space="preserve">Second, the three-tier rail structure maps directly to vendor segments:</w:t>
            </w:r>
            <w:r>
              <w:t xml:space="preserve"> </w:t>
            </w:r>
            <w:r>
              <w:t xml:space="preserve">verified vendors who want instant gratification get InstaPay free of charge (Setnayan absorbs); price-sensitive coming_soon vendors get reliable EOD via PESONet; Maya Bank vendors get the strictly-best outcome on both sides (instant + free).</w:t>
            </w:r>
            <w:r>
              <w:t xml:space="preserve"> </w:t>
            </w:r>
            <w:r>
              <w:rPr>
                <w:b/>
                <w:bCs/>
              </w:rPr>
              <w:t xml:space="preserve">Third, Maya Bank vendor-recruiting copy is the single highest-leverage vendor onboarding incentive Setnayan can offer</w:t>
            </w:r>
            <w:r>
              <w:t xml:space="preserve"> </w:t>
            </w:r>
            <w:r>
              <w:t xml:space="preserve">— every Maya Bank account opened means a vendor who gets instant + free payouts forever AND Setnayan saves the disbursement fee forever. Both sides win; the alignment is real, not promotional.</w:t>
            </w:r>
            <w:r>
              <w:t xml:space="preserve"> </w:t>
            </w:r>
            <w:r>
              <w:rPr>
                <w:b/>
                <w:bCs/>
              </w:rPr>
              <w:t xml:space="preserve">Vendor override pricing:</w:t>
            </w:r>
            <w:r>
              <w:t xml:space="preserve"> </w:t>
            </w:r>
            <w:r>
              <w:t xml:space="preserve">rebate-for-downgrade / pay-for-upgrade keeps Setnayan whole while letting individual vendors customize speed/cost trade-off.</w:t>
            </w:r>
            <w:r>
              <w:t xml:space="preserve"> </w:t>
            </w:r>
            <w:r>
              <w:rPr>
                <w:b/>
                <w:bCs/>
              </w:rPr>
              <w:t xml:space="preserve">Engineering pending:</w:t>
            </w:r>
            <w:r>
              <w:t xml:space="preserve"> </w:t>
            </w:r>
            <w:r>
              <w:t xml:space="preserve">Maya Business approval (2-4 week SLA per API Integration Checklist) gates the entire V1.5+ disbursement automation;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 + columns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ship with the V1.5+ migration; admin console</w:t>
            </w:r>
            <w:r>
              <w:t xml:space="preserve"> </w:t>
            </w:r>
            <w:r>
              <w:t xml:space="preserve">“Today’s payouts”</w:t>
            </w:r>
            <w:r>
              <w:t xml:space="preserve"> </w:t>
            </w:r>
            <w:r>
              <w:t xml:space="preserve">queue + Generate-batch-CSV button in 0023; vendor payout-preferences UI in 0022.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convenience-fee absorption opt-in locked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vendors.absorbs_convenience_fee BOOLEAN DEFAULT 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Convenience Fee”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badge on marketplace profile when TRUE · cart hides the fee row + customer sees vendor’s listed price flat · Setnayan revenue unchanged at 5% gross regardless · snapshot at order-creation time onto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service_orders.vendor_absorbed_fee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Full cart math + payout example + customer-side cart treatment lives in</w:t>
            </w:r>
            <w:r>
              <w:t xml:space="preserve"> </w:t>
            </w:r>
            <w:r>
              <w:rPr>
                <w:rStyle w:val="VerbatimChar"/>
              </w:rPr>
              <w:t xml:space="preserve">0034 § 6.8 Vendor opt-in: cover the convenience fee for customers</w:t>
            </w:r>
            <w:r>
              <w:t xml:space="preserve">. Vendor settings UI in 0022 with financial preview. Marketing badge surface in 0015 § 8.5.</w:t>
            </w:r>
          </w:p>
        </w:tc>
        <w:tc>
          <w:tcPr/>
          <w:p>
            <w:pPr>
              <w:pStyle w:val="Compact"/>
            </w:pPr>
            <w:r>
              <w:t xml:space="preserve">Two drivers.</w:t>
            </w:r>
            <w:r>
              <w:t xml:space="preserve"> </w:t>
            </w:r>
            <w:r>
              <w:rPr>
                <w:b/>
                <w:bCs/>
              </w:rPr>
              <w:t xml:space="preserve">First, Filipino couples strongly prefer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“all-in”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pricing — many wedding vendors already absorb platform fees informally to keep their headline price flush with the booking total customers expect.</w:t>
            </w:r>
            <w:r>
              <w:t xml:space="preserve"> </w:t>
            </w:r>
            <w:r>
              <w:t xml:space="preserve">Surfacing this as a first-class opt-in turns the informal practice into a structured platform feature with a visible badge, which (a) lets price-competitive vendors compete on transparency without negotiating with Setnayan, (b) gives Setnayan a search-filter chip that couples actually use (</w:t>
            </w:r>
            <w:r>
              <w:t xml:space="preserve">“No convenience fee”</w:t>
            </w:r>
            <w:r>
              <w:t xml:space="preserve"> </w:t>
            </w:r>
            <w:r>
              <w:t xml:space="preserve">as a filter), and (c) preserves the canonical 5.0% flat rate on Setnayan’s books regardless of vendor choice.</w:t>
            </w:r>
            <w:r>
              <w:t xml:space="preserve"> </w:t>
            </w:r>
            <w:r>
              <w:rPr>
                <w:b/>
                <w:bCs/>
              </w:rPr>
              <w:t xml:space="preserve">Second, Setnayan’s economics are protected by design</w:t>
            </w:r>
            <w:r>
              <w:t xml:space="preserve"> </w:t>
            </w:r>
            <w:r>
              <w:t xml:space="preserve">— the 5% is always Setnayan’s revenue regardless of who shows it on the receipt. Worked example at ₱100K booking: Option A (vendor covers) → vendor receives ₱93,100 (Maya QR Ph) / ₱92,150 (max 2.5% rail); Option B (default) → vendor receives ₱98,000 / ₱97,000. Vendor sacrifices ~5% of revenue for the badge → only opt in if conversion lift exceeds ~5%. The vendor toggle’s financial-preview UI in 0022 makes the math obvious so vendors don’t accidentally opt in without understanding the cost.</w:t>
            </w:r>
            <w:r>
              <w:t xml:space="preserve"> </w:t>
            </w:r>
            <w:r>
              <w:rPr>
                <w:b/>
                <w:bCs/>
              </w:rPr>
              <w:t xml:space="preserve">Snapshot discipline:</w:t>
            </w:r>
            <w:r>
              <w:t xml:space="preserve"> </w:t>
            </w:r>
            <w:r>
              <w:t xml:space="preserve">flag flip applies only to NEW cart_items, consistent with the 2026-05-12 price-snapshot decision in 0034 — vendors flipping mid-cart can’t retroactively change pricing for couples already deep in checkout.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Couple-initiated invite for off-platform vendors locked —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vendor_invites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“Invite to Setnayan”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action on every off-platform vendor row (</w:t>
            </w:r>
            <w:r>
              <w:rPr>
                <w:rStyle w:val="VerbatimChar"/>
                <w:b/>
                <w:bCs/>
              </w:rPr>
              <w:t xml:space="preserve">marketplace_vendor_id IS NULL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Locked sub-rules:</w:t>
            </w:r>
            <w:r>
              <w:t xml:space="preserve"> </w:t>
            </w:r>
            <w:r>
              <w:rPr>
                <w:b/>
                <w:bCs/>
              </w:rPr>
              <w:t xml:space="preserve">(a) email-only delivery</w:t>
            </w:r>
            <w:r>
              <w:t xml:space="preserve"> </w:t>
            </w:r>
            <w:r>
              <w:t xml:space="preserve">(no SMS in V1; couple can copy the claim link to send via their own Viber/Messenger if desired);</w:t>
            </w:r>
            <w:r>
              <w:t xml:space="preserve"> </w:t>
            </w:r>
            <w:r>
              <w:rPr>
                <w:b/>
                <w:bCs/>
              </w:rPr>
              <w:t xml:space="preserve">(b) identity-only claim page</w:t>
            </w:r>
            <w:r>
              <w:t xml:space="preserve"> </w:t>
            </w:r>
            <w:r>
              <w:t xml:space="preserve">— vendor sees business name / contact / service category / event date / couple display name, but NOT</w:t>
            </w:r>
            <w:r>
              <w:t xml:space="preserve"> </w:t>
            </w:r>
            <w:r>
              <w:rPr>
                <w:rStyle w:val="VerbatimChar"/>
              </w:rPr>
              <w:t xml:space="preserve">package_*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until after signup;</w:t>
            </w:r>
            <w:r>
              <w:t xml:space="preserve"> </w:t>
            </w:r>
            <w:r>
              <w:rPr>
                <w:b/>
                <w:bCs/>
              </w:rPr>
              <w:t xml:space="preserve">(c) no cooldown after decline</w:t>
            </w:r>
            <w:r>
              <w:t xml:space="preserve"> </w:t>
            </w:r>
            <w:r>
              <w:t xml:space="preserve">— couple may immediately re-invite the same email;</w:t>
            </w:r>
            <w:r>
              <w:t xml:space="preserve"> </w:t>
            </w:r>
            <w:r>
              <w:rPr>
                <w:b/>
                <w:bCs/>
              </w:rPr>
              <w:t xml:space="preserve">(d) no cap on pending invites per event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(e) 90-day TTL</w:t>
            </w:r>
            <w:r>
              <w:t xml:space="preserve"> </w:t>
            </w:r>
            <w:r>
              <w:t xml:space="preserve">with lazy expiration sweep at claim-page-render time (no cron, per [[reference_setnayan_cron_strategy]]);</w:t>
            </w:r>
            <w:r>
              <w:t xml:space="preserve"> </w:t>
            </w:r>
            <w:r>
              <w:rPr>
                <w:b/>
                <w:bCs/>
              </w:rPr>
              <w:t xml:space="preserve">(f) auto-link on claim</w:t>
            </w:r>
            <w:r>
              <w:t xml:space="preserve"> </w:t>
            </w:r>
            <w:r>
              <w:t xml:space="preserve">— the new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writes back to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event_vendor_relationships.marketplace_vendor_id</w:t>
            </w:r>
            <w:r>
              <w:t xml:space="preserve">, which unlocks 0019 chat for that couple;</w:t>
            </w:r>
            <w:r>
              <w:t xml:space="preserve"> </w:t>
            </w:r>
            <w:r>
              <w:rPr>
                <w:b/>
                <w:bCs/>
              </w:rPr>
              <w:t xml:space="preserve">(g) Already-on-Setnayan short-circuit</w:t>
            </w:r>
            <w:r>
              <w:t xml:space="preserve"> </w:t>
            </w:r>
            <w:r>
              <w:t xml:space="preserve">— if the invited email matches an existing vendor owner, the modal swaps to a Connect flow that links the existing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directly without creating a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row. Full UX in</w:t>
            </w:r>
            <w:r>
              <w:t xml:space="preserve"> </w:t>
            </w:r>
            <w:r>
              <w:rPr>
                <w:rStyle w:val="VerbatimChar"/>
              </w:rPr>
              <w:t xml:space="preserve">## Invite-to-Setnayan flow — UX rules</w:t>
            </w:r>
            <w:r>
              <w:t xml:space="preserve">; schema in</w:t>
            </w:r>
            <w:r>
              <w:t xml:space="preserve"> </w:t>
            </w:r>
            <w:r>
              <w:rPr>
                <w:rStyle w:val="VerbatimChar"/>
              </w:rPr>
              <w:t xml:space="preserve">### vendor_invites table</w:t>
            </w:r>
            <w:r>
              <w:t xml:space="preserve">; vendor-side claim landing in</w:t>
            </w:r>
            <w:r>
              <w:t xml:space="preserve"> </w:t>
            </w:r>
            <w:r>
              <w:rPr>
                <w:rStyle w:val="VerbatimChar"/>
              </w:rPr>
              <w:t xml:space="preserve">0022 § Couple-invite claim landing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Off-platform vendor encoding was already supported (nullable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per 2026-05-12 row in this log); this closes the growth loop by turning every couple-encoded off-platform vendor into a free, warm vendor-acquisition signal.</w:t>
            </w:r>
            <w:r>
              <w:t xml:space="preserve"> </w:t>
            </w:r>
            <w:r>
              <w:rPr>
                <w:b/>
                <w:bCs/>
              </w:rPr>
              <w:t xml:space="preserve">Email-only</w:t>
            </w:r>
            <w:r>
              <w:t xml:space="preserve"> </w:t>
            </w:r>
            <w:r>
              <w:t xml:space="preserve">avoids SMS-gateway infra and sender-ID provider cost in V1; couples retain full agency to text the link themselves.</w:t>
            </w:r>
            <w:r>
              <w:t xml:space="preserve"> </w:t>
            </w:r>
            <w:r>
              <w:rPr>
                <w:b/>
                <w:bCs/>
              </w:rPr>
              <w:t xml:space="preserve">Identity-only claim page</w:t>
            </w:r>
            <w:r>
              <w:t xml:space="preserve"> </w:t>
            </w:r>
            <w:r>
              <w:t xml:space="preserve">avoids leaking the couple’s private negotiation data (what they’re paying, what’s included) to a vendor who has not agreed to join yet — preserves trust on both sides; vendor sees the full state the moment they finish signup.</w:t>
            </w:r>
            <w:r>
              <w:t xml:space="preserve"> </w:t>
            </w:r>
            <w:r>
              <w:rPr>
                <w:b/>
                <w:bCs/>
              </w:rPr>
              <w:t xml:space="preserve">No cooldown / no cap</w:t>
            </w:r>
            <w:r>
              <w:t xml:space="preserve"> </w:t>
            </w:r>
            <w:r>
              <w:t xml:space="preserve">honors couple autonomy; deliverability hygiene is handled at the transactional-email provider layer (rate limits, de-dupe, bounce handling) so the UX stays permissive without turning Setnayan’s sending domain into a spam source.</w:t>
            </w:r>
            <w:r>
              <w:t xml:space="preserve"> </w:t>
            </w:r>
            <w:r>
              <w:rPr>
                <w:b/>
                <w:bCs/>
              </w:rPr>
              <w:t xml:space="preserve">90-day TTL</w:t>
            </w:r>
            <w:r>
              <w:t xml:space="preserve"> </w:t>
            </w:r>
            <w:r>
              <w:t xml:space="preserve">avoids indefinite open tokens lingering in the database.</w:t>
            </w:r>
            <w:r>
              <w:t xml:space="preserve"> </w:t>
            </w:r>
            <w:r>
              <w:rPr>
                <w:b/>
                <w:bCs/>
              </w:rPr>
              <w:t xml:space="preserve">Auto-link on claim</w:t>
            </w:r>
            <w:r>
              <w:t xml:space="preserve"> </w:t>
            </w:r>
            <w:r>
              <w:t xml:space="preserve">is the entire point — collapses</w:t>
            </w:r>
            <w:r>
              <w:t xml:space="preserve"> </w:t>
            </w:r>
            <w:r>
              <w:t xml:space="preserve">“off-platform → on-platform”</w:t>
            </w:r>
            <w:r>
              <w:t xml:space="preserve"> </w:t>
            </w:r>
            <w:r>
              <w:t xml:space="preserve">upgrade into a single signup without manual reconnection.</w:t>
            </w:r>
            <w:r>
              <w:t xml:space="preserve"> </w:t>
            </w:r>
            <w:r>
              <w:rPr>
                <w:b/>
                <w:bCs/>
              </w:rPr>
              <w:t xml:space="preserve">Connect short-circuit</w:t>
            </w:r>
            <w:r>
              <w:t xml:space="preserve"> </w:t>
            </w:r>
            <w:r>
              <w:t xml:space="preserve">prevents duplicate-vendor pollution when the invited vendor already runs a Setnayan account under a different (older) couple’s referral.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companion-documents"/>
    <w:p>
      <w:pPr>
        <w:pStyle w:val="Heading2"/>
      </w:pPr>
      <w:r>
        <w:t xml:space="preserve">Companion documents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13_Engineering_Brief.docx</w:t>
      </w:r>
      <w:r>
        <w:t xml:space="preserve"> </w:t>
      </w:r>
      <w:r>
        <w:t xml:space="preserve">— overall Setnayan engineering brief</w:t>
      </w:r>
    </w:p>
    <w:p>
      <w:r>
        <w:pict>
          <v:rect style="width:0;height:1.5pt" o:hralign="center" o:hrstd="t" o:hr="t"/>
        </w:pict>
      </w:r>
    </w:p>
    <w:bookmarkEnd w:id="66"/>
    <w:bookmarkStart w:id="67" w:name="offline-behavior"/>
    <w:p>
      <w:pPr>
        <w:pStyle w:val="Heading2"/>
      </w:pPr>
      <w:r>
        <w:t xml:space="preserve">Offline behavior</w:t>
      </w:r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2026-05-19T14:27:07Z</dcterms:created>
  <dcterms:modified xsi:type="dcterms:W3CDTF">2026-05-19T14:27:07Z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