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iteration-0038-editorial-affiliates"/>
    <w:p>
      <w:pPr>
        <w:pStyle w:val="Heading1"/>
      </w:pPr>
      <w:r>
        <w:t xml:space="preserve">Iteration 0038 — Editorial &amp; Affiliates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BUILT.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/blog/[slug]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/recommendations/[category]</w:t>
      </w:r>
      <w:r>
        <w:t xml:space="preserve">, or admin</w:t>
      </w:r>
      <w:r>
        <w:t xml:space="preserve"> </w:t>
      </w:r>
      <w:r>
        <w:rPr>
          <w:rStyle w:val="VerbatimChar"/>
        </w:rPr>
        <w:t xml:space="preserve">/editorial</w:t>
      </w:r>
      <w:r>
        <w:t xml:space="preserve"> </w:t>
      </w:r>
      <w:r>
        <w:t xml:space="preserve">routes exist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 No</w:t>
      </w:r>
      <w:r>
        <w:t xml:space="preserve"> </w:t>
      </w:r>
      <w:r>
        <w:rPr>
          <w:rStyle w:val="VerbatimChar"/>
        </w:rPr>
        <w:t xml:space="preserve">editorial_articles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recommendation_pages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affiliate_links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affiliate_conversions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sponsored_slot_bookings</w:t>
      </w:r>
      <w:r>
        <w:t xml:space="preserve"> </w:t>
      </w:r>
      <w:r>
        <w:t xml:space="preserve">tables shipped. This remains a V1.1 paper spec.</w:t>
      </w:r>
      <w:r>
        <w:t xml:space="preserve"> </w:t>
      </w:r>
      <w:r>
        <w:t xml:space="preserve">- The only editorial-named files in the tree are the unrelated couple-onboarding</w:t>
      </w:r>
      <w:r>
        <w:t xml:space="preserve"> </w:t>
      </w:r>
      <w:r>
        <w:rPr>
          <w:rStyle w:val="VerbatimChar"/>
        </w:rPr>
        <w:t xml:space="preserve">create-editorial-card.tsx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create-editorial-choice-buttons.tsx</w:t>
      </w:r>
      <w:r>
        <w:t xml:space="preserve"> </w:t>
      </w:r>
      <w:r>
        <w:t xml:space="preserve">wizard cards — they are NOT this iteration’s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 </w:t>
      </w:r>
      <w:r>
        <w:t xml:space="preserve">or affiliate surface.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Commission is 0% platform-wide.</w:t>
      </w:r>
      <w:r>
        <w:t xml:space="preserve"> </w:t>
      </w:r>
      <w:r>
        <w:t xml:space="preserve">Any framing here that assumes a</w:t>
      </w:r>
      <w:r>
        <w:t xml:space="preserve"> </w:t>
      </w:r>
      <w:r>
        <w:t xml:space="preserve">“Setnayan Pay”</w:t>
      </w:r>
      <w:r>
        <w:t xml:space="preserve"> </w:t>
      </w:r>
      <w:r>
        <w:t xml:space="preserve">cut alongside affiliate/sponsored revenue is stale — Setnayan takes 0% on vendor bookings; the only money model in V1 is apply-then-pay in-app SKUs (admin-approved, no card charge) + the vendor token economy.</w:t>
      </w:r>
      <w:r>
        <w:t xml:space="preserve"> </w:t>
      </w:r>
      <w:r>
        <w:t xml:space="preserve">- The companion</w:t>
      </w:r>
      <w:r>
        <w:t xml:space="preserve"> </w:t>
      </w:r>
      <w:r>
        <w:rPr>
          <w:b/>
          <w:bCs/>
        </w:rPr>
        <w:t xml:space="preserve">0039 Display Ads is RETIRED</w:t>
      </w:r>
      <w:r>
        <w:t xml:space="preserve"> </w:t>
      </w:r>
      <w:r>
        <w:t xml:space="preserve">(AdSense enrollment blocked) — the AdSense-coordination guardrails referenced throughout (e.g. </w:t>
      </w:r>
      <w:r>
        <w:t xml:space="preserve">“AdSense kicks in on article pages per 0039”</w:t>
      </w:r>
      <w:r>
        <w:t xml:space="preserve">) are moot; no ad layer exists.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0038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Editorial section on setnayan.com (long-form articles + curated recommendations) with disclosed curated-affiliate links and clearly labelled sponsored-content placements. Layered onto the existing public marketing site as a first-party owned-media monetization surface that complements Boosted Ads / Sponsored Boost without competing for the same inventory.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setnayan.com/blog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setnayan.com/blog/[slug]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setnayan.com/recommendations/[category]</w:t>
      </w:r>
      <w:r>
        <w:t xml:space="preserve">, plus a new</w:t>
      </w:r>
      <w:r>
        <w:t xml:space="preserve"> </w:t>
      </w:r>
      <w:r>
        <w:rPr>
          <w:b/>
          <w:bCs/>
        </w:rPr>
        <w:t xml:space="preserve">Editorial</w:t>
      </w:r>
      <w:r>
        <w:t xml:space="preserve"> </w:t>
      </w:r>
      <w:r>
        <w:t xml:space="preserve">section inside the 0023 admin console for publish workflow + sponsored-content moderation.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setnayan.com/blog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setnayan.com/blog/[slug]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setnayan.com/recommendations/[category]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setnayan.com/recommendations/[category]/[slug]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setnayan.com/dashboard/admin/editorial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0015 (marketing site shell · brand voice · locales), 0022 (Boosted Ads + Sponsored Boost — guardrail-coordinated so AdSense in 0039 doesn’t undercut these vendor placements), 0023 (admin console — editorial publish queue + sponsored-content moderation), 0028 (email notifications — newsletter sponsorship slot), 0029 (Help Center — same git-tracked MD pattern), 0035 (PostHog — affiliate click + conversion tracking, no PII).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2026-05-19.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monetization expansion. Not launch-blocking. Owner-greenlit traffic-monetization scope expansion (CLAUDE.md decision log 2026-05-19) — separate from V1 ship.</w:t>
      </w:r>
    </w:p>
    <w:p>
      <w:r>
        <w:pict>
          <v:rect style="width:0;height:1.5pt" o:hralign="center" o:hrstd="t" o:hr="t"/>
        </w:pict>
      </w:r>
    </w:p>
    <w:bookmarkStart w:id="11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setnayan.com gets traffic from couples Googling vendor categories, wedding ideas, planning timelines, and Filipino-specific cultural questions. Today every visitor either signs up, leaves, or bounces — there’s no editorial layer to catch the long-tail SEO traffic that isn’t yet purchase-intent, and no monetization surface that converts pre-purchase browsing into revenue.</w:t>
      </w:r>
    </w:p>
    <w:p>
      <w:pPr>
        <w:pStyle w:val="BodyText"/>
      </w:pPr>
      <w:r>
        <w:t xml:space="preserve">This iteration adds three first-party owned-media surfaces: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Editorial articles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/blog</w:t>
      </w:r>
      <w:r>
        <w:t xml:space="preserve">) — long-form content (planning timelines, cultural how-to, vendor-category explainers, real-wedding features). SEO ranks them for</w:t>
      </w:r>
      <w:r>
        <w:t xml:space="preserve"> </w:t>
      </w:r>
      <w:r>
        <w:t xml:space="preserve">“how to”</w:t>
      </w:r>
      <w:r>
        <w:t xml:space="preserve"> </w:t>
      </w:r>
      <w:r>
        <w:t xml:space="preserve">+</w:t>
      </w:r>
      <w:r>
        <w:t xml:space="preserve"> </w:t>
      </w:r>
      <w:r>
        <w:t xml:space="preserve">“what is”</w:t>
      </w:r>
      <w:r>
        <w:t xml:space="preserve"> </w:t>
      </w:r>
      <w:r>
        <w:t xml:space="preserve">+</w:t>
      </w:r>
      <w:r>
        <w:t xml:space="preserve"> </w:t>
      </w:r>
      <w:r>
        <w:t xml:space="preserve">“Philippine wedding [X]”</w:t>
      </w:r>
      <w:r>
        <w:t xml:space="preserve"> </w:t>
      </w:r>
      <w:r>
        <w:t xml:space="preserve">queries. Free, no paywall, no ads (display ads land in 0039 on a separate surface decision).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Curated recommendations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/recommendations</w:t>
      </w:r>
      <w:r>
        <w:t xml:space="preserve">) — editor-curated</w:t>
      </w:r>
      <w:r>
        <w:t xml:space="preserve"> </w:t>
      </w:r>
      <w:r>
        <w:t xml:space="preserve">“what we recommend”</w:t>
      </w:r>
      <w:r>
        <w:t xml:space="preserve"> </w:t>
      </w:r>
      <w:r>
        <w:t xml:space="preserve">pages with</w:t>
      </w:r>
      <w:r>
        <w:t xml:space="preserve"> </w:t>
      </w:r>
      <w:r>
        <w:rPr>
          <w:b/>
          <w:bCs/>
        </w:rPr>
        <w:t xml:space="preserve">disclosed</w:t>
      </w:r>
      <w:r>
        <w:t xml:space="preserve"> </w:t>
      </w:r>
      <w:r>
        <w:t xml:space="preserve">affiliate links to wedding-adjacent merchants (hotels, honeymoon travel, paper invitations, bridal-gown rentals, beauty services, lifestyle gifts). Each link surfaces revenue per click or per conversion via an affiliate network. Disclosure is mandatory and visible above the fold.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Sponsored content</w:t>
      </w:r>
      <w:r>
        <w:t xml:space="preserve"> </w:t>
      </w:r>
      <w:r>
        <w:t xml:space="preserve">— clearly labelled paid features (bridal-magazine model). A vendor or partner pays Setnayan to publish a feature; the feature carries an unambiguous</w:t>
      </w:r>
      <w:r>
        <w:t xml:space="preserve"> </w:t>
      </w:r>
      <w:r>
        <w:t xml:space="preserve">“Sponsored”</w:t>
      </w:r>
      <w:r>
        <w:t xml:space="preserve"> </w:t>
      </w:r>
      <w:r>
        <w:t xml:space="preserve">badge + disclosure line at top and bottom. Uses the same publishing pipeline as editorial articles with a</w:t>
      </w:r>
      <w:r>
        <w:t xml:space="preserve"> </w:t>
      </w:r>
      <w:r>
        <w:rPr>
          <w:rStyle w:val="VerbatimChar"/>
        </w:rPr>
        <w:t xml:space="preserve">is_paid_placement = TRUE</w:t>
      </w:r>
      <w:r>
        <w:t xml:space="preserve"> </w:t>
      </w:r>
      <w:r>
        <w:t xml:space="preserve">flag.</w:t>
      </w:r>
    </w:p>
    <w:p>
      <w:pPr>
        <w:pStyle w:val="FirstParagraph"/>
      </w:pPr>
      <w:r>
        <w:rPr>
          <w:b/>
          <w:bCs/>
        </w:rPr>
        <w:t xml:space="preserve">Why this complements rather than competes with Boosted Ads:</w:t>
      </w:r>
    </w:p>
    <w:p>
      <w:pPr>
        <w:pStyle w:val="Compact"/>
        <w:numPr>
          <w:ilvl w:val="0"/>
          <w:numId w:val="1002"/>
        </w:numPr>
      </w:pPr>
      <w:r>
        <w:t xml:space="preserve">Boosted Ads + Sponsored Boost (locked 2026-05-16 in</w:t>
      </w:r>
      <w:r>
        <w:t xml:space="preserve"> </w:t>
      </w:r>
      <w:hyperlink r:id="rId10">
        <w:r>
          <w:rPr>
            <w:rStyle w:val="Hyperlink"/>
          </w:rPr>
          <w:t xml:space="preserve">0022 § 5b</w:t>
        </w:r>
      </w:hyperlink>
      <w:r>
        <w:t xml:space="preserve">) monetize</w:t>
      </w:r>
      <w:r>
        <w:t xml:space="preserve"> </w:t>
      </w:r>
      <w:r>
        <w:rPr>
          <w:b/>
          <w:bCs/>
        </w:rPr>
        <w:t xml:space="preserve">marketplace discovery traffic</w:t>
      </w:r>
      <w:r>
        <w:t xml:space="preserve"> </w:t>
      </w:r>
      <w:r>
        <w:t xml:space="preserve">— couples already in vendor-shopping mode.</w:t>
      </w:r>
    </w:p>
    <w:p>
      <w:pPr>
        <w:pStyle w:val="Compact"/>
        <w:numPr>
          <w:ilvl w:val="0"/>
          <w:numId w:val="1002"/>
        </w:numPr>
      </w:pPr>
      <w:r>
        <w:t xml:space="preserve">This iteration monetizes</w:t>
      </w:r>
      <w:r>
        <w:t xml:space="preserve"> </w:t>
      </w:r>
      <w:r>
        <w:rPr>
          <w:b/>
          <w:bCs/>
        </w:rPr>
        <w:t xml:space="preserve">pre-purchase research traffic</w:t>
      </w:r>
      <w:r>
        <w:t xml:space="preserve"> </w:t>
      </w:r>
      <w:r>
        <w:t xml:space="preserve">— couples Googling</w:t>
      </w:r>
      <w:r>
        <w:t xml:space="preserve"> </w:t>
      </w:r>
      <w:r>
        <w:t xml:space="preserve">“what should I do 12 months before my wedding”</w:t>
      </w:r>
      <w:r>
        <w:t xml:space="preserve"> </w:t>
      </w:r>
      <w:r>
        <w:t xml:space="preserve">who aren’t yet ready to pick a vendor. Different funnel stage, different inventory.</w:t>
      </w:r>
    </w:p>
    <w:p>
      <w:pPr>
        <w:pStyle w:val="Compact"/>
        <w:numPr>
          <w:ilvl w:val="0"/>
          <w:numId w:val="1002"/>
        </w:numPr>
      </w:pPr>
      <w:r>
        <w:t xml:space="preserve">Vendors who pay for Boosted Ads can ALSO buy Sponsored Content here — but the buying motion is editorial-feature ratecard, not marketplace placement.</w:t>
      </w:r>
    </w:p>
    <w:p>
      <w:pPr>
        <w:pStyle w:val="FirstParagraph"/>
      </w:pPr>
      <w:r>
        <w:rPr>
          <w:b/>
          <w:bCs/>
        </w:rPr>
        <w:t xml:space="preserve">Why this is V1.1 and not V1:</w:t>
      </w:r>
    </w:p>
    <w:p>
      <w:pPr>
        <w:pStyle w:val="BodyText"/>
      </w:pPr>
      <w:r>
        <w:t xml:space="preserve">V1 ships the underlying tables + a placeholder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 </w:t>
      </w:r>
      <w:r>
        <w:t xml:space="preserve">route with 3 seed articles drawn from the owner’s existing planning notes (zero net-new content production). The full editorial cadence (1 article/week + 1 sponsored slot/month + 4 recommendation pages) is the V1.1 ramp.</w:t>
      </w:r>
    </w:p>
    <w:p>
      <w:r>
        <w:pict>
          <v:rect style="width:0;height:1.5pt" o:hralign="center" o:hrstd="t" o:hr="t"/>
        </w:pict>
      </w:r>
    </w:p>
    <w:bookmarkEnd w:id="11"/>
    <w:bookmarkStart w:id="18" w:name="surface-architecture"/>
    <w:p>
      <w:pPr>
        <w:pStyle w:val="Heading2"/>
      </w:pPr>
      <w:r>
        <w:t xml:space="preserve">2. Surface architecture</w:t>
      </w:r>
    </w:p>
    <w:bookmarkStart w:id="12" w:name="editorial-home-setnayan.comblog"/>
    <w:p>
      <w:pPr>
        <w:pStyle w:val="Heading3"/>
      </w:pPr>
      <w:r>
        <w:t xml:space="preserve">2.1 Editorial home —</w:t>
      </w:r>
      <w:r>
        <w:t xml:space="preserve"> </w:t>
      </w:r>
      <w:r>
        <w:rPr>
          <w:rStyle w:val="VerbatimChar"/>
        </w:rPr>
        <w:t xml:space="preserve">setnayan.com/blog</w:t>
      </w:r>
    </w:p>
    <w:p>
      <w:pPr>
        <w:pStyle w:val="Compact"/>
        <w:numPr>
          <w:ilvl w:val="0"/>
          <w:numId w:val="1003"/>
        </w:numPr>
      </w:pPr>
      <w:r>
        <w:t xml:space="preserve">No login required. Anyone can read.</w:t>
      </w:r>
    </w:p>
    <w:p>
      <w:pPr>
        <w:pStyle w:val="Compact"/>
        <w:numPr>
          <w:ilvl w:val="0"/>
          <w:numId w:val="1003"/>
        </w:numPr>
      </w:pPr>
      <w:r>
        <w:t xml:space="preserve">Hero: featured article (manually pinned via</w:t>
      </w:r>
      <w:r>
        <w:t xml:space="preserve"> </w:t>
      </w:r>
      <w:r>
        <w:rPr>
          <w:rStyle w:val="VerbatimChar"/>
        </w:rPr>
        <w:t xml:space="preserve">is_featured =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editorial_articles</w:t>
      </w:r>
      <w:r>
        <w:t xml:space="preserve"> </w:t>
      </w:r>
      <w:r>
        <w:t xml:space="preserve">— only one at a time).</w:t>
      </w:r>
    </w:p>
    <w:p>
      <w:pPr>
        <w:pStyle w:val="Compact"/>
        <w:numPr>
          <w:ilvl w:val="0"/>
          <w:numId w:val="1003"/>
        </w:numPr>
      </w:pPr>
      <w:r>
        <w:t xml:space="preserve">Below: paginated list of articles ordered by</w:t>
      </w:r>
      <w:r>
        <w:t xml:space="preserve"> </w:t>
      </w:r>
      <w:r>
        <w:rPr>
          <w:rStyle w:val="VerbatimChar"/>
        </w:rPr>
        <w:t xml:space="preserve">published_at DESC</w:t>
      </w:r>
      <w:r>
        <w:t xml:space="preserve">. 12 per page.</w:t>
      </w:r>
    </w:p>
    <w:p>
      <w:pPr>
        <w:pStyle w:val="Compact"/>
        <w:numPr>
          <w:ilvl w:val="0"/>
          <w:numId w:val="1003"/>
        </w:numPr>
      </w:pPr>
      <w:r>
        <w:t xml:space="preserve">Each card: cover image (1200×630 OG-spec) · title · 80-char excerpt · category chip · estimated read time · publish date.</w:t>
      </w:r>
    </w:p>
    <w:p>
      <w:pPr>
        <w:pStyle w:val="Compact"/>
        <w:numPr>
          <w:ilvl w:val="0"/>
          <w:numId w:val="1003"/>
        </w:numPr>
      </w:pPr>
      <w:r>
        <w:t xml:space="preserve">Filter chips above the list: All · Planning · Vendors · Culture · Real Weddings · Setnayan News.</w:t>
      </w:r>
    </w:p>
    <w:p>
      <w:pPr>
        <w:pStyle w:val="Compact"/>
        <w:numPr>
          <w:ilvl w:val="0"/>
          <w:numId w:val="1003"/>
        </w:numPr>
      </w:pPr>
      <w:r>
        <w:t xml:space="preserve">Footer:</w:t>
      </w:r>
      <w:r>
        <w:t xml:space="preserve"> </w:t>
      </w:r>
      <w:r>
        <w:t xml:space="preserve">“Subscribe to the newsletter”</w:t>
      </w:r>
      <w:r>
        <w:t xml:space="preserve"> </w:t>
      </w:r>
      <w:r>
        <w:t xml:space="preserve">CTA → opens the existing 0015 newsletter subscribe modal with</w:t>
      </w:r>
      <w:r>
        <w:t xml:space="preserve"> </w:t>
      </w:r>
      <w:r>
        <w:rPr>
          <w:rStyle w:val="VerbatimChar"/>
        </w:rPr>
        <w:t xml:space="preserve">source = 'editorial_home'</w:t>
      </w:r>
      <w:r>
        <w:t xml:space="preserve"> </w:t>
      </w:r>
      <w:r>
        <w:t xml:space="preserve">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ads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/blog</w:t>
      </w:r>
      <w:r>
        <w:rPr>
          <w:b/>
          <w:bCs/>
        </w:rPr>
        <w:t xml:space="preserve"> </w:t>
      </w:r>
      <w:r>
        <w:rPr>
          <w:b/>
          <w:bCs/>
        </w:rPr>
        <w:t xml:space="preserve">index page</w:t>
      </w:r>
      <w:r>
        <w:t xml:space="preserve"> </w:t>
      </w:r>
      <w:r>
        <w:t xml:space="preserve">(cleaner SEO crawl; AdSense kicks in only on individual article pages per 0039).</w:t>
      </w:r>
    </w:p>
    <w:bookmarkEnd w:id="12"/>
    <w:bookmarkStart w:id="13" w:name="article-page-setnayan.comblogslug"/>
    <w:p>
      <w:pPr>
        <w:pStyle w:val="Heading3"/>
      </w:pPr>
      <w:r>
        <w:t xml:space="preserve">2.2 Article page —</w:t>
      </w:r>
      <w:r>
        <w:t xml:space="preserve"> </w:t>
      </w:r>
      <w:r>
        <w:rPr>
          <w:rStyle w:val="VerbatimChar"/>
        </w:rPr>
        <w:t xml:space="preserve">setnayan.com/blog/[slug]</w:t>
      </w:r>
    </w:p>
    <w:p>
      <w:pPr>
        <w:pStyle w:val="Compact"/>
        <w:numPr>
          <w:ilvl w:val="0"/>
          <w:numId w:val="1004"/>
        </w:numPr>
      </w:pPr>
      <w:r>
        <w:t xml:space="preserve">Breadcrumb: Blog / [Category] / [Article title]</w:t>
      </w:r>
    </w:p>
    <w:p>
      <w:pPr>
        <w:pStyle w:val="Compact"/>
        <w:numPr>
          <w:ilvl w:val="0"/>
          <w:numId w:val="1004"/>
        </w:numPr>
      </w:pPr>
      <w:r>
        <w:t xml:space="preserve">Hero image (1200×630 OG) + title + author byline (</w:t>
      </w:r>
      <w:r>
        <w:t xml:space="preserve">“Setnayan Editorial”</w:t>
      </w:r>
      <w:r>
        <w:t xml:space="preserve"> </w:t>
      </w:r>
      <w:r>
        <w:t xml:space="preserve">by default; named author optional) + publish date + estimated read time</w:t>
      </w:r>
    </w:p>
    <w:p>
      <w:pPr>
        <w:pStyle w:val="Compact"/>
        <w:numPr>
          <w:ilvl w:val="0"/>
          <w:numId w:val="1004"/>
        </w:numPr>
      </w:pPr>
      <w:r>
        <w:t xml:space="preserve">Article body (markdown rendered server-side, same renderer as 0029 Help Center)</w:t>
      </w:r>
    </w:p>
    <w:p>
      <w:pPr>
        <w:pStyle w:val="Compact"/>
        <w:numPr>
          <w:ilvl w:val="0"/>
          <w:numId w:val="1004"/>
        </w:numPr>
      </w:pPr>
      <w:r>
        <w:t xml:space="preserve">Inline link pattern: any</w:t>
      </w:r>
      <w:r>
        <w:t xml:space="preserve"> </w:t>
      </w:r>
      <w:r>
        <w:rPr>
          <w:rStyle w:val="VerbatimChar"/>
        </w:rPr>
        <w:t xml:space="preserve">[text](https://merchant.example)</w:t>
      </w:r>
      <w:r>
        <w:t xml:space="preserve"> </w:t>
      </w:r>
      <w:r>
        <w:t xml:space="preserve">link with a domain in the</w:t>
      </w:r>
      <w:r>
        <w:t xml:space="preserve"> </w:t>
      </w:r>
      <w:r>
        <w:rPr>
          <w:rStyle w:val="VerbatimChar"/>
        </w:rPr>
        <w:t xml:space="preserve">affiliate_link_domains</w:t>
      </w:r>
      <w:r>
        <w:t xml:space="preserve"> </w:t>
      </w:r>
      <w:r>
        <w:t xml:space="preserve">allowlist auto-decorates with a</w:t>
      </w:r>
      <w:r>
        <w:t xml:space="preserve"> </w:t>
      </w:r>
      <w:r>
        <w:rPr>
          <w:rStyle w:val="VerbatimChar"/>
        </w:rPr>
        <w:t xml:space="preserve">data-affiliate="true"</w:t>
      </w:r>
      <w:r>
        <w:t xml:space="preserve"> </w:t>
      </w:r>
      <w:r>
        <w:t xml:space="preserve">attribute that fires a PostHog event on click (see § 5)</w:t>
      </w:r>
    </w:p>
    <w:p>
      <w:pPr>
        <w:pStyle w:val="Compact"/>
        <w:numPr>
          <w:ilvl w:val="0"/>
          <w:numId w:val="1004"/>
        </w:numPr>
      </w:pPr>
      <w:r>
        <w:t xml:space="preserve">Inline</w:t>
      </w:r>
      <w:r>
        <w:t xml:space="preserve"> </w:t>
      </w:r>
      <w:r>
        <w:t xml:space="preserve">“Recommended by Setnayan”</w:t>
      </w:r>
      <w:r>
        <w:t xml:space="preserve"> </w:t>
      </w:r>
      <w:r>
        <w:t xml:space="preserve">call-out cards every 800–1200 words → links to</w:t>
      </w:r>
      <w:r>
        <w:t xml:space="preserve"> </w:t>
      </w:r>
      <w:r>
        <w:rPr>
          <w:rStyle w:val="VerbatimChar"/>
        </w:rPr>
        <w:t xml:space="preserve">/recommendations/[category]</w:t>
      </w:r>
      <w:r>
        <w:t xml:space="preserve">. Cards have explicit</w:t>
      </w:r>
      <w:r>
        <w:t xml:space="preserve"> </w:t>
      </w:r>
      <w:r>
        <w:t xml:space="preserve">“May earn commission”</w:t>
      </w:r>
      <w:r>
        <w:t xml:space="preserve"> </w:t>
      </w:r>
      <w:r>
        <w:t xml:space="preserve">disclosure microcopy.</w:t>
      </w:r>
    </w:p>
    <w:p>
      <w:pPr>
        <w:pStyle w:val="Compact"/>
        <w:numPr>
          <w:ilvl w:val="0"/>
          <w:numId w:val="1004"/>
        </w:numPr>
      </w:pPr>
      <w:r>
        <w:t xml:space="preserve">“Related articles”</w:t>
      </w:r>
      <w:r>
        <w:t xml:space="preserve"> </w:t>
      </w:r>
      <w:r>
        <w:t xml:space="preserve">— three other articles tagged with the same primary category</w:t>
      </w:r>
    </w:p>
    <w:p>
      <w:pPr>
        <w:pStyle w:val="Compact"/>
        <w:numPr>
          <w:ilvl w:val="0"/>
          <w:numId w:val="1004"/>
        </w:numPr>
      </w:pPr>
      <w:r>
        <w:t xml:space="preserve">“Last updated [date]”</w:t>
      </w:r>
      <w:r>
        <w:t xml:space="preserve"> </w:t>
      </w:r>
      <w:r>
        <w:t xml:space="preserve">— stamps</w:t>
      </w:r>
      <w:r>
        <w:t xml:space="preserve"> </w:t>
      </w:r>
      <w:r>
        <w:rPr>
          <w:rStyle w:val="VerbatimChar"/>
        </w:rPr>
        <w:t xml:space="preserve">last_updated_at</w:t>
      </w:r>
    </w:p>
    <w:p>
      <w:pPr>
        <w:pStyle w:val="Compact"/>
        <w:numPr>
          <w:ilvl w:val="0"/>
          <w:numId w:val="1004"/>
        </w:numPr>
      </w:pPr>
      <w:r>
        <w:t xml:space="preserve">AdSense unit (per 0039): exactly ONE block, below-the-fold, after the article body. Topic filter excludes wedding/event categories so we never serve competitor ads on a Setnayan editorial page.</w:t>
      </w:r>
    </w:p>
    <w:p>
      <w:pPr>
        <w:pStyle w:val="Compact"/>
        <w:numPr>
          <w:ilvl w:val="0"/>
          <w:numId w:val="1004"/>
        </w:numPr>
      </w:pPr>
      <w:r>
        <w:t xml:space="preserve">Footer:</w:t>
      </w:r>
      <w:r>
        <w:t xml:space="preserve"> </w:t>
      </w:r>
      <w:r>
        <w:t xml:space="preserve">“Subscribe to the newsletter”</w:t>
      </w:r>
      <w:r>
        <w:t xml:space="preserve"> </w:t>
      </w:r>
      <w:r>
        <w:t xml:space="preserve">CTA → 0015 newsletter signup</w:t>
      </w:r>
    </w:p>
    <w:bookmarkEnd w:id="13"/>
    <w:bookmarkStart w:id="14" w:name="Xfec396776a59a7a40c9fbfc5775330afa69f025"/>
    <w:p>
      <w:pPr>
        <w:pStyle w:val="Heading3"/>
      </w:pPr>
      <w:r>
        <w:t xml:space="preserve">2.3 Recommendations home —</w:t>
      </w:r>
      <w:r>
        <w:t xml:space="preserve"> </w:t>
      </w:r>
      <w:r>
        <w:rPr>
          <w:rStyle w:val="VerbatimChar"/>
        </w:rPr>
        <w:t xml:space="preserve">setnayan.com/recommendations</w:t>
      </w:r>
    </w:p>
    <w:p>
      <w:pPr>
        <w:pStyle w:val="Compact"/>
        <w:numPr>
          <w:ilvl w:val="0"/>
          <w:numId w:val="1005"/>
        </w:numPr>
      </w:pPr>
      <w:r>
        <w:t xml:space="preserve">No login required. Anyone can read.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Disclosure banner at top of every page</w:t>
      </w:r>
      <w:r>
        <w:t xml:space="preserve"> </w:t>
      </w:r>
      <w:r>
        <w:t xml:space="preserve">(not collapsible):</w:t>
      </w:r>
      <w:r>
        <w:t xml:space="preserve"> </w:t>
      </w:r>
      <w:r>
        <w:t xml:space="preserve">“Setnayan may earn a commission when you book or buy through links on this page. We only recommend services we’d trust for our own clients.”</w:t>
      </w:r>
    </w:p>
    <w:p>
      <w:pPr>
        <w:pStyle w:val="Compact"/>
        <w:numPr>
          <w:ilvl w:val="0"/>
          <w:numId w:val="1005"/>
        </w:numPr>
      </w:pPr>
      <w:r>
        <w:t xml:space="preserve">Category tiles: Honeymoon Travel · Bridal Gowns · Paper &amp; Stationery · Beauty Services · Wedding Gifts · Lifestyle &amp; Home · Wedding Insurance.</w:t>
      </w:r>
    </w:p>
    <w:p>
      <w:pPr>
        <w:pStyle w:val="Compact"/>
        <w:numPr>
          <w:ilvl w:val="0"/>
          <w:numId w:val="1005"/>
        </w:numPr>
      </w:pPr>
      <w:r>
        <w:t xml:space="preserve">Each tile: tile cover image + category name +</w:t>
      </w:r>
      <w:r>
        <w:t xml:space="preserve"> </w:t>
      </w:r>
      <w:r>
        <w:t xml:space="preserve">“View N picks”</w:t>
      </w:r>
      <w:r>
        <w:t xml:space="preserve"> </w:t>
      </w:r>
      <w:r>
        <w:t xml:space="preserve">link to</w:t>
      </w:r>
      <w:r>
        <w:t xml:space="preserve"> </w:t>
      </w:r>
      <w:r>
        <w:rPr>
          <w:rStyle w:val="VerbatimChar"/>
        </w:rPr>
        <w:t xml:space="preserve">/recommendations/[category]</w:t>
      </w:r>
      <w:r>
        <w:t xml:space="preserve">.</w:t>
      </w:r>
    </w:p>
    <w:bookmarkEnd w:id="14"/>
    <w:bookmarkStart w:id="15" w:name="Xa5ff7142d27784597421fae5f65407b8862d2a7"/>
    <w:p>
      <w:pPr>
        <w:pStyle w:val="Heading3"/>
      </w:pPr>
      <w:r>
        <w:t xml:space="preserve">2.4 Category page —</w:t>
      </w:r>
      <w:r>
        <w:t xml:space="preserve"> </w:t>
      </w:r>
      <w:r>
        <w:rPr>
          <w:rStyle w:val="VerbatimChar"/>
        </w:rPr>
        <w:t xml:space="preserve">setnayan.com/recommendations/[category]</w:t>
      </w:r>
    </w:p>
    <w:p>
      <w:pPr>
        <w:pStyle w:val="Compact"/>
        <w:numPr>
          <w:ilvl w:val="0"/>
          <w:numId w:val="1006"/>
        </w:numPr>
      </w:pPr>
      <w:r>
        <w:t xml:space="preserve">Disclosure banner repeats at top (mandatory per RA 10173-adjacent FTC-style transparency norms).</w:t>
      </w:r>
    </w:p>
    <w:p>
      <w:pPr>
        <w:pStyle w:val="Compact"/>
        <w:numPr>
          <w:ilvl w:val="0"/>
          <w:numId w:val="1006"/>
        </w:numPr>
      </w:pPr>
      <w:r>
        <w:t xml:space="preserve">Intro paragraph: editor explains why these picks, what criteria were used, last reviewed date.</w:t>
      </w:r>
    </w:p>
    <w:p>
      <w:pPr>
        <w:pStyle w:val="Compact"/>
        <w:numPr>
          <w:ilvl w:val="0"/>
          <w:numId w:val="1006"/>
        </w:numPr>
      </w:pPr>
      <w:r>
        <w:t xml:space="preserve">5–12 recommendation cards. Each card uses the</w:t>
      </w:r>
      <w:r>
        <w:t xml:space="preserve"> </w:t>
      </w:r>
      <w:r>
        <w:rPr>
          <w:b/>
          <w:bCs/>
        </w:rPr>
        <w:t xml:space="preserve">standard editorial card pattern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 </w:t>
      </w:r>
      <w:r>
        <w:t xml:space="preserve">— NOT the AdSense</w:t>
      </w:r>
      <w:r>
        <w:t xml:space="preserve"> </w:t>
      </w:r>
      <w:r>
        <w:rPr>
          <w:rStyle w:val="VerbatimChar"/>
        </w:rPr>
        <w:t xml:space="preserve">.ad-unit</w:t>
      </w:r>
      <w:r>
        <w:t xml:space="preserve"> </w:t>
      </w:r>
      <w:r>
        <w:t xml:space="preserve">styling from 0039 § 3.3a tenet 13. Cards must read as editorial recommendations, not as banner ads:</w:t>
      </w:r>
    </w:p>
    <w:p>
      <w:pPr>
        <w:pStyle w:val="Compact"/>
        <w:numPr>
          <w:ilvl w:val="1"/>
          <w:numId w:val="1007"/>
        </w:numPr>
      </w:pPr>
      <w:r>
        <w:t xml:space="preserve">Merchant logo / product image (16:9 or square, never animated)</w:t>
      </w:r>
    </w:p>
    <w:p>
      <w:pPr>
        <w:pStyle w:val="Compact"/>
        <w:numPr>
          <w:ilvl w:val="1"/>
          <w:numId w:val="1007"/>
        </w:numPr>
      </w:pPr>
      <w:r>
        <w:t xml:space="preserve">Merchant name in the editorial font / size used throughout</w:t>
      </w:r>
      <w:r>
        <w:t xml:space="preserve"> </w:t>
      </w:r>
      <w:r>
        <w:rPr>
          <w:rStyle w:val="VerbatimChar"/>
        </w:rPr>
        <w:t xml:space="preserve">/blog</w:t>
      </w:r>
    </w:p>
    <w:p>
      <w:pPr>
        <w:pStyle w:val="Compact"/>
        <w:numPr>
          <w:ilvl w:val="1"/>
          <w:numId w:val="1007"/>
        </w:numPr>
      </w:pPr>
      <w:r>
        <w:t xml:space="preserve">2-3 sentence editor commentary</w:t>
      </w:r>
    </w:p>
    <w:p>
      <w:pPr>
        <w:pStyle w:val="Compact"/>
        <w:numPr>
          <w:ilvl w:val="1"/>
          <w:numId w:val="1007"/>
        </w:numPr>
      </w:pPr>
      <w:r>
        <w:t xml:space="preserve">“Why we picked it”</w:t>
      </w:r>
      <w:r>
        <w:t xml:space="preserve"> </w:t>
      </w:r>
      <w:r>
        <w:t xml:space="preserve">bullet list (3-5 bullets)</w:t>
      </w:r>
    </w:p>
    <w:p>
      <w:pPr>
        <w:pStyle w:val="Compact"/>
        <w:numPr>
          <w:ilvl w:val="1"/>
          <w:numId w:val="1007"/>
        </w:numPr>
      </w:pPr>
      <w:r>
        <w:t xml:space="preserve">Price band chip (₱ / ₱₱ / ₱₱₱) — qualitative, not quoted prices (prevents stale-price drift)</w:t>
      </w:r>
    </w:p>
    <w:p>
      <w:pPr>
        <w:pStyle w:val="Compact"/>
        <w:numPr>
          <w:ilvl w:val="1"/>
          <w:numId w:val="1007"/>
        </w:numPr>
      </w:pPr>
      <w:r>
        <w:t xml:space="preserve">Outbound CTA button — Setnayan design-system primary button (NOT a generic</w:t>
      </w:r>
      <w:r>
        <w:t xml:space="preserve"> </w:t>
      </w:r>
      <w:r>
        <w:t xml:space="preserve">“Buy now”</w:t>
      </w:r>
      <w:r>
        <w:t xml:space="preserve"> </w:t>
      </w:r>
      <w:r>
        <w:t xml:space="preserve">red CTA). Label:</w:t>
      </w:r>
      <w:r>
        <w:t xml:space="preserve"> </w:t>
      </w:r>
      <w:r>
        <w:t xml:space="preserve">“Book on [merchant]”</w:t>
      </w:r>
      <w:r>
        <w:t xml:space="preserve"> </w:t>
      </w:r>
      <w:r>
        <w:t xml:space="preserve">or</w:t>
      </w:r>
      <w:r>
        <w:t xml:space="preserve"> </w:t>
      </w:r>
      <w:r>
        <w:t xml:space="preserve">“Shop on [merchant]”</w:t>
      </w:r>
      <w:r>
        <w:t xml:space="preserve"> </w:t>
      </w:r>
      <w:r>
        <w:t xml:space="preserve">→ opens affiliate link in a new tab with</w:t>
      </w:r>
      <w:r>
        <w:t xml:space="preserve"> </w:t>
      </w:r>
      <w:r>
        <w:rPr>
          <w:rStyle w:val="VerbatimChar"/>
        </w:rPr>
        <w:t xml:space="preserve">rel="sponsored nofollow noopener"</w:t>
      </w:r>
      <w:r>
        <w:t xml:space="preserve"> </w:t>
      </w:r>
      <w:r>
        <w:t xml:space="preserve">attribute (Google quality-guidelines mandate)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Disclosure microcopy beneath the CTA — 12px, neutral gray (</w:t>
      </w:r>
      <w:r>
        <w:rPr>
          <w:rStyle w:val="VerbatimChar"/>
          <w:b/>
          <w:bCs/>
        </w:rPr>
        <w:t xml:space="preserve">var(--text-tertiary)</w:t>
      </w:r>
      <w:r>
        <w:rPr>
          <w:b/>
          <w:bCs/>
        </w:rPr>
        <w:t xml:space="preserve">), single line:</w:t>
      </w:r>
      <w:r>
        <w:rPr>
          <w:b/>
          <w:bCs/>
        </w:rPr>
        <w:t xml:space="preserve"> </w:t>
      </w:r>
      <w:r>
        <w:rPr>
          <w:b/>
          <w:bCs/>
        </w:rPr>
        <w:t xml:space="preserve">“Sponsored link — Setnayan may earn a commission”</w:t>
      </w:r>
      <w:r>
        <w:t xml:space="preserve">. Visible but never heavy-handed; matches the</w:t>
      </w:r>
      <w:r>
        <w:t xml:space="preserve"> </w:t>
      </w:r>
      <w:r>
        <w:t xml:space="preserve">“non-invasive”</w:t>
      </w:r>
      <w:r>
        <w:t xml:space="preserve"> </w:t>
      </w:r>
      <w:r>
        <w:t xml:space="preserve">tenets owner directed 2026-05-19.</w:t>
      </w:r>
    </w:p>
    <w:p>
      <w:pPr>
        <w:pStyle w:val="Compact"/>
        <w:numPr>
          <w:ilvl w:val="0"/>
          <w:numId w:val="1006"/>
        </w:numPr>
      </w:pPr>
      <w:r>
        <w:t xml:space="preserve">“Last reviewed [date]”</w:t>
      </w:r>
      <w:r>
        <w:t xml:space="preserve"> </w:t>
      </w:r>
      <w:r>
        <w:t xml:space="preserve">stamp — surfaces visibly at top of category page</w:t>
      </w:r>
    </w:p>
    <w:p>
      <w:pPr>
        <w:pStyle w:val="Compact"/>
        <w:numPr>
          <w:ilvl w:val="0"/>
          <w:numId w:val="1006"/>
        </w:numPr>
      </w:pPr>
      <w:r>
        <w:t xml:space="preserve">AdSense unit per 0039: exactly ONE block, below the last card, lazy-loaded,</w:t>
      </w:r>
      <w:r>
        <w:t xml:space="preserve"> </w:t>
      </w:r>
      <w:r>
        <w:t xml:space="preserve">“Advertisement”</w:t>
      </w:r>
      <w:r>
        <w:t xml:space="preserve"> </w:t>
      </w:r>
      <w:r>
        <w:t xml:space="preserve">labelled. Same topic-exclusion filter. See 0039 § 3.3a tenets for full styling rules.</w:t>
      </w:r>
    </w:p>
    <w:bookmarkEnd w:id="15"/>
    <w:bookmarkStart w:id="16" w:name="Xe77a8b56ffbb8ce2df6c19f4691191ec6fdfaff"/>
    <w:p>
      <w:pPr>
        <w:pStyle w:val="Heading3"/>
      </w:pPr>
      <w:r>
        <w:t xml:space="preserve">2.5 Sponsored content article —</w:t>
      </w:r>
      <w:r>
        <w:t xml:space="preserve"> </w:t>
      </w:r>
      <w:r>
        <w:rPr>
          <w:rStyle w:val="VerbatimChar"/>
        </w:rPr>
        <w:t xml:space="preserve">setnayan.com/blog/[slug]</w:t>
      </w:r>
      <w:r>
        <w:t xml:space="preserve"> </w:t>
      </w:r>
      <w:r>
        <w:t xml:space="preserve">(with sponsor badge)</w:t>
      </w:r>
    </w:p>
    <w:p>
      <w:pPr>
        <w:pStyle w:val="Compact"/>
        <w:numPr>
          <w:ilvl w:val="0"/>
          <w:numId w:val="1008"/>
        </w:numPr>
      </w:pPr>
      <w:r>
        <w:t xml:space="preserve">Same article-page layout as § 2.2, with these differences:</w:t>
      </w:r>
    </w:p>
    <w:p>
      <w:pPr>
        <w:pStyle w:val="Compact"/>
        <w:numPr>
          <w:ilvl w:val="1"/>
          <w:numId w:val="1009"/>
        </w:numPr>
      </w:pPr>
      <w:r>
        <w:t xml:space="preserve">Sticky</w:t>
      </w:r>
      <w:r>
        <w:t xml:space="preserve"> </w:t>
      </w:r>
      <w:r>
        <w:t xml:space="preserve">“Sponsored by [Sponsor]”</w:t>
      </w:r>
      <w:r>
        <w:t xml:space="preserve"> </w:t>
      </w:r>
      <w:r>
        <w:t xml:space="preserve">badge top-right of the hero (yellow background, 14px text, never dismissible)</w:t>
      </w:r>
    </w:p>
    <w:p>
      <w:pPr>
        <w:pStyle w:val="Compact"/>
        <w:numPr>
          <w:ilvl w:val="1"/>
          <w:numId w:val="1009"/>
        </w:numPr>
      </w:pPr>
      <w:r>
        <w:t xml:space="preserve">First line of article body:</w:t>
      </w:r>
      <w:r>
        <w:t xml:space="preserve"> </w:t>
      </w:r>
      <w:r>
        <w:t xml:space="preserve">“This is a sponsored feature. [Sponsor] paid Setnayan to publish this story. Setnayan retained editorial control over [factual sections / brand voice]; promotional claims about [Sponsor]’s services are [Sponsor]’s own.”</w:t>
      </w:r>
    </w:p>
    <w:p>
      <w:pPr>
        <w:pStyle w:val="Compact"/>
        <w:numPr>
          <w:ilvl w:val="1"/>
          <w:numId w:val="1009"/>
        </w:numPr>
      </w:pPr>
      <w:r>
        <w:t xml:space="preserve">Sponsor’s branded link block at the end of the article (visually distinct from editorial CTAs)</w:t>
      </w:r>
    </w:p>
    <w:p>
      <w:pPr>
        <w:pStyle w:val="Compact"/>
        <w:numPr>
          <w:ilvl w:val="1"/>
          <w:numId w:val="1009"/>
        </w:numPr>
      </w:pPr>
      <w:r>
        <w:t xml:space="preserve">“Sponsored”</w:t>
      </w:r>
      <w:r>
        <w:t xml:space="preserve"> </w:t>
      </w:r>
      <w:r>
        <w:t xml:space="preserve">chip on every card representation of the article (blog index, related-articles widget, social-card preview)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NO AdSense</w:t>
      </w:r>
      <w:r>
        <w:t xml:space="preserve"> </w:t>
      </w:r>
      <w:r>
        <w:t xml:space="preserve">on sponsored content pages (sponsor paid for the page; no display-ad bleed) — exception to the 0039 default</w:t>
      </w:r>
    </w:p>
    <w:p>
      <w:pPr>
        <w:pStyle w:val="Compact"/>
        <w:numPr>
          <w:ilvl w:val="0"/>
          <w:numId w:val="1008"/>
        </w:numPr>
      </w:pPr>
      <w:r>
        <w:t xml:space="preserve">Cross-tag: every sponsored article also lives under a</w:t>
      </w:r>
      <w:r>
        <w:t xml:space="preserve"> </w:t>
      </w:r>
      <w:r>
        <w:t xml:space="preserve">“Sponsored”</w:t>
      </w:r>
      <w:r>
        <w:t xml:space="preserve"> </w:t>
      </w:r>
      <w:r>
        <w:t xml:space="preserve">filter chip on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 </w:t>
      </w:r>
      <w:r>
        <w:t xml:space="preserve">so visitors can find or skip them in bulk</w:t>
      </w:r>
    </w:p>
    <w:bookmarkEnd w:id="16"/>
    <w:bookmarkStart w:id="17" w:name="Xd1087b6b4df88eb044ee09604d71fea101ecb3f"/>
    <w:p>
      <w:pPr>
        <w:pStyle w:val="Heading3"/>
      </w:pPr>
      <w:r>
        <w:t xml:space="preserve">2.6 Admin editorial console —</w:t>
      </w:r>
      <w:r>
        <w:t xml:space="preserve"> </w:t>
      </w:r>
      <w:r>
        <w:rPr>
          <w:rStyle w:val="VerbatimChar"/>
        </w:rPr>
        <w:t xml:space="preserve">setnayan.com/dashboard/admin/editorial</w:t>
      </w:r>
    </w:p>
    <w:p>
      <w:pPr>
        <w:pStyle w:val="FirstParagraph"/>
      </w:pPr>
      <w:r>
        <w:t xml:space="preserve">New section inside 0023 Admin Console. Detail in section 6.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79fec642ca99dbc1043008901e371ab5e5b827a"/>
    <w:p>
      <w:pPr>
        <w:pStyle w:val="Heading2"/>
      </w:pPr>
      <w:r>
        <w:t xml:space="preserve">3. Content production pattern (git-tracked MD)</w:t>
      </w:r>
    </w:p>
    <w:p>
      <w:pPr>
        <w:pStyle w:val="FirstParagraph"/>
      </w:pPr>
      <w:r>
        <w:rPr>
          <w:b/>
          <w:bCs/>
        </w:rPr>
        <w:t xml:space="preserve">Decision (per CLAUDE.md 2026-05-19 decision log):</w:t>
      </w:r>
      <w:r>
        <w:t xml:space="preserve"> </w:t>
      </w:r>
      <w:r>
        <w:t xml:space="preserve">content lives as markdown files in the monorepo under</w:t>
      </w:r>
      <w:r>
        <w:t xml:space="preserve"> </w:t>
      </w:r>
      <w:r>
        <w:rPr>
          <w:rStyle w:val="VerbatimChar"/>
        </w:rPr>
        <w:t xml:space="preserve">apps/web/content/editorial/</w:t>
      </w:r>
      <w:r>
        <w:t xml:space="preserve">. Same pattern 0029 Help Center uses. Reasons:</w:t>
      </w:r>
    </w:p>
    <w:p>
      <w:pPr>
        <w:pStyle w:val="Compact"/>
        <w:numPr>
          <w:ilvl w:val="0"/>
          <w:numId w:val="1010"/>
        </w:numPr>
      </w:pPr>
      <w:r>
        <w:t xml:space="preserve">Zero new vendor dependency (no Sanity / Contentful / Payload account)</w:t>
      </w:r>
    </w:p>
    <w:p>
      <w:pPr>
        <w:pStyle w:val="Compact"/>
        <w:numPr>
          <w:ilvl w:val="0"/>
          <w:numId w:val="1010"/>
        </w:numPr>
      </w:pPr>
      <w:r>
        <w:t xml:space="preserve">Zero new infrastructure (no separate CMS database, no separate auth)</w:t>
      </w:r>
    </w:p>
    <w:p>
      <w:pPr>
        <w:pStyle w:val="Compact"/>
        <w:numPr>
          <w:ilvl w:val="0"/>
          <w:numId w:val="1010"/>
        </w:numPr>
      </w:pPr>
      <w:r>
        <w:t xml:space="preserve">Editor UX is fine via VS Code or Cursor for owner + small editorial team; non-technical editors can use GitHub’s web editor or Decap CMS as a lightweight Git-backed admin UI (V1.2+ layer if owner asks)</w:t>
      </w:r>
    </w:p>
    <w:p>
      <w:pPr>
        <w:pStyle w:val="Compact"/>
        <w:numPr>
          <w:ilvl w:val="0"/>
          <w:numId w:val="1010"/>
        </w:numPr>
      </w:pPr>
      <w:r>
        <w:t xml:space="preserve">Every draft becomes a PR → preview deploy → owner reviews on a real URL → merge ships it. Same review flow as engineering.</w:t>
      </w:r>
    </w:p>
    <w:p>
      <w:pPr>
        <w:pStyle w:val="Compact"/>
        <w:numPr>
          <w:ilvl w:val="0"/>
          <w:numId w:val="1010"/>
        </w:numPr>
      </w:pPr>
      <w:r>
        <w:t xml:space="preserve">All content version-controlled via git history. No</w:t>
      </w:r>
      <w:r>
        <w:t xml:space="preserve"> </w:t>
      </w:r>
      <w:r>
        <w:t xml:space="preserve">“who changed this 6 months ago”</w:t>
      </w:r>
      <w:r>
        <w:t xml:space="preserve"> </w:t>
      </w:r>
      <w:r>
        <w:t xml:space="preserve">mystery.</w:t>
      </w:r>
    </w:p>
    <w:p>
      <w:pPr>
        <w:pStyle w:val="Compact"/>
        <w:numPr>
          <w:ilvl w:val="0"/>
          <w:numId w:val="1010"/>
        </w:numPr>
      </w:pPr>
      <w:r>
        <w:t xml:space="preserve">Site rebuilds via Next.js ISR on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no manual cache invalidation.</w:t>
      </w:r>
    </w:p>
    <w:bookmarkStart w:id="19" w:name="file-layout"/>
    <w:p>
      <w:pPr>
        <w:pStyle w:val="Heading3"/>
      </w:pPr>
      <w:r>
        <w:t xml:space="preserve">3.1 File layout</w:t>
      </w:r>
    </w:p>
    <w:p>
      <w:pPr>
        <w:pStyle w:val="SourceCode"/>
      </w:pPr>
      <w:r>
        <w:rPr>
          <w:rStyle w:val="VerbatimChar"/>
        </w:rPr>
        <w:t xml:space="preserve">apps/web/content/editorial/</w:t>
      </w:r>
      <w:r>
        <w:br/>
      </w:r>
      <w:r>
        <w:rPr>
          <w:rStyle w:val="VerbatimChar"/>
        </w:rPr>
        <w:t xml:space="preserve">├── articles/</w:t>
      </w:r>
      <w:r>
        <w:br/>
      </w:r>
      <w:r>
        <w:rPr>
          <w:rStyle w:val="VerbatimChar"/>
        </w:rPr>
        <w:t xml:space="preserve">│   ├── 2026-05-19_what-to-do-12-months-before-your-philippine-wedding.md</w:t>
      </w:r>
      <w:r>
        <w:br/>
      </w:r>
      <w:r>
        <w:rPr>
          <w:rStyle w:val="VerbatimChar"/>
        </w:rPr>
        <w:t xml:space="preserve">│   ├── 2026-05-22_understanding-bir-receipts-from-your-vendors.md</w:t>
      </w:r>
      <w:r>
        <w:br/>
      </w:r>
      <w:r>
        <w:rPr>
          <w:rStyle w:val="VerbatimChar"/>
        </w:rPr>
        <w:t xml:space="preserve">│   └── sponsored/</w:t>
      </w:r>
      <w:r>
        <w:br/>
      </w:r>
      <w:r>
        <w:rPr>
          <w:rStyle w:val="VerbatimChar"/>
        </w:rPr>
        <w:t xml:space="preserve">│       └── 2026-06-01_sponsored-bdo-wedding-loans.md</w:t>
      </w:r>
      <w:r>
        <w:br/>
      </w:r>
      <w:r>
        <w:rPr>
          <w:rStyle w:val="VerbatimChar"/>
        </w:rPr>
        <w:t xml:space="preserve">├── recommendations/</w:t>
      </w:r>
      <w:r>
        <w:br/>
      </w:r>
      <w:r>
        <w:rPr>
          <w:rStyle w:val="VerbatimChar"/>
        </w:rPr>
        <w:t xml:space="preserve">│   ├── honeymoon-travel.md</w:t>
      </w:r>
      <w:r>
        <w:br/>
      </w:r>
      <w:r>
        <w:rPr>
          <w:rStyle w:val="VerbatimChar"/>
        </w:rPr>
        <w:t xml:space="preserve">│   ├── bridal-gowns.md</w:t>
      </w:r>
      <w:r>
        <w:br/>
      </w:r>
      <w:r>
        <w:rPr>
          <w:rStyle w:val="VerbatimChar"/>
        </w:rPr>
        <w:t xml:space="preserve">│   └── paper-and-stationery.md</w:t>
      </w:r>
      <w:r>
        <w:br/>
      </w:r>
      <w:r>
        <w:rPr>
          <w:rStyle w:val="VerbatimChar"/>
        </w:rPr>
        <w:t xml:space="preserve">└── affiliate-merchants.yml</w:t>
      </w:r>
    </w:p>
    <w:bookmarkEnd w:id="19"/>
    <w:bookmarkStart w:id="20" w:name="article-frontmatter-schema"/>
    <w:p>
      <w:pPr>
        <w:pStyle w:val="Heading3"/>
      </w:pPr>
      <w:r>
        <w:t xml:space="preserve">3.2 Article frontmatter schema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slug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what-to-do-12-months-before-your-philippine-wedding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"What to do 12 months before your Philippine wedding"</w:t>
      </w:r>
      <w:r>
        <w:br/>
      </w:r>
      <w:r>
        <w:rPr>
          <w:rStyle w:val="FunctionTok"/>
        </w:rPr>
        <w:t xml:space="preserve">excerpt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first three months of planning shape every decision after them. Here's the order we recommend."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planning</w:t>
      </w:r>
      <w:r>
        <w:rPr>
          <w:rStyle w:val="CommentTok"/>
        </w:rPr>
        <w:t xml:space="preserve">            # planning | vendors | culture | real-weddings | setnayan-news</w:t>
      </w:r>
      <w:r>
        <w:br/>
      </w:r>
      <w:r>
        <w:rPr>
          <w:rStyle w:val="FunctionTok"/>
        </w:rPr>
        <w:t xml:space="preserve">cover_image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/editorial/covers/12-months-out.jpg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Setnayan Editorial</w:t>
      </w:r>
      <w:r>
        <w:br/>
      </w:r>
      <w:r>
        <w:rPr>
          <w:rStyle w:val="FunctionTok"/>
        </w:rPr>
        <w:t xml:space="preserve">published_at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2026-05-19</w:t>
      </w:r>
      <w:r>
        <w:br/>
      </w:r>
      <w:r>
        <w:rPr>
          <w:rStyle w:val="FunctionTok"/>
        </w:rPr>
        <w:t xml:space="preserve">last_updated_at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2026-05-19</w:t>
      </w:r>
      <w:r>
        <w:br/>
      </w:r>
      <w:r>
        <w:rPr>
          <w:rStyle w:val="FunctionTok"/>
        </w:rPr>
        <w:t xml:space="preserve">estimated_read_time_minutes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FunctionTok"/>
        </w:rPr>
        <w:t xml:space="preserve">is_featured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is_paid_placement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TRUE for sponsored content</w:t>
      </w:r>
      <w:r>
        <w:br/>
      </w:r>
      <w:r>
        <w:rPr>
          <w:rStyle w:val="FunctionTok"/>
        </w:rPr>
        <w:t xml:space="preserve">sponsor_name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  # required if is_paid_placement = true</w:t>
      </w:r>
      <w:r>
        <w:br/>
      </w:r>
      <w:r>
        <w:rPr>
          <w:rStyle w:val="FunctionTok"/>
        </w:rPr>
        <w:t xml:space="preserve">sponsor_disclosure_text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# required if is_paid_placement = true</w:t>
      </w:r>
      <w:r>
        <w:br/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first-time-planner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timeline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budget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locale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rPr>
          <w:rStyle w:val="CommentTok"/>
        </w:rPr>
        <w:t xml:space="preserve">                     # en | tl (CEB deferred to V1.5)</w:t>
      </w:r>
      <w:r>
        <w:br/>
      </w:r>
      <w:r>
        <w:rPr>
          <w:rStyle w:val="PreprocessorTok"/>
        </w:rPr>
        <w:t xml:space="preserve">---</w:t>
      </w:r>
    </w:p>
    <w:bookmarkEnd w:id="20"/>
    <w:bookmarkStart w:id="21" w:name="recommendation-page-frontmatter-schema"/>
    <w:p>
      <w:pPr>
        <w:pStyle w:val="Heading3"/>
      </w:pPr>
      <w:r>
        <w:t xml:space="preserve">3.3 Recommendation page frontmatter schema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honeymoon-travel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"Where Setnayan couples go for honeymoons"</w:t>
      </w:r>
      <w:r>
        <w:br/>
      </w:r>
      <w:r>
        <w:rPr>
          <w:rStyle w:val="FunctionTok"/>
        </w:rPr>
        <w:t xml:space="preserve">intro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"Three island stays, one mainland city break. Picked for trustworthy concierge service, transparent pricing, and reliable WiFi for the couple's first away-from-the-wedding workdays."</w:t>
      </w:r>
      <w:r>
        <w:br/>
      </w:r>
      <w:r>
        <w:rPr>
          <w:rStyle w:val="FunctionTok"/>
        </w:rPr>
        <w:t xml:space="preserve">last_reviewed_at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2026-05-19</w:t>
      </w:r>
      <w:r>
        <w:br/>
      </w:r>
      <w:r>
        <w:rPr>
          <w:rStyle w:val="FunctionTok"/>
        </w:rPr>
        <w:t xml:space="preserve">picks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merchant_slug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agoda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merchant_name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Agoda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product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Boracay 4-night stay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price_band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"₱₱"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why_we_picked_it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Reliable inventory across the island, including the small boutique stays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Flexible cancellation policy on most properties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Pesos billing — no FX surprises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editor_commentary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"Agoda's Boracay coverage is the deepest in Southeast Asia and the cancellation windows are couple-friendly."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affiliate_link_id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agoda_boracay_4n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merchant_slug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klook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merchant_name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Klook</w:t>
      </w:r>
      <w:r>
        <w:br/>
      </w:r>
      <w:r>
        <w:rPr>
          <w:rStyle w:val="AttributeTok"/>
        </w:rPr>
        <w:t xml:space="preserve">    ...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 picks array is the source of truth — render is automatic.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affiliate-link-tracking"/>
    <w:p>
      <w:pPr>
        <w:pStyle w:val="Heading2"/>
      </w:pPr>
      <w:r>
        <w:t xml:space="preserve">4. Affiliate-link tracking</w:t>
      </w:r>
    </w:p>
    <w:bookmarkStart w:id="23" w:name="X789a98b1ac1414b4ca682967d96238e8d2316d9"/>
    <w:p>
      <w:pPr>
        <w:pStyle w:val="Heading3"/>
      </w:pPr>
      <w:r>
        <w:t xml:space="preserve">4.1 Affiliate-network choice (V1.1 owner action)</w:t>
      </w:r>
    </w:p>
    <w:p>
      <w:pPr>
        <w:pStyle w:val="FirstParagraph"/>
      </w:pPr>
      <w:r>
        <w:t xml:space="preserve">Owner picks ONE primary affiliate network at V1.1 kickoff. Recommended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Involve Asia</w:t>
      </w:r>
      <w:r>
        <w:t xml:space="preserve"> </w:t>
      </w:r>
      <w:r>
        <w:t xml:space="preserve">(PH-focused affiliate network) — strongest PH merchant coverage (Klook, Lazada, Shopee, Agoda, Trip.com, BDO, Vivere); single dashboard. ~5% net of commission goes to Involve Asia.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Direct merchant programs</w:t>
      </w:r>
      <w:r>
        <w:t xml:space="preserve"> </w:t>
      </w:r>
      <w:r>
        <w:t xml:space="preserve">— Agoda Partner, Klook Affiliate, Booking.com Affiliate, Shopee Affiliates Program — higher cut but each is a separate signup + dashboard. Pile up these as Setnayan scales.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 / CJ Affiliate</w:t>
      </w:r>
      <w:r>
        <w:t xml:space="preserve"> </w:t>
      </w:r>
      <w:r>
        <w:t xml:space="preserve">— global networks; add only if a specific premium merchant is on them and not on Involve Asia.</w:t>
      </w:r>
    </w:p>
    <w:p>
      <w:pPr>
        <w:pStyle w:val="FirstParagraph"/>
      </w:pPr>
      <w:r>
        <w:t xml:space="preserve">Spec ships network-agnostic —</w:t>
      </w:r>
      <w:r>
        <w:t xml:space="preserve"> </w:t>
      </w:r>
      <w:r>
        <w:rPr>
          <w:rStyle w:val="VerbatimChar"/>
        </w:rPr>
        <w:t xml:space="preserve">affiliate_links</w:t>
      </w:r>
      <w:r>
        <w:t xml:space="preserve"> </w:t>
      </w:r>
      <w:r>
        <w:t xml:space="preserve">table stores the prepared outbound URL (already encoded with the appropriate affiliate ID per network) and a logical</w:t>
      </w:r>
      <w:r>
        <w:t xml:space="preserve"> </w:t>
      </w:r>
      <w:r>
        <w:rPr>
          <w:rStyle w:val="VerbatimChar"/>
        </w:rPr>
        <w:t xml:space="preserve">merchant_slug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network_key</w:t>
      </w:r>
      <w:r>
        <w:t xml:space="preserve">.</w:t>
      </w:r>
    </w:p>
    <w:bookmarkEnd w:id="23"/>
    <w:bookmarkStart w:id="24" w:name="click-tracking-posthog-no-pii"/>
    <w:p>
      <w:pPr>
        <w:pStyle w:val="Heading3"/>
      </w:pPr>
      <w:r>
        <w:t xml:space="preserve">4.2 Click tracking (PostHog · no PII)</w:t>
      </w:r>
    </w:p>
    <w:p>
      <w:pPr>
        <w:pStyle w:val="FirstParagraph"/>
      </w:pPr>
      <w:r>
        <w:t xml:space="preserve">Every click on a</w:t>
      </w:r>
      <w:r>
        <w:t xml:space="preserve"> </w:t>
      </w:r>
      <w:r>
        <w:rPr>
          <w:rStyle w:val="VerbatimChar"/>
        </w:rPr>
        <w:t xml:space="preserve">data-affiliate="true"</w:t>
      </w:r>
      <w:r>
        <w:t xml:space="preserve"> </w:t>
      </w:r>
      <w:r>
        <w:t xml:space="preserve">link fires a PostHog event:</w:t>
      </w:r>
    </w:p>
    <w:p>
      <w:pPr>
        <w:pStyle w:val="SourceCode"/>
      </w:pPr>
      <w:r>
        <w:rPr>
          <w:rStyle w:val="NormalTok"/>
        </w:rPr>
        <w:t xml:space="preserve">posthog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capture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'affiliate_link_clicked'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merchant_slug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'agoda'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network_key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'involve_asia'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affiliate_link_id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'agoda_boracay_4n'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source_page_type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'recommendation_category'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 'article' or 'sponsored_article'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source_page_slug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'honeymoon-travel'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'honeymoon-travel'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position_in_list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user identifiers, NO IP, NO referrer beyond same-domain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Properties are aggregate-only. No</w:t>
      </w:r>
      <w:r>
        <w:t xml:space="preserve"> </w:t>
      </w:r>
      <w:r>
        <w:rPr>
          <w:rStyle w:val="VerbatimChar"/>
        </w:rPr>
        <w:t xml:space="preserve">distinct_id</w:t>
      </w:r>
      <w:r>
        <w:t xml:space="preserve"> </w:t>
      </w:r>
      <w:r>
        <w:t xml:space="preserve">is sent on this event — PostHog still attributes via session, but we explicitly do NOT couple this to the authenticated user (no</w:t>
      </w:r>
      <w:r>
        <w:t xml:space="preserve"> </w:t>
      </w:r>
      <w:r>
        <w:rPr>
          <w:rStyle w:val="VerbatimChar"/>
        </w:rPr>
        <w:t xml:space="preserve">posthog.identify()</w:t>
      </w:r>
      <w:r>
        <w:t xml:space="preserve"> </w:t>
      </w:r>
      <w:r>
        <w:t xml:space="preserve">between the page load and the click). RA 10173 posture: aggregate analytics on first-party traffic is in-scope; cross-device personalization is not.</w:t>
      </w:r>
    </w:p>
    <w:bookmarkEnd w:id="24"/>
    <w:bookmarkStart w:id="25" w:name="X6279fa8c9c8b1da58b4ee0e31e940d631609c23"/>
    <w:p>
      <w:pPr>
        <w:pStyle w:val="Heading3"/>
      </w:pPr>
      <w:r>
        <w:t xml:space="preserve">4.3 Conversion tracking (when network supports postback)</w:t>
      </w:r>
    </w:p>
    <w:p>
      <w:pPr>
        <w:pStyle w:val="FirstParagraph"/>
      </w:pPr>
      <w:r>
        <w:t xml:space="preserve">Involve Asia + Impact + CJ support server-to-server postbacks on completed bookings. We expose a single endpoint:</w:t>
      </w:r>
    </w:p>
    <w:p>
      <w:pPr>
        <w:pStyle w:val="SourceCode"/>
      </w:pPr>
      <w:r>
        <w:rPr>
          <w:rStyle w:val="VerbatimChar"/>
        </w:rPr>
        <w:t xml:space="preserve">POST /api/affiliates/postback?network=involve_asia</w:t>
      </w:r>
    </w:p>
    <w:p>
      <w:pPr>
        <w:pStyle w:val="FirstParagraph"/>
      </w:pPr>
      <w:r>
        <w:t xml:space="preserve">Network sends</w:t>
      </w:r>
      <w:r>
        <w:t xml:space="preserve"> </w:t>
      </w:r>
      <w:r>
        <w:rPr>
          <w:rStyle w:val="VerbatimChar"/>
        </w:rPr>
        <w:t xml:space="preserve">{ click_id, payout_amount_centavos, conversion_at, merchant_slug }</w:t>
      </w:r>
      <w:r>
        <w:t xml:space="preserve">. We store in</w:t>
      </w:r>
      <w:r>
        <w:t xml:space="preserve"> </w:t>
      </w:r>
      <w:r>
        <w:rPr>
          <w:rStyle w:val="VerbatimChar"/>
        </w:rPr>
        <w:t xml:space="preserve">affiliate_conversions</w:t>
      </w:r>
      <w:r>
        <w:t xml:space="preserve">. Used for internal revenue reporting in 0023, never surfaced to the user who clicked (no PII linkage by design — we only know</w:t>
      </w:r>
      <w:r>
        <w:t xml:space="preserve"> </w:t>
      </w:r>
      <w:r>
        <w:t xml:space="preserve">“a click on this</w:t>
      </w:r>
      <w:r>
        <w:t xml:space="preserve"> </w:t>
      </w:r>
      <w:r>
        <w:rPr>
          <w:rStyle w:val="VerbatimChar"/>
        </w:rPr>
        <w:t xml:space="preserve">affiliate_link_id</w:t>
      </w:r>
      <w:r>
        <w:t xml:space="preserve"> </w:t>
      </w:r>
      <w:r>
        <w:t xml:space="preserve">eventually converted for ₱X”</w:t>
      </w:r>
      <w:r>
        <w:t xml:space="preserve">).</w:t>
      </w:r>
    </w:p>
    <w:bookmarkEnd w:id="25"/>
    <w:bookmarkStart w:id="26" w:name="disclosure-rules-non-negotiable"/>
    <w:p>
      <w:pPr>
        <w:pStyle w:val="Heading3"/>
      </w:pPr>
      <w:r>
        <w:t xml:space="preserve">4.4 Disclosure rules (non-negotiable)</w:t>
      </w:r>
    </w:p>
    <w:p>
      <w:pPr>
        <w:pStyle w:val="Compact"/>
        <w:numPr>
          <w:ilvl w:val="0"/>
          <w:numId w:val="1012"/>
        </w:numPr>
      </w:pPr>
      <w:r>
        <w:t xml:space="preserve">Every recommendation page top + bottom:</w:t>
      </w:r>
      <w:r>
        <w:t xml:space="preserve"> </w:t>
      </w:r>
      <w:r>
        <w:t xml:space="preserve">“Setnayan may earn a commission when you book or buy through links on this page.”</w:t>
      </w:r>
    </w:p>
    <w:p>
      <w:pPr>
        <w:pStyle w:val="Compact"/>
        <w:numPr>
          <w:ilvl w:val="0"/>
          <w:numId w:val="1012"/>
        </w:numPr>
      </w:pPr>
      <w:r>
        <w:t xml:space="preserve">Every recommendation card CTA:</w:t>
      </w:r>
      <w:r>
        <w:t xml:space="preserve"> </w:t>
      </w:r>
      <w:r>
        <w:t xml:space="preserve">“Sponsored link — Setnayan may earn a commission”</w:t>
      </w:r>
      <w:r>
        <w:t xml:space="preserve"> </w:t>
      </w:r>
      <w:r>
        <w:t xml:space="preserve">beneath the button.</w:t>
      </w:r>
    </w:p>
    <w:p>
      <w:pPr>
        <w:pStyle w:val="Compact"/>
        <w:numPr>
          <w:ilvl w:val="0"/>
          <w:numId w:val="1012"/>
        </w:numPr>
      </w:pPr>
      <w:r>
        <w:t xml:space="preserve">Every inline article link to an affiliate-allowlisted domain: small</w:t>
      </w:r>
      <w:r>
        <w:t xml:space="preserve"> </w:t>
      </w:r>
      <w:r>
        <w:t xml:space="preserve">“↗”</w:t>
      </w:r>
      <w:r>
        <w:t xml:space="preserve"> </w:t>
      </w:r>
      <w:r>
        <w:t xml:space="preserve">affiliate-pill suffix after the link text, with hover tooltip</w:t>
      </w:r>
      <w:r>
        <w:t xml:space="preserve"> </w:t>
      </w:r>
      <w:r>
        <w:t xml:space="preserve">“Setnayan may earn a commission.”</w:t>
      </w:r>
    </w:p>
    <w:p>
      <w:pPr>
        <w:pStyle w:val="Compact"/>
        <w:numPr>
          <w:ilvl w:val="0"/>
          <w:numId w:val="1012"/>
        </w:numPr>
      </w:pPr>
      <w:r>
        <w:t xml:space="preserve">Sponsored content articles carry the heavier disclosure pattern in § 2.5.</w:t>
      </w:r>
    </w:p>
    <w:p>
      <w:pPr>
        <w:pStyle w:val="FirstParagraph"/>
      </w:pPr>
      <w:r>
        <w:t xml:space="preserve">Disclosure renderer is centralized in the page template — editors cannot disable it.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chema-additions"/>
    <w:p>
      <w:pPr>
        <w:pStyle w:val="Heading2"/>
      </w:pPr>
      <w:r>
        <w:t xml:space="preserve">5. Schema additions</w:t>
      </w:r>
    </w:p>
    <w:p>
      <w:pPr>
        <w:pStyle w:val="FirstParagraph"/>
      </w:pPr>
      <w:r>
        <w:t xml:space="preserve">All additions live alongside the existing 0015 marketing-site tables. None of these store PII.</w:t>
      </w:r>
    </w:p>
    <w:p>
      <w:pPr>
        <w:pStyle w:val="SourceCode"/>
      </w:pPr>
      <w:r>
        <w:rPr>
          <w:rStyle w:val="CommentTok"/>
        </w:rPr>
        <w:t xml:space="preserve">-- 5.1 Editorial articles registry (mirrors the MD files for fast queries + admin surface)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editorial_articles (</w:t>
      </w:r>
      <w:r>
        <w:br/>
      </w:r>
      <w:r>
        <w:rPr>
          <w:rStyle w:val="NormalTok"/>
        </w:rPr>
        <w:t xml:space="preserve">  article_id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slug     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excerpt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'planning'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'culture'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'real-weddings'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'setnayan-news'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cover_image_path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author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'Setnayan Editorial'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estimated_read_time_minutes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is_featured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is_paid_placement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sponsor_name         text,</w:t>
      </w:r>
      <w:r>
        <w:br/>
      </w:r>
      <w:r>
        <w:rPr>
          <w:rStyle w:val="NormalTok"/>
        </w:rPr>
        <w:t xml:space="preserve">  sponsor_disclosure_text text,</w:t>
      </w:r>
      <w:r>
        <w:br/>
      </w:r>
      <w:r>
        <w:rPr>
          <w:rStyle w:val="NormalTok"/>
        </w:rPr>
        <w:t xml:space="preserve">  tags               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locale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'tl'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published_at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last_updated_at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source_md_path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git-tracked file path for traceability</w:t>
      </w:r>
      <w:r>
        <w:br/>
      </w:r>
      <w:r>
        <w:rPr>
          <w:rStyle w:val="NormalTok"/>
        </w:rPr>
        <w:t xml:space="preserve">  view_count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sponsored_requires_metadata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((is_paid_placement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(sponsor_name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sponsor_disclosure_text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editorial_articles_category_published_idx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editorial_articles (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editorial_articles_featured_idx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editorial_articles (is_featured)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is_featured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editorial_articles_sponsored_idx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editorial_articles (is_paid_placement,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-- 5.2 Recommendation pages (one row per category)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recommendation_pages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intro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last_reviewed_at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picks_count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source_md_path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view_count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-- 5.3 Affiliate links registry (one row per (merchant_slug, affiliate_link_id))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affiliate_links (</w:t>
      </w:r>
      <w:r>
        <w:br/>
      </w:r>
      <w:r>
        <w:rPr>
          <w:rStyle w:val="NormalTok"/>
        </w:rPr>
        <w:t xml:space="preserve">  affiliate_link_id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merchant_slug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merchant_name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network_key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(network_key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'involve_asia'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'agoda_direct'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'klook_direct'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'shopee'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'lazada'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'impact'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'cj'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outbound_url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pre-encoded with affiliate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notes                text,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affiliate_links_merchant_idx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affiliate_links (merchant_slug);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affiliate_links_active_idx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affiliate_links (is_active)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-- 5.4 Affiliate conversions (postback log for revenue reporting)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affiliate_conversions (</w:t>
      </w:r>
      <w:r>
        <w:br/>
      </w:r>
      <w:r>
        <w:rPr>
          <w:rStyle w:val="NormalTok"/>
        </w:rPr>
        <w:t xml:space="preserve">  conversion_id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affiliate_link_id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affiliate_links (affiliate_link_id),</w:t>
      </w:r>
      <w:r>
        <w:br/>
      </w:r>
      <w:r>
        <w:rPr>
          <w:rStyle w:val="NormalTok"/>
        </w:rPr>
        <w:t xml:space="preserve">  network_key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network_click_id     text,</w:t>
      </w:r>
      <w:r>
        <w:br/>
      </w:r>
      <w:r>
        <w:rPr>
          <w:rStyle w:val="NormalTok"/>
        </w:rPr>
        <w:t xml:space="preserve">  payout_amount_centavos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payout_currency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conversion_at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reported_at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raw_postback_payload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(network_key, network_click_id)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affiliate_conversions_link_idx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affiliate_conversions (affiliate_link_id, conversion_at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-- 5.5 Sponsored content ratecard + booked slots (admin-managed)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sponsored_slot_bookings (</w:t>
      </w:r>
      <w:r>
        <w:br/>
      </w:r>
      <w:r>
        <w:rPr>
          <w:rStyle w:val="NormalTok"/>
        </w:rPr>
        <w:t xml:space="preserve">  slot_booking_id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sponsor_name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sponsor_contact_email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sponsor_contact_phone text,</w:t>
      </w:r>
      <w:r>
        <w:br/>
      </w:r>
      <w:r>
        <w:rPr>
          <w:rStyle w:val="NormalTok"/>
        </w:rPr>
        <w:t xml:space="preserve">  vendor_id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 (vendor_id),  </w:t>
      </w:r>
      <w:r>
        <w:rPr>
          <w:rStyle w:val="CommentTok"/>
        </w:rPr>
        <w:t xml:space="preserve">-- nullable: external sponsors allowed</w:t>
      </w:r>
      <w:r>
        <w:br/>
      </w:r>
      <w:r>
        <w:rPr>
          <w:rStyle w:val="NormalTok"/>
        </w:rPr>
        <w:t xml:space="preserve">  slot_type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(slot_type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'sponsored_article'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'newsletter_sponsorship'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'recommendation_card'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agreed_rate_centavos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scheduled_publish_at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draft_url            text,            </w:t>
      </w:r>
      <w:r>
        <w:rPr>
          <w:rStyle w:val="CommentTok"/>
        </w:rPr>
        <w:t xml:space="preserve">-- preview deploy URL</w:t>
      </w:r>
      <w:r>
        <w:br/>
      </w:r>
      <w:r>
        <w:rPr>
          <w:rStyle w:val="NormalTok"/>
        </w:rPr>
        <w:t xml:space="preserve">  published_article_slug text,           </w:t>
      </w:r>
      <w:r>
        <w:rPr>
          <w:rStyle w:val="CommentTok"/>
        </w:rPr>
        <w:t xml:space="preserve">-- populated post-publish</w:t>
      </w:r>
      <w:r>
        <w:br/>
      </w:r>
      <w:r>
        <w:rPr>
          <w:rStyle w:val="NormalTok"/>
        </w:rPr>
        <w:t xml:space="preserve">  payment_status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'pending_invoice'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'refunded'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internal_notes       text,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created_by_admin_id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sponsored_slot_bookings_status_idx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sponsored_slot_bookings (payment_status, scheduled_publish_at);</w:t>
      </w:r>
    </w:p>
    <w:p>
      <w:r>
        <w:pict>
          <v:rect style="width:0;height:1.5pt" o:hralign="center" o:hrstd="t" o:hr="t"/>
        </w:pict>
      </w:r>
    </w:p>
    <w:bookmarkEnd w:id="28"/>
    <w:bookmarkStart w:id="32" w:name="admin-editorial-console-extends-0023"/>
    <w:p>
      <w:pPr>
        <w:pStyle w:val="Heading2"/>
      </w:pPr>
      <w:r>
        <w:t xml:space="preserve">6. Admin editorial console (extends 0023)</w:t>
      </w:r>
    </w:p>
    <w:p>
      <w:pPr>
        <w:pStyle w:val="FirstParagraph"/>
      </w:pPr>
      <w:r>
        <w:t xml:space="preserve">New tab in 0023 Admin Console:</w:t>
      </w:r>
      <w:r>
        <w:t xml:space="preserve"> </w:t>
      </w:r>
      <w:r>
        <w:rPr>
          <w:b/>
          <w:bCs/>
        </w:rPr>
        <w:t xml:space="preserve">Editorial</w:t>
      </w:r>
      <w:r>
        <w:t xml:space="preserve"> </w:t>
      </w:r>
      <w:r>
        <w:t xml:space="preserve">(insert after</w:t>
      </w:r>
      <w:r>
        <w:t xml:space="preserve"> </w:t>
      </w:r>
      <w:r>
        <w:t xml:space="preserve">“Pricing Catalog”</w:t>
      </w:r>
      <w:r>
        <w:t xml:space="preserve">, before</w:t>
      </w:r>
      <w:r>
        <w:t xml:space="preserve"> </w:t>
      </w:r>
      <w:r>
        <w:t xml:space="preserve">“Funnels”</w:t>
      </w:r>
      <w:r>
        <w:t xml:space="preserve">). Three sub-tabs:</w:t>
      </w:r>
    </w:p>
    <w:bookmarkStart w:id="29" w:name="articles"/>
    <w:p>
      <w:pPr>
        <w:pStyle w:val="Heading3"/>
      </w:pPr>
      <w:r>
        <w:t xml:space="preserve">6.1 Articles</w:t>
      </w:r>
    </w:p>
    <w:p>
      <w:pPr>
        <w:pStyle w:val="Compact"/>
        <w:numPr>
          <w:ilvl w:val="0"/>
          <w:numId w:val="1013"/>
        </w:numPr>
      </w:pPr>
      <w:r>
        <w:t xml:space="preserve">Sortable + filterable table of</w:t>
      </w:r>
      <w:r>
        <w:t xml:space="preserve"> </w:t>
      </w:r>
      <w:r>
        <w:rPr>
          <w:rStyle w:val="VerbatimChar"/>
        </w:rPr>
        <w:t xml:space="preserve">editorial_articles</w:t>
      </w:r>
      <w:r>
        <w:t xml:space="preserve">. Columns: title · category · author · published_at · is_paid_placement (✓ chip if true) · view_count (rolling 30d) ·</w:t>
      </w:r>
      <w:r>
        <w:t xml:space="preserve"> </w:t>
      </w:r>
      <w:r>
        <w:t xml:space="preserve">“Open in git”</w:t>
      </w:r>
      <w:r>
        <w:t xml:space="preserve"> </w:t>
      </w:r>
      <w:r>
        <w:t xml:space="preserve">link → opens</w:t>
      </w:r>
      <w:r>
        <w:t xml:space="preserve"> </w:t>
      </w:r>
      <w:r>
        <w:rPr>
          <w:rStyle w:val="VerbatimChar"/>
        </w:rPr>
        <w:t xml:space="preserve">apps/web/content/editorial/articles/[file].md</w:t>
      </w:r>
      <w:r>
        <w:t xml:space="preserve"> </w:t>
      </w:r>
      <w:r>
        <w:t xml:space="preserve">on GitHub web editor.</w:t>
      </w:r>
    </w:p>
    <w:p>
      <w:pPr>
        <w:pStyle w:val="Compact"/>
        <w:numPr>
          <w:ilvl w:val="0"/>
          <w:numId w:val="1013"/>
        </w:numPr>
      </w:pPr>
      <w:r>
        <w:t xml:space="preserve">Filter chips: All · Editorial · Sponsored · Featured · Last 30 days</w:t>
      </w:r>
    </w:p>
    <w:p>
      <w:pPr>
        <w:pStyle w:val="Compact"/>
        <w:numPr>
          <w:ilvl w:val="0"/>
          <w:numId w:val="1013"/>
        </w:numPr>
      </w:pPr>
      <w:r>
        <w:t xml:space="preserve">“New article”</w:t>
      </w:r>
      <w:r>
        <w:t xml:space="preserve"> </w:t>
      </w:r>
      <w:r>
        <w:t xml:space="preserve">button → opens GitHub web editor on a templated blank MD file pre-filled with the frontmatter scaffold</w:t>
      </w:r>
    </w:p>
    <w:bookmarkEnd w:id="29"/>
    <w:bookmarkStart w:id="30" w:name="sponsored-slots"/>
    <w:p>
      <w:pPr>
        <w:pStyle w:val="Heading3"/>
      </w:pPr>
      <w:r>
        <w:t xml:space="preserve">6.2 Sponsored slots</w:t>
      </w:r>
    </w:p>
    <w:p>
      <w:pPr>
        <w:pStyle w:val="Compact"/>
        <w:numPr>
          <w:ilvl w:val="0"/>
          <w:numId w:val="1014"/>
        </w:numPr>
      </w:pPr>
      <w:r>
        <w:t xml:space="preserve">Table of</w:t>
      </w:r>
      <w:r>
        <w:t xml:space="preserve"> </w:t>
      </w:r>
      <w:r>
        <w:rPr>
          <w:rStyle w:val="VerbatimChar"/>
        </w:rPr>
        <w:t xml:space="preserve">sponsored_slot_bookings</w:t>
      </w:r>
      <w:r>
        <w:t xml:space="preserve">. Columns: sponsor_name · slot_type · scheduled_publish_at · agreed_rate · payment_status (with badge) · published_article_slug (link if filled) · actions</w:t>
      </w:r>
    </w:p>
    <w:p>
      <w:pPr>
        <w:pStyle w:val="Compact"/>
        <w:numPr>
          <w:ilvl w:val="0"/>
          <w:numId w:val="1014"/>
        </w:numPr>
      </w:pPr>
      <w:r>
        <w:t xml:space="preserve">Two-admin approval gate (per 0023 § 9.1) on any sponsored slot with</w:t>
      </w:r>
      <w:r>
        <w:t xml:space="preserve"> </w:t>
      </w:r>
      <w:r>
        <w:rPr>
          <w:rStyle w:val="VerbatimChar"/>
        </w:rPr>
        <w:t xml:space="preserve">agreed_rate_centavos &gt;= 100_000_00</w:t>
      </w:r>
      <w:r>
        <w:t xml:space="preserve"> </w:t>
      </w:r>
      <w:r>
        <w:t xml:space="preserve">(₱100K+) — single-admin OK below that</w:t>
      </w:r>
    </w:p>
    <w:p>
      <w:pPr>
        <w:pStyle w:val="Compact"/>
        <w:numPr>
          <w:ilvl w:val="0"/>
          <w:numId w:val="1014"/>
        </w:numPr>
      </w:pPr>
      <w:r>
        <w:t xml:space="preserve">“New sponsored slot”</w:t>
      </w:r>
      <w:r>
        <w:t xml:space="preserve"> </w:t>
      </w:r>
      <w:r>
        <w:t xml:space="preserve">button → modal with sponsor details + slot type + rate + scheduled publish + internal notes</w:t>
      </w:r>
    </w:p>
    <w:p>
      <w:pPr>
        <w:pStyle w:val="Compact"/>
        <w:numPr>
          <w:ilvl w:val="0"/>
          <w:numId w:val="1014"/>
        </w:numPr>
      </w:pPr>
      <w:r>
        <w:t xml:space="preserve">“Mark paid”</w:t>
      </w:r>
      <w:r>
        <w:t xml:space="preserve"> </w:t>
      </w:r>
      <w:r>
        <w:t xml:space="preserve">action → flips payment_status to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fires receipt email via 0028 template</w:t>
      </w:r>
      <w:r>
        <w:t xml:space="preserve"> </w:t>
      </w:r>
      <w:r>
        <w:rPr>
          <w:rStyle w:val="VerbatimChar"/>
        </w:rPr>
        <w:t xml:space="preserve">sponsored_slot_paid</w:t>
      </w:r>
    </w:p>
    <w:bookmarkEnd w:id="30"/>
    <w:bookmarkStart w:id="31" w:name="affiliate-revenue"/>
    <w:p>
      <w:pPr>
        <w:pStyle w:val="Heading3"/>
      </w:pPr>
      <w:r>
        <w:t xml:space="preserve">6.3 Affiliate revenue</w:t>
      </w:r>
    </w:p>
    <w:p>
      <w:pPr>
        <w:pStyle w:val="Compact"/>
        <w:numPr>
          <w:ilvl w:val="0"/>
          <w:numId w:val="1015"/>
        </w:numPr>
      </w:pPr>
      <w:r>
        <w:t xml:space="preserve">Read-only revenue table. Columns: merchant_slug · network_key · clicks (30d) · conversions (30d) · payout_amount (30d sum) · CTR · CR</w:t>
      </w:r>
    </w:p>
    <w:p>
      <w:pPr>
        <w:pStyle w:val="Compact"/>
        <w:numPr>
          <w:ilvl w:val="0"/>
          <w:numId w:val="1015"/>
        </w:numPr>
      </w:pPr>
      <w:r>
        <w:t xml:space="preserve">Sort by payout_amount desc by default</w:t>
      </w:r>
    </w:p>
    <w:p>
      <w:pPr>
        <w:pStyle w:val="Compact"/>
        <w:numPr>
          <w:ilvl w:val="0"/>
          <w:numId w:val="1015"/>
        </w:numPr>
      </w:pPr>
      <w:r>
        <w:t xml:space="preserve">Drill-in per merchant: monthly revenue chart + top-converting article slugs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newsletter-sponsorship-extends-0028"/>
    <w:p>
      <w:pPr>
        <w:pStyle w:val="Heading2"/>
      </w:pPr>
      <w:r>
        <w:t xml:space="preserve">7. Newsletter sponsorship (extends 0028)</w:t>
      </w:r>
    </w:p>
    <w:p>
      <w:pPr>
        <w:pStyle w:val="FirstParagraph"/>
      </w:pPr>
      <w:r>
        <w:t xml:space="preserve">Reuses 0028 transactional email infrastructure for editorial-newsletter sponsorship slots — a separate motion from the transactional templates already specced in 0028.</w:t>
      </w:r>
    </w:p>
    <w:bookmarkStart w:id="33" w:name="newsletter-list"/>
    <w:p>
      <w:pPr>
        <w:pStyle w:val="Heading3"/>
      </w:pPr>
      <w:r>
        <w:t xml:space="preserve">7.1 Newsletter list</w:t>
      </w:r>
    </w:p>
    <w:p>
      <w:pPr>
        <w:pStyle w:val="Compact"/>
        <w:numPr>
          <w:ilvl w:val="0"/>
          <w:numId w:val="1016"/>
        </w:numPr>
      </w:pPr>
      <w:r>
        <w:t xml:space="preserve">Subscribers opt in via the existing 0015 newsletter signup modal (already in production)</w:t>
      </w:r>
    </w:p>
    <w:p>
      <w:pPr>
        <w:pStyle w:val="Compact"/>
        <w:numPr>
          <w:ilvl w:val="0"/>
          <w:numId w:val="1016"/>
        </w:numPr>
      </w:pPr>
      <w:r>
        <w:t xml:space="preserve">Stored in</w:t>
      </w:r>
      <w:r>
        <w:t xml:space="preserve"> </w:t>
      </w:r>
      <w:r>
        <w:rPr>
          <w:rStyle w:val="VerbatimChar"/>
        </w:rPr>
        <w:t xml:space="preserve">newsletter_subscribers</w:t>
      </w:r>
      <w:r>
        <w:t xml:space="preserve"> </w:t>
      </w:r>
      <w:r>
        <w:t xml:space="preserve">table (already specced in 0015) with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unsubscribed_at</w:t>
      </w:r>
      <w:r>
        <w:t xml:space="preserve"> </w:t>
      </w:r>
      <w:r>
        <w:t xml:space="preserve">columns</w:t>
      </w:r>
    </w:p>
    <w:p>
      <w:pPr>
        <w:pStyle w:val="Compact"/>
        <w:numPr>
          <w:ilvl w:val="0"/>
          <w:numId w:val="1016"/>
        </w:numPr>
      </w:pPr>
      <w:r>
        <w:t xml:space="preserve">Send cadence: weekly digest of new editorial articles + 1 sponsored slot per send (single-sponsor per send, no list churn from over-monetization)</w:t>
      </w:r>
    </w:p>
    <w:p>
      <w:pPr>
        <w:pStyle w:val="Compact"/>
        <w:numPr>
          <w:ilvl w:val="0"/>
          <w:numId w:val="1016"/>
        </w:numPr>
      </w:pPr>
      <w:r>
        <w:t xml:space="preserve">RFC 8058 one-click unsubscribe (already specced in 0028)</w:t>
      </w:r>
    </w:p>
    <w:bookmarkEnd w:id="33"/>
    <w:bookmarkStart w:id="34" w:name="sponsored-slot-in-newsletter"/>
    <w:p>
      <w:pPr>
        <w:pStyle w:val="Heading3"/>
      </w:pPr>
      <w:r>
        <w:t xml:space="preserve">7.2 Sponsored slot in newsletter</w:t>
      </w:r>
    </w:p>
    <w:p>
      <w:pPr>
        <w:pStyle w:val="Compact"/>
        <w:numPr>
          <w:ilvl w:val="0"/>
          <w:numId w:val="1017"/>
        </w:numPr>
      </w:pPr>
      <w:r>
        <w:t xml:space="preserve">Visually distinct block above the editorial digest, labelled</w:t>
      </w:r>
      <w:r>
        <w:t xml:space="preserve"> </w:t>
      </w:r>
      <w:r>
        <w:t xml:space="preserve">“From our sponsors”</w:t>
      </w:r>
    </w:p>
    <w:p>
      <w:pPr>
        <w:pStyle w:val="Compact"/>
        <w:numPr>
          <w:ilvl w:val="0"/>
          <w:numId w:val="1017"/>
        </w:numPr>
      </w:pPr>
      <w:r>
        <w:t xml:space="preserve">Single sponsor per send. No banner-ad rotation.</w:t>
      </w:r>
    </w:p>
    <w:p>
      <w:pPr>
        <w:pStyle w:val="Compact"/>
        <w:numPr>
          <w:ilvl w:val="0"/>
          <w:numId w:val="1017"/>
        </w:numPr>
      </w:pPr>
      <w:r>
        <w:t xml:space="preserve">Sponsor copy: 80-char headline + 2-line body + 1 CTA button. Setnayan editorial reviews before send (same workflow as sponsored-article moderation).</w:t>
      </w:r>
    </w:p>
    <w:p>
      <w:pPr>
        <w:pStyle w:val="Compact"/>
        <w:numPr>
          <w:ilvl w:val="0"/>
          <w:numId w:val="1017"/>
        </w:numPr>
      </w:pPr>
      <w:r>
        <w:t xml:space="preserve">Ratecard managed via</w:t>
      </w:r>
      <w:r>
        <w:t xml:space="preserve"> </w:t>
      </w:r>
      <w:r>
        <w:rPr>
          <w:rStyle w:val="VerbatimChar"/>
        </w:rPr>
        <w:t xml:space="preserve">sponsored_slot_bookings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slot_type = 'newsletter_sponsorship'</w:t>
      </w:r>
      <w:r>
        <w:t xml:space="preserve">.</w:t>
      </w:r>
    </w:p>
    <w:bookmarkEnd w:id="34"/>
    <w:bookmarkStart w:id="35" w:name="tracking"/>
    <w:p>
      <w:pPr>
        <w:pStyle w:val="Heading3"/>
      </w:pPr>
      <w:r>
        <w:t xml:space="preserve">7.3 Tracking</w:t>
      </w:r>
    </w:p>
    <w:p>
      <w:pPr>
        <w:pStyle w:val="Compact"/>
        <w:numPr>
          <w:ilvl w:val="0"/>
          <w:numId w:val="1018"/>
        </w:numPr>
      </w:pPr>
      <w:r>
        <w:t xml:space="preserve">Click event in PostHog:</w:t>
      </w:r>
      <w:r>
        <w:t xml:space="preserve"> </w:t>
      </w:r>
      <w:r>
        <w:rPr>
          <w:rStyle w:val="VerbatimChar"/>
        </w:rPr>
        <w:t xml:space="preserve">newsletter_sponsor_clicked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slot_booking_id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subscriber_event_hash</w:t>
      </w:r>
      <w:r>
        <w:t xml:space="preserve"> </w:t>
      </w:r>
      <w:r>
        <w:t xml:space="preserve">(one-way hash, no PII)</w:t>
      </w:r>
    </w:p>
    <w:p>
      <w:pPr>
        <w:pStyle w:val="Compact"/>
        <w:numPr>
          <w:ilvl w:val="0"/>
          <w:numId w:val="1018"/>
        </w:numPr>
      </w:pPr>
      <w:r>
        <w:t xml:space="preserve">Aggregate weekly report surfaces in the 0023 § 6.3 Affiliate revenue tab (separate sponsor-newsletter column)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cross-iteration-coordination"/>
    <w:p>
      <w:pPr>
        <w:pStyle w:val="Heading2"/>
      </w:pPr>
      <w:r>
        <w:t xml:space="preserve">8. Cross-iteration coordination</w:t>
      </w:r>
    </w:p>
    <w:bookmarkStart w:id="37" w:name="Xc059edf5fdfcc8b54ddc30052d0194f67911fe1"/>
    <w:p>
      <w:pPr>
        <w:pStyle w:val="Heading3"/>
      </w:pPr>
      <w:r>
        <w:t xml:space="preserve">8.1 Boosted Ads guardrails (coordinates with 0039)</w:t>
      </w:r>
    </w:p>
    <w:p>
      <w:pPr>
        <w:pStyle w:val="FirstParagraph"/>
      </w:pPr>
      <w:r>
        <w:t xml:space="preserve">The AdSense placements specified in 0039 are not allowed on:</w:t>
      </w:r>
      <w:r>
        <w:t xml:space="preserve"> </w:t>
      </w:r>
      <w:r>
        <w:t xml:space="preserve">- Editorial article pages where</w:t>
      </w:r>
      <w:r>
        <w:t xml:space="preserve"> </w:t>
      </w:r>
      <w:r>
        <w:rPr>
          <w:rStyle w:val="VerbatimChar"/>
        </w:rPr>
        <w:t xml:space="preserve">is_paid_placement = TRUE</w:t>
      </w:r>
      <w:r>
        <w:t xml:space="preserve"> </w:t>
      </w:r>
      <w:r>
        <w:t xml:space="preserve">(sponsor paid for the page; no display-ad bleed)</w:t>
      </w:r>
      <w:r>
        <w:t xml:space="preserve"> </w:t>
      </w:r>
      <w:r>
        <w:t xml:space="preserve">- Newsletter sponsored slots (sponsor paid for the slot)</w:t>
      </w:r>
    </w:p>
    <w:p>
      <w:pPr>
        <w:pStyle w:val="BodyText"/>
      </w:pPr>
      <w:r>
        <w:t xml:space="preserve">The AdSense topic filter (set in 0039) excludes wedding/event categories on</w:t>
      </w:r>
      <w:r>
        <w:t xml:space="preserve"> </w:t>
      </w:r>
      <w:r>
        <w:rPr>
          <w:b/>
          <w:bCs/>
        </w:rPr>
        <w:t xml:space="preserve">vendor landing pages</w:t>
      </w:r>
      <w:r>
        <w:t xml:space="preserve"> </w:t>
      </w:r>
      <w:r>
        <w:t xml:space="preserve">so we never run competitor ads against a vendor’s own profile. Editorial article pages (which are Setnayan-first-party content) DO carry AdSense per 0039’s default policy.</w:t>
      </w:r>
    </w:p>
    <w:bookmarkEnd w:id="37"/>
    <w:bookmarkStart w:id="38" w:name="X011b3fab6c6b2142d322b458c7fa98a56d57bb1"/>
    <w:p>
      <w:pPr>
        <w:pStyle w:val="Heading3"/>
      </w:pPr>
      <w:r>
        <w:t xml:space="preserve">8.2 Vendor opt-out for Boosted Ads (added to 0022)</w:t>
      </w:r>
    </w:p>
    <w:p>
      <w:pPr>
        <w:pStyle w:val="FirstParagraph"/>
      </w:pPr>
      <w:r>
        <w:t xml:space="preserve">When 0039 ships, 0022 Vendor Dashboard gets a new</w:t>
      </w:r>
      <w:r>
        <w:t xml:space="preserve"> </w:t>
      </w:r>
      <w:r>
        <w:t xml:space="preserve">“Display ads on my profile”</w:t>
      </w:r>
      <w:r>
        <w:t xml:space="preserve"> </w:t>
      </w:r>
      <w:r>
        <w:t xml:space="preserve">toggle (default OFF for verified vendors + Boosted Ads / Sponsored Boost vendors; default ON for unverified vendors). Toggle setting flows into the page-level</w:t>
      </w:r>
      <w:r>
        <w:t xml:space="preserve"> </w:t>
      </w:r>
      <w:r>
        <w:rPr>
          <w:rStyle w:val="VerbatimChar"/>
        </w:rPr>
        <w:t xml:space="preserve">data-adsense="off"</w:t>
      </w:r>
      <w:r>
        <w:t xml:space="preserve"> </w:t>
      </w:r>
      <w:r>
        <w:t xml:space="preserve">attribute the 0039 ads-loader reads.</w:t>
      </w:r>
    </w:p>
    <w:bookmarkEnd w:id="38"/>
    <w:bookmarkStart w:id="39" w:name="payments-cart-sponsored-slot-invoicing"/>
    <w:p>
      <w:pPr>
        <w:pStyle w:val="Heading3"/>
      </w:pPr>
      <w:r>
        <w:t xml:space="preserve">8.3 0034 payments &amp; cart — sponsored-slot invoicing</w:t>
      </w:r>
    </w:p>
    <w:p>
      <w:pPr>
        <w:pStyle w:val="FirstParagraph"/>
      </w:pPr>
      <w:r>
        <w:t xml:space="preserve">Sponsored content slots and newsletter sponsorships are invoiced manually outside the in-app cart in V1.1 — they’re B2B sales, not consumer orders. V1.2+ candidate: pull them into the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schema as a B2B order type.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cceptance-tests"/>
    <w:p>
      <w:pPr>
        <w:pStyle w:val="Heading2"/>
      </w:pPr>
      <w:r>
        <w:t xml:space="preserve">9. Acceptance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Editorial article page renders the MD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/blog/[slug]</w:t>
            </w:r>
            <w:r>
              <w:t xml:space="preserve"> </w:t>
            </w:r>
            <w:r>
              <w:t xml:space="preserve">server-renders markdown from</w:t>
            </w:r>
            <w:r>
              <w:t xml:space="preserve"> </w:t>
            </w:r>
            <w:r>
              <w:rPr>
                <w:rStyle w:val="VerbatimChar"/>
              </w:rPr>
              <w:t xml:space="preserve">apps/web/content/editorial/articles/[slug].md</w:t>
            </w:r>
            <w:r>
              <w:t xml:space="preserve">. Cover image, byline, read-time stamp all visible.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Sponsored article shows sponsor badge + disclosure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is_paid_placement = TRUE</w:t>
            </w:r>
            <w:r>
              <w:t xml:space="preserve">, sticky</w:t>
            </w:r>
            <w:r>
              <w:t xml:space="preserve"> </w:t>
            </w:r>
            <w:r>
              <w:t xml:space="preserve">“Sponsored by X”</w:t>
            </w:r>
            <w:r>
              <w:t xml:space="preserve"> </w:t>
            </w:r>
            <w:r>
              <w:t xml:space="preserve">badge top-right + first-line disclosure text both render unconditionally. Cannot be hidden by CSS injection.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Recommendation page top + bottom disclosure both render</w:t>
            </w:r>
          </w:p>
        </w:tc>
        <w:tc>
          <w:tcPr/>
          <w:p>
            <w:pPr>
              <w:pStyle w:val="Compact"/>
            </w:pPr>
            <w:r>
              <w:t xml:space="preserve">Disclosure banner appears at the top AND bottom of every</w:t>
            </w:r>
            <w:r>
              <w:t xml:space="preserve"> </w:t>
            </w:r>
            <w:r>
              <w:rPr>
                <w:rStyle w:val="VerbatimChar"/>
              </w:rPr>
              <w:t xml:space="preserve">/recommendations/[category]</w:t>
            </w:r>
            <w:r>
              <w:t xml:space="preserve"> </w:t>
            </w:r>
            <w:r>
              <w:t xml:space="preserve">page. Cannot be dismissed.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Affiliate link CTA fires PostHog event with no PII</w:t>
            </w:r>
          </w:p>
        </w:tc>
        <w:tc>
          <w:tcPr/>
          <w:p>
            <w:pPr>
              <w:pStyle w:val="Compact"/>
            </w:pPr>
            <w:r>
              <w:t xml:space="preserve">Clicking a</w:t>
            </w:r>
            <w:r>
              <w:t xml:space="preserve"> </w:t>
            </w:r>
            <w:r>
              <w:rPr>
                <w:rStyle w:val="VerbatimChar"/>
              </w:rPr>
              <w:t xml:space="preserve">data-affiliate="true"</w:t>
            </w:r>
            <w:r>
              <w:t xml:space="preserve"> </w:t>
            </w:r>
            <w:r>
              <w:t xml:space="preserve">link fires</w:t>
            </w:r>
            <w:r>
              <w:t xml:space="preserve"> </w:t>
            </w:r>
            <w:r>
              <w:rPr>
                <w:rStyle w:val="VerbatimChar"/>
              </w:rPr>
              <w:t xml:space="preserve">affiliate_link_clicked</w:t>
            </w:r>
            <w:r>
              <w:t xml:space="preserve"> </w:t>
            </w:r>
            <w:r>
              <w:t xml:space="preserve">with merchant_slug + affiliate_link_id + source_page_type populated, AND no user_id / distinct_id / IP attached.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Affiliate link has correct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 </w:t>
            </w: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Every affiliate-allowlisted outbound link has</w:t>
            </w:r>
            <w:r>
              <w:t xml:space="preserve"> </w:t>
            </w:r>
            <w:r>
              <w:rPr>
                <w:rStyle w:val="VerbatimChar"/>
              </w:rPr>
              <w:t xml:space="preserve">rel="sponsored nofollow noopener"</w:t>
            </w:r>
            <w:r>
              <w:t xml:space="preserve"> </w:t>
            </w:r>
            <w:r>
              <w:t xml:space="preserve">per Google quality guidelines.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Sponsored articles do NOT carry AdSense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is_paid_placement = TRUE</w:t>
            </w:r>
            <w:r>
              <w:t xml:space="preserve">, the page’s</w:t>
            </w:r>
            <w:r>
              <w:t xml:space="preserve"> </w:t>
            </w:r>
            <w:r>
              <w:rPr>
                <w:rStyle w:val="VerbatimChar"/>
              </w:rPr>
              <w:t xml:space="preserve">data-adsense</w:t>
            </w:r>
            <w:r>
              <w:t xml:space="preserve"> </w:t>
            </w:r>
            <w:r>
              <w:t xml:space="preserve">attribute is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so the 0039 ads-loader skips the slot.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Two-admin approval gates ₱100K+ sponsored slots</w:t>
            </w:r>
          </w:p>
        </w:tc>
        <w:tc>
          <w:tcPr/>
          <w:p>
            <w:pPr>
              <w:pStyle w:val="Compact"/>
            </w:pPr>
            <w:r>
              <w:t xml:space="preserve">Creating a sponsored slot with</w:t>
            </w:r>
            <w:r>
              <w:t xml:space="preserve"> </w:t>
            </w:r>
            <w:r>
              <w:rPr>
                <w:rStyle w:val="VerbatimChar"/>
              </w:rPr>
              <w:t xml:space="preserve">agreed_rate_centavos &gt;= 100_000_00</w:t>
            </w:r>
            <w:r>
              <w:t xml:space="preserve"> </w:t>
            </w:r>
            <w:r>
              <w:t xml:space="preserve">blocks publish until a second admin approves (per 0023 § 9.1).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Vendor opt-out toggle suppresses AdSense on their profile</w:t>
            </w:r>
          </w:p>
        </w:tc>
        <w:tc>
          <w:tcPr/>
          <w:p>
            <w:pPr>
              <w:pStyle w:val="Compact"/>
            </w:pPr>
            <w:r>
              <w:t xml:space="preserve">A vendor toggling</w:t>
            </w:r>
            <w:r>
              <w:t xml:space="preserve"> </w:t>
            </w:r>
            <w:r>
              <w:t xml:space="preserve">“Display ads on my profile”</w:t>
            </w:r>
            <w:r>
              <w:t xml:space="preserve"> </w:t>
            </w:r>
            <w:r>
              <w:t xml:space="preserve">→ OFF removes AdSense from their</w:t>
            </w:r>
            <w:r>
              <w:t xml:space="preserve"> </w:t>
            </w:r>
            <w:r>
              <w:rPr>
                <w:rStyle w:val="VerbatimChar"/>
              </w:rPr>
              <w:t xml:space="preserve">/vendors/[slug]</w:t>
            </w:r>
            <w:r>
              <w:t xml:space="preserve"> </w:t>
            </w:r>
            <w:r>
              <w:t xml:space="preserve">page on next request (cache busted on toggle).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Newsletter unsubscribe still RFC 8058 one-click compliant</w:t>
            </w:r>
          </w:p>
        </w:tc>
        <w:tc>
          <w:tcPr/>
          <w:p>
            <w:pPr>
              <w:pStyle w:val="Compact"/>
            </w:pPr>
            <w:r>
              <w:t xml:space="preserve">The newsletter email’s</w:t>
            </w:r>
            <w:r>
              <w:t xml:space="preserve"> </w:t>
            </w:r>
            <w:r>
              <w:rPr>
                <w:rStyle w:val="VerbatimChar"/>
              </w:rPr>
              <w:t xml:space="preserve">List-Unsubscribe-Post</w:t>
            </w:r>
            <w:r>
              <w:t xml:space="preserve"> </w:t>
            </w:r>
            <w:r>
              <w:t xml:space="preserve">header still works for both editorial + sponsored sends.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Postback endpoint stores conversions idempotently</w:t>
            </w:r>
          </w:p>
        </w:tc>
        <w:tc>
          <w:tcPr/>
          <w:p>
            <w:pPr>
              <w:pStyle w:val="Compact"/>
            </w:pPr>
            <w:r>
              <w:t xml:space="preserve">POSTing the same</w:t>
            </w:r>
            <w:r>
              <w:t xml:space="preserve"> </w:t>
            </w:r>
            <w:r>
              <w:rPr>
                <w:rStyle w:val="VerbatimChar"/>
              </w:rPr>
              <w:t xml:space="preserve">(network_key, network_click_id)</w:t>
            </w:r>
            <w:r>
              <w:t xml:space="preserve"> </w:t>
            </w:r>
            <w:r>
              <w:t xml:space="preserve">pair twice creates exactly one row in</w:t>
            </w:r>
            <w:r>
              <w:t xml:space="preserve"> </w:t>
            </w:r>
            <w:r>
              <w:rPr>
                <w:rStyle w:val="VerbatimChar"/>
              </w:rPr>
              <w:t xml:space="preserve">affiliate_conversions</w:t>
            </w:r>
            <w:r>
              <w:t xml:space="preserve"> </w:t>
            </w:r>
            <w:r>
              <w:t xml:space="preserve">(unique constraint enforces).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out-of-scope-for-v1.1"/>
    <w:p>
      <w:pPr>
        <w:pStyle w:val="Heading2"/>
      </w:pPr>
      <w:r>
        <w:t xml:space="preserve">10. Out of scope for V1.1</w:t>
      </w:r>
    </w:p>
    <w:p>
      <w:pPr>
        <w:pStyle w:val="Compact"/>
        <w:numPr>
          <w:ilvl w:val="0"/>
          <w:numId w:val="1019"/>
        </w:numPr>
      </w:pPr>
      <w:r>
        <w:t xml:space="preserve">Decap CMS or any web-based editor for non-engineers (V1.2+ candidate; PR-based flow is fine for V1.1)</w:t>
      </w:r>
    </w:p>
    <w:p>
      <w:pPr>
        <w:pStyle w:val="Compact"/>
        <w:numPr>
          <w:ilvl w:val="0"/>
          <w:numId w:val="1019"/>
        </w:numPr>
      </w:pPr>
      <w:r>
        <w:t xml:space="preserve">Video content / podcast surface (V1.5+ candidate)</w:t>
      </w:r>
    </w:p>
    <w:p>
      <w:pPr>
        <w:pStyle w:val="Compact"/>
        <w:numPr>
          <w:ilvl w:val="0"/>
          <w:numId w:val="1019"/>
        </w:numPr>
      </w:pPr>
      <w:r>
        <w:t xml:space="preserve">TL (Tagalog) versions of articles — schema supports</w:t>
      </w:r>
      <w:r>
        <w:t xml:space="preserve"> </w:t>
      </w:r>
      <w:r>
        <w:rPr>
          <w:rStyle w:val="VerbatimChar"/>
        </w:rPr>
        <w:t xml:space="preserve">locale = 'tl'</w:t>
      </w:r>
      <w:r>
        <w:t xml:space="preserve"> </w:t>
      </w:r>
      <w:r>
        <w:t xml:space="preserve">but content production is EN-only in V1.1</w:t>
      </w:r>
    </w:p>
    <w:p>
      <w:pPr>
        <w:pStyle w:val="Compact"/>
        <w:numPr>
          <w:ilvl w:val="0"/>
          <w:numId w:val="1019"/>
        </w:numPr>
      </w:pPr>
      <w:r>
        <w:t xml:space="preserve">Auto-translation of articles (V2)</w:t>
      </w:r>
    </w:p>
    <w:p>
      <w:pPr>
        <w:pStyle w:val="Compact"/>
        <w:numPr>
          <w:ilvl w:val="0"/>
          <w:numId w:val="1019"/>
        </w:numPr>
      </w:pPr>
      <w:r>
        <w:t xml:space="preserve">Auto-generated recommendation pages from vendor performance data (V2 — editor-curated only in V1.1)</w:t>
      </w:r>
    </w:p>
    <w:p>
      <w:pPr>
        <w:pStyle w:val="Compact"/>
        <w:numPr>
          <w:ilvl w:val="0"/>
          <w:numId w:val="1019"/>
        </w:numPr>
      </w:pPr>
      <w:r>
        <w:t xml:space="preserve">A/B testing different recommendation orderings (V1.5+ via PostHog Experiments)</w:t>
      </w:r>
    </w:p>
    <w:p>
      <w:pPr>
        <w:pStyle w:val="Compact"/>
        <w:numPr>
          <w:ilvl w:val="0"/>
          <w:numId w:val="1019"/>
        </w:numPr>
      </w:pPr>
      <w:r>
        <w:t xml:space="preserve">Selling display inventory to brand DSPs (out of policy — only AdSense in 0039, no programmatic open exchange)</w:t>
      </w:r>
    </w:p>
    <w:p>
      <w:pPr>
        <w:pStyle w:val="Compact"/>
        <w:numPr>
          <w:ilvl w:val="0"/>
          <w:numId w:val="1019"/>
        </w:numPr>
      </w:pPr>
      <w:r>
        <w:t xml:space="preserve">Multi-sponsor rotation in a single newsletter send (single-sponsor lock to protect list integrity)</w:t>
      </w:r>
    </w:p>
    <w:p>
      <w:r>
        <w:pict>
          <v:rect style="width:0;height:1.5pt" o:hralign="center" o:hrstd="t" o:hr="t"/>
        </w:pict>
      </w:r>
    </w:p>
    <w:bookmarkEnd w:id="42"/>
    <w:bookmarkStart w:id="43" w:name="Xf8bb29625ffcfc1562a9722f80c8256cb6ef0f6"/>
    <w:p>
      <w:pPr>
        <w:pStyle w:val="Heading2"/>
      </w:pPr>
      <w:r>
        <w:t xml:space="preserve">11. Engineering hand-off (deferred to engineering worktree)</w:t>
      </w:r>
    </w:p>
    <w:p>
      <w:pPr>
        <w:pStyle w:val="Compact"/>
        <w:numPr>
          <w:ilvl w:val="0"/>
          <w:numId w:val="1020"/>
        </w:numPr>
      </w:pPr>
      <w:r>
        <w:t xml:space="preserve">Schema migrations:</w:t>
      </w:r>
      <w:r>
        <w:t xml:space="preserve"> </w:t>
      </w:r>
      <w:r>
        <w:rPr>
          <w:rStyle w:val="VerbatimChar"/>
        </w:rPr>
        <w:t xml:space="preserve">editorial_articles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recommendation_pages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affiliate_links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affiliate_conversions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sponsored_slot_bookings</w:t>
      </w:r>
    </w:p>
    <w:p>
      <w:pPr>
        <w:pStyle w:val="Compact"/>
        <w:numPr>
          <w:ilvl w:val="0"/>
          <w:numId w:val="1020"/>
        </w:numPr>
      </w:pPr>
      <w:r>
        <w:t xml:space="preserve">Next.js routes: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/blog/[slug]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/recommendations/[category]</w:t>
      </w:r>
    </w:p>
    <w:p>
      <w:pPr>
        <w:pStyle w:val="Compact"/>
        <w:numPr>
          <w:ilvl w:val="0"/>
          <w:numId w:val="1020"/>
        </w:numPr>
      </w:pPr>
      <w:r>
        <w:t xml:space="preserve">MD content build pipeline: scan</w:t>
      </w:r>
      <w:r>
        <w:t xml:space="preserve"> </w:t>
      </w:r>
      <w:r>
        <w:rPr>
          <w:rStyle w:val="VerbatimChar"/>
        </w:rPr>
        <w:t xml:space="preserve">apps/web/content/editorial/</w:t>
      </w:r>
      <w:r>
        <w:t xml:space="preserve">, validate frontmatter, upsert into</w:t>
      </w:r>
      <w:r>
        <w:t xml:space="preserve"> </w:t>
      </w:r>
      <w:r>
        <w:rPr>
          <w:rStyle w:val="VerbatimChar"/>
        </w:rPr>
        <w:t xml:space="preserve">editorial_articles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recommendation_pages</w:t>
      </w:r>
      <w:r>
        <w:t xml:space="preserve"> </w:t>
      </w:r>
      <w:r>
        <w:t xml:space="preserve">at build time</w:t>
      </w:r>
    </w:p>
    <w:p>
      <w:pPr>
        <w:pStyle w:val="Compact"/>
        <w:numPr>
          <w:ilvl w:val="0"/>
          <w:numId w:val="1020"/>
        </w:numPr>
      </w:pPr>
      <w:r>
        <w:t xml:space="preserve">PostHog event:</w:t>
      </w:r>
      <w:r>
        <w:t xml:space="preserve"> </w:t>
      </w:r>
      <w:r>
        <w:rPr>
          <w:rStyle w:val="VerbatimChar"/>
        </w:rPr>
        <w:t xml:space="preserve">affiliate_link_clicked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newsletter_sponsor_clicked</w:t>
      </w:r>
    </w:p>
    <w:p>
      <w:pPr>
        <w:pStyle w:val="Compact"/>
        <w:numPr>
          <w:ilvl w:val="0"/>
          <w:numId w:val="1020"/>
        </w:numPr>
      </w:pPr>
      <w:r>
        <w:t xml:space="preserve">Postback endpoint:</w:t>
      </w:r>
      <w:r>
        <w:t xml:space="preserve"> </w:t>
      </w:r>
      <w:r>
        <w:rPr>
          <w:rStyle w:val="VerbatimChar"/>
        </w:rPr>
        <w:t xml:space="preserve">POST /api/affiliates/postback?network=:network</w:t>
      </w:r>
    </w:p>
    <w:p>
      <w:pPr>
        <w:pStyle w:val="Compact"/>
        <w:numPr>
          <w:ilvl w:val="0"/>
          <w:numId w:val="1020"/>
        </w:numPr>
      </w:pPr>
      <w:r>
        <w:t xml:space="preserve">0023 admin console: Editorial tab + Articles / Sponsored slots / Affiliate revenue sub-tabs</w:t>
      </w:r>
    </w:p>
    <w:p>
      <w:pPr>
        <w:pStyle w:val="Compact"/>
        <w:numPr>
          <w:ilvl w:val="0"/>
          <w:numId w:val="1020"/>
        </w:numPr>
      </w:pPr>
      <w:r>
        <w:t xml:space="preserve">0022 vendor dashboard:</w:t>
      </w:r>
      <w:r>
        <w:t xml:space="preserve"> </w:t>
      </w:r>
      <w:r>
        <w:t xml:space="preserve">“Display ads on my profile”</w:t>
      </w:r>
      <w:r>
        <w:t xml:space="preserve"> </w:t>
      </w:r>
      <w:r>
        <w:t xml:space="preserve">toggle (couples with 0039 ship)</w:t>
      </w:r>
    </w:p>
    <w:p>
      <w:pPr>
        <w:pStyle w:val="Compact"/>
        <w:numPr>
          <w:ilvl w:val="0"/>
          <w:numId w:val="1020"/>
        </w:numPr>
      </w:pPr>
      <w:r>
        <w:t xml:space="preserve">0028 email:</w:t>
      </w:r>
      <w:r>
        <w:t xml:space="preserve"> </w:t>
      </w:r>
      <w:r>
        <w:rPr>
          <w:rStyle w:val="VerbatimChar"/>
        </w:rPr>
        <w:t xml:space="preserve">sponsored_slot_paid</w:t>
      </w:r>
      <w:r>
        <w:t xml:space="preserve"> </w:t>
      </w:r>
      <w:r>
        <w:t xml:space="preserve">receipt template + newsletter weekly digest template + newsletter sponsor-slot block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0038 spec.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022_vendor_dashboard/0022_vendor_dashbo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022_vendor_dashboard/0022_vendor_dashbo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2026-06-07T07:34:53Z</dcterms:created>
  <dcterms:modified xsi:type="dcterms:W3CDTF">2026-06-07T07:34:53Z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