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0c96fecf7f6408d075466167122476ee2df46a"/>
    <w:p>
      <w:pPr>
        <w:pStyle w:val="Heading1"/>
      </w:pPr>
      <w:r>
        <w:t xml:space="preserve">Setnayan — NPC / RA 10173 Compliance Documentation Pack</w:t>
      </w:r>
    </w:p>
    <w:p>
      <w:pPr>
        <w:pStyle w:val="FirstParagraph"/>
      </w:pPr>
      <w:r>
        <w:rPr>
          <w:b/>
          <w:bCs/>
        </w:rPr>
        <w:t xml:space="preserve">Date assembled:</w:t>
      </w:r>
      <w:r>
        <w:t xml:space="preserve"> </w:t>
      </w:r>
      <w:r>
        <w:t xml:space="preserve">2026-07-05</w:t>
      </w:r>
      <w:r>
        <w:t xml:space="preserve"> </w:t>
      </w:r>
      <w:r>
        <w:rPr>
          <w:b/>
          <w:bCs/>
        </w:rPr>
        <w:t xml:space="preserve">PIC:</w:t>
      </w:r>
      <w:r>
        <w:t xml:space="preserve"> </w:t>
      </w:r>
      <w:r>
        <w:t xml:space="preserve">SETNAYAN SOFTWARE DEVELOPMENT SERVICE (sole proprietorship of Indalecio S. Casasola II · DTI Business Name No. 8297508)</w:t>
      </w:r>
      <w:r>
        <w:t xml:space="preserve"> </w:t>
      </w:r>
      <w:r>
        <w:rPr>
          <w:b/>
          <w:bCs/>
        </w:rPr>
        <w:t xml:space="preserve">DPO:</w:t>
      </w:r>
      <w:r>
        <w:t xml:space="preserve"> </w:t>
      </w:r>
      <w:r>
        <w:t xml:space="preserve">Indalecio Sacdalan Casasola II · iscasasolaii@gmail.com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DRAFT — filing-ready, NOT yet filed.</w:t>
      </w:r>
      <w:r>
        <w:t xml:space="preserve"> </w:t>
      </w:r>
      <w:r>
        <w:t xml:space="preserve">Every document is built to a compliant RA 10173 / NPC baseline ahead of counsel. For DPO (the owner) + PH counsel finalization, then filing/keepsake.</w:t>
      </w:r>
      <w:r>
        <w:t xml:space="preserve"> </w:t>
      </w:r>
      <w:r>
        <w:rPr>
          <w:b/>
          <w:bCs/>
        </w:rPr>
        <w:t xml:space="preserve">Not a substitute for legal review.</w:t>
      </w:r>
    </w:p>
    <w:p>
      <w:r>
        <w:pict>
          <v:rect style="width:0;height:1.5pt" o:hralign="center" o:hrstd="t" o:hr="t"/>
        </w:pic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The formal records a Personal Information Controller keeps on file and uses to register with the</w:t>
      </w:r>
      <w:r>
        <w:t xml:space="preserve"> </w:t>
      </w:r>
      <w:r>
        <w:rPr>
          <w:b/>
          <w:bCs/>
        </w:rPr>
        <w:t xml:space="preserve">National Privacy Commission (NPC)</w:t>
      </w:r>
      <w:r>
        <w:t xml:space="preserve"> </w:t>
      </w:r>
      <w:r>
        <w:t xml:space="preserve">under the Data Privacy Act of 2012 (RA 10173). This is your</w:t>
      </w:r>
      <w:r>
        <w:t xml:space="preserve"> </w:t>
      </w:r>
      <w:r>
        <w:rPr>
          <w:b/>
          <w:bCs/>
        </w:rPr>
        <w:t xml:space="preserve">keepsake + filing set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Manual</w:t>
            </w:r>
          </w:p>
        </w:tc>
        <w:tc>
          <w:tcPr/>
          <w:p>
            <w:pPr>
              <w:pStyle w:val="Compact"/>
            </w:pPr>
            <w:r>
              <w:t xml:space="preserve">The flagship RA 10173 governance document (present to NPC on request) — 12 sections: scope, definitions, governance + security, principles, lifecycle, the 8 data-subject rights, consent, sub-processors/cross-border, breach, DPIA, complaints,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Records of Processing Activities (RoPA)</w:t>
            </w:r>
          </w:p>
        </w:tc>
        <w:tc>
          <w:tcPr/>
          <w:p>
            <w:pPr>
              <w:pStyle w:val="Compact"/>
            </w:pPr>
            <w:r>
              <w:t xml:space="preserve">Data-processing-systems inventory (11 systems) + the NPC-registration threshold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 Designation + NPC Registration data sheet</w:t>
            </w:r>
          </w:p>
        </w:tc>
        <w:tc>
          <w:tcPr/>
          <w:p>
            <w:pPr>
              <w:pStyle w:val="Compact"/>
            </w:pPr>
            <w:r>
              <w:t xml:space="preserve">The owner’s formal DPO appointment record (PIC = DPO) + the field-by-field data to complete NPC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Breach Management Policy</w:t>
            </w:r>
          </w:p>
        </w:tc>
        <w:tc>
          <w:tcPr/>
          <w:p>
            <w:pPr>
              <w:pStyle w:val="Compact"/>
            </w:pPr>
            <w:r>
              <w:t xml:space="preserve">Per NPC Circular 16-03 — 72-hour rule, response team, notification, breach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DPIA Register + Person-Graph DPIA</w:t>
            </w:r>
          </w:p>
        </w:tc>
        <w:tc>
          <w:tcPr/>
          <w:p>
            <w:pPr>
              <w:pStyle w:val="Compact"/>
            </w:pPr>
            <w:r>
              <w:t xml:space="preserve">Impact-assessment register + one completed DPIA (person graph); flags what still needs one</w:t>
            </w:r>
          </w:p>
        </w:tc>
      </w:tr>
    </w:tbl>
    <w:p>
      <w:pPr>
        <w:pStyle w:val="BodyText"/>
      </w:pPr>
      <w:r>
        <w:t xml:space="preserve">All five carry the same DRAFT header and the</w:t>
      </w:r>
      <w:r>
        <w:t xml:space="preserve"> </w:t>
      </w:r>
      <w:r>
        <w:t xml:space="preserve">“compliant baseline, not a substitute for legal review”</w:t>
      </w:r>
      <w:r>
        <w:t xml:space="preserve"> </w:t>
      </w:r>
      <w:r>
        <w:t xml:space="preserve">footer.</w:t>
      </w:r>
    </w:p>
    <w:bookmarkEnd w:id="9"/>
    <w:bookmarkStart w:id="10" w:name="X2d6d2749f1caae4fee4576c1ceec9edd6421fab"/>
    <w:p>
      <w:pPr>
        <w:pStyle w:val="Heading2"/>
      </w:pPr>
      <w:r>
        <w:t xml:space="preserve">How to actually file (this pack is the content, not the filing)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Fill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[TO CONFIRM]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  <w:r>
        <w:t xml:space="preserve"> </w:t>
      </w:r>
      <w:r>
        <w:t xml:space="preserve">below (one pass supplies them across all docs).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review &amp; adopt as both PIC and DPO</w:t>
      </w:r>
      <w:r>
        <w:t xml:space="preserve"> </w:t>
      </w:r>
      <w:r>
        <w:t xml:space="preserve">— sign the designation + manual; set the effectivity dates. (PH counsel to review before publishing any policy text.)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 with the NPC online</w:t>
      </w:r>
      <w:r>
        <w:t xml:space="preserve"> </w:t>
      </w:r>
      <w:r>
        <w:t xml:space="preserve">via the</w:t>
      </w:r>
      <w:r>
        <w:t xml:space="preserve"> </w:t>
      </w:r>
      <w:r>
        <w:rPr>
          <w:b/>
          <w:bCs/>
        </w:rPr>
        <w:t xml:space="preserve">NPC Registration System (NPCRS)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register.privacy.gov.ph</w:t>
      </w:r>
      <w:r>
        <w:t xml:space="preserve"> </w:t>
      </w:r>
      <w:r>
        <w:t xml:space="preserve">— this registers the PIC, the DPO’s contact details, and the Data Processing System(s).</w:t>
      </w:r>
      <w:r>
        <w:t xml:space="preserve"> </w:t>
      </w:r>
      <w:r>
        <w:rPr>
          <w:i/>
          <w:iCs/>
        </w:rPr>
        <w:t xml:space="preserve">(This online filing is the DPO/owner’s action — I can’t file on your behalf.)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the adopted set as your accountability records</w:t>
      </w:r>
      <w:r>
        <w:t xml:space="preserve"> </w:t>
      </w:r>
      <w:r>
        <w:t xml:space="preserve">(the</w:t>
      </w:r>
      <w:r>
        <w:t xml:space="preserve"> </w:t>
      </w:r>
      <w:r>
        <w:t xml:space="preserve">“keepsake”</w:t>
      </w:r>
      <w:r>
        <w:t xml:space="preserve">); update on the review cadence in the Manual.</w:t>
      </w:r>
    </w:p>
    <w:bookmarkEnd w:id="10"/>
    <w:bookmarkStart w:id="11" w:name="X72fa2d5765f81a0c4564c0193b8c1f4281b79b6"/>
    <w:p>
      <w:pPr>
        <w:pStyle w:val="Heading2"/>
      </w:pPr>
      <w:r>
        <w:t xml:space="preserve">Master list — facts you must supply (</w:t>
      </w:r>
      <w:r>
        <w:rPr>
          <w:rStyle w:val="VerbatimChar"/>
        </w:rPr>
        <w:t xml:space="preserve">[TO CONFIRM]</w:t>
      </w:r>
      <w:r>
        <w:t xml:space="preserve">, 98 occurrences → these distinct items)</w:t>
      </w:r>
    </w:p>
    <w:p>
      <w:pPr>
        <w:pStyle w:val="FirstParagraph"/>
      </w:pPr>
      <w:r>
        <w:rPr>
          <w:b/>
          <w:bCs/>
        </w:rPr>
        <w:t xml:space="preserve">Business identity</w:t>
      </w:r>
      <w:r>
        <w:t xml:space="preserve"> </w:t>
      </w:r>
      <w:r>
        <w:t xml:space="preserve">- Registered / principal place of business address</w:t>
      </w:r>
      <w:r>
        <w:t xml:space="preserve"> </w:t>
      </w:r>
      <w:r>
        <w:t xml:space="preserve">- BIR TIN / Form 2303 number</w:t>
      </w:r>
      <w:r>
        <w:t xml:space="preserve"> </w:t>
      </w:r>
      <w:r>
        <w:t xml:space="preserve">- Existing NPC PIC + DPO registration number (after you file)</w:t>
      </w:r>
    </w:p>
    <w:p>
      <w:pPr>
        <w:pStyle w:val="BodyText"/>
      </w:pPr>
      <w:r>
        <w:rPr>
          <w:b/>
          <w:bCs/>
        </w:rPr>
        <w:t xml:space="preserve">Scale (required registration fields)</w:t>
      </w:r>
      <w:r>
        <w:t xml:space="preserve"> </w:t>
      </w:r>
      <w:r>
        <w:t xml:space="preserve">- Total headcount / employees (and how many have access to personal data)</w:t>
      </w:r>
      <w:r>
        <w:t xml:space="preserve"> </w:t>
      </w:r>
      <w:r>
        <w:t xml:space="preserve">- Number of data subjects — customers, vendors, guests (approx.)</w:t>
      </w:r>
      <w:r>
        <w:t xml:space="preserve"> </w:t>
      </w:r>
      <w:r>
        <w:t xml:space="preserve">- Number of data subjects whose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personal info you hold</w:t>
      </w:r>
    </w:p>
    <w:p>
      <w:pPr>
        <w:pStyle w:val="BodyText"/>
      </w:pPr>
      <w:r>
        <w:rPr>
          <w:b/>
          <w:bCs/>
        </w:rPr>
        <w:t xml:space="preserve">DPO (the owner) details</w:t>
      </w:r>
      <w:r>
        <w:t xml:space="preserve"> </w:t>
      </w:r>
      <w:r>
        <w:t xml:space="preserve">- Contact email · mobile/landline · designation effectivity date ·</w:t>
      </w:r>
      <w:r>
        <w:t xml:space="preserve"> </w:t>
      </w:r>
      <w:r>
        <w:rPr>
          <w:b/>
          <w:bCs/>
        </w:rPr>
        <w:t xml:space="preserve">the PIC = DPO conflict-of-interest note</w:t>
      </w:r>
      <w:r>
        <w:t xml:space="preserve"> </w:t>
      </w:r>
      <w:r>
        <w:t xml:space="preserve">(the proprietor also serves as DPO — record a short independence rationale; NPC generally prefers DPO autonomy from the controller, but this is commonly accepted for a 2-person sole proprietorship)</w:t>
      </w:r>
    </w:p>
    <w:p>
      <w:pPr>
        <w:pStyle w:val="BodyText"/>
      </w:pPr>
      <w:r>
        <w:rPr>
          <w:b/>
          <w:bCs/>
        </w:rPr>
        <w:t xml:space="preserve">Data Breach Response Team</w:t>
      </w:r>
      <w:r>
        <w:t xml:space="preserve"> </w:t>
      </w:r>
      <w:r>
        <w:t xml:space="preserve">- Names for: Technical/Engineering Lead · Security/Ops Coordinator · Comms/Legal liaison (external PH counsel) · the 24/7 escalation phones + email · the DPO breach hotline number</w:t>
      </w:r>
    </w:p>
    <w:p>
      <w:pPr>
        <w:pStyle w:val="BodyText"/>
      </w:pPr>
      <w:r>
        <w:rPr>
          <w:b/>
          <w:bCs/>
        </w:rPr>
        <w:t xml:space="preserve">Sub-processors (jurisdiction + executed DPA on file)</w:t>
      </w:r>
      <w:r>
        <w:t xml:space="preserve"> </w:t>
      </w:r>
      <w:r>
        <w:t xml:space="preserve">- Vercel · Resend (+ SendGrid fallback) · Suno · PostHog (host + opt-out) · the face-matching engine host/location</w:t>
      </w:r>
      <w:r>
        <w:t xml:space="preserve"> </w:t>
      </w:r>
      <w:r>
        <w:t xml:space="preserve">- ⚠</w:t>
      </w:r>
      <w:r>
        <w:t xml:space="preserve"> </w:t>
      </w:r>
      <w:r>
        <w:rPr>
          <w:b/>
          <w:bCs/>
        </w:rPr>
        <w:t xml:space="preserve">Suno is not in the Privacy Policy’s sub-processor table</w:t>
      </w:r>
      <w:r>
        <w:t xml:space="preserve"> </w:t>
      </w:r>
      <w:r>
        <w:t xml:space="preserve">— add it (or confirm it processes no personal data)</w:t>
      </w:r>
    </w:p>
    <w:p>
      <w:pPr>
        <w:pStyle w:val="BodyText"/>
      </w:pPr>
      <w:r>
        <w:rPr>
          <w:b/>
          <w:bCs/>
        </w:rPr>
        <w:t xml:space="preserve">Processing specifics</w:t>
      </w:r>
      <w:r>
        <w:t xml:space="preserve"> </w:t>
      </w:r>
      <w:r>
        <w:t xml:space="preserve">- Exact RSVP special-data fields (dietary/health/religious?) — decides whether the guest system is a formal sensitive-PII system</w:t>
      </w:r>
      <w:r>
        <w:t xml:space="preserve"> </w:t>
      </w:r>
      <w:r>
        <w:t xml:space="preserve">- Automated-decision inventory: the Anti-Fraud auto-suspend (DPS-12 / R-08)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solely-automated decision with a significant effect (reversible); confirm the RA 10173 §16(c)/§34 contest/appeal path is documented</w:t>
      </w:r>
      <w:r>
        <w:t xml:space="preserve"> </w:t>
      </w:r>
      <w:r>
        <w:t xml:space="preserve">- Maya Business (V1.5 payment gateway) contract status</w:t>
      </w:r>
      <w:r>
        <w:t xml:space="preserve"> </w:t>
      </w:r>
      <w:r>
        <w:t xml:space="preserve">- Personnel controls: signed NDAs on file · privacy-training cadence · device/endpoint policy</w:t>
      </w:r>
      <w:r>
        <w:t xml:space="preserve"> </w:t>
      </w:r>
      <w:r>
        <w:t xml:space="preserve">- DPIA review + sign-off dates</w:t>
      </w:r>
    </w:p>
    <w:bookmarkEnd w:id="11"/>
    <w:bookmarkStart w:id="12" w:name="two-things-flagged-for-your-attention"/>
    <w:p>
      <w:pPr>
        <w:pStyle w:val="Heading2"/>
      </w:pPr>
      <w:r>
        <w:t xml:space="preserve">Two things flagged for your attention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Biometric face vectors likely need their own dedicated full DPIA.</w:t>
      </w:r>
      <w:r>
        <w:t xml:space="preserve"> </w:t>
      </w:r>
      <w:r>
        <w:t xml:space="preserve">The person-graph DPIA (doc 05, Part 2) is complete, but face-vector processing is sensitive (biometric) and is flagged as needing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HIGH-risk DPIA — not folded into the person-graph one. Worth doing before scaling that feature.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Publish order: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Privacy Policy amendment</w:t>
      </w:r>
      <w:r>
        <w:t xml:space="preserve"> </w:t>
      </w:r>
      <w:r>
        <w:t xml:space="preserve">(person-graph, in</w:t>
      </w:r>
      <w:r>
        <w:t xml:space="preserve"> </w:t>
      </w:r>
      <w:r>
        <w:rPr>
          <w:rStyle w:val="VerbatimChar"/>
        </w:rPr>
        <w:t xml:space="preserve">01_Contracts/</w:t>
      </w:r>
      <w:r>
        <w:t xml:space="preserve">) and doc 05’s person-graph DPIA should be</w:t>
      </w:r>
      <w:r>
        <w:t xml:space="preserve"> </w:t>
      </w:r>
      <w:r>
        <w:rPr>
          <w:b/>
          <w:bCs/>
        </w:rPr>
        <w:t xml:space="preserve">finalized with the DPO (owner) + PH counsel before the amendment goes public</w:t>
      </w:r>
      <w:r>
        <w:t xml:space="preserve"> </w:t>
      </w:r>
      <w:r>
        <w:t xml:space="preserve">— the features are live behind flags, but the public policy text publishes on sign-off.</w:t>
      </w:r>
    </w:p>
    <w:bookmarkEnd w:id="12"/>
    <w:bookmarkStart w:id="13" w:name="companion-documents-outside-this-folder"/>
    <w:p>
      <w:pPr>
        <w:pStyle w:val="Heading2"/>
      </w:pPr>
      <w:r>
        <w:t xml:space="preserve">Companion documents (outside this folder)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01_Contracts/Setnayan_Privacy_and_Security_Policy.md</w:t>
      </w:r>
      <w:r>
        <w:t xml:space="preserve"> </w:t>
      </w:r>
      <w:r>
        <w:t xml:space="preserve">— the binding public policy (now with the 2026-07-05 person-graph amendment)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03_Strategy/Compliance_Pack_PersonGraph_DRAFT_2026-07-05.md</w:t>
      </w:r>
      <w:r>
        <w:t xml:space="preserve"> </w:t>
      </w:r>
      <w:r>
        <w:t xml:space="preserve">— consent notices + the source person-graph DPIA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03_Strategy/Phase2_Counsel_Review_Brief_2026-07-05.md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Phase3_Minors_and_Legacy_Counsel_Brief_2026-07-05.md</w:t>
      </w:r>
      <w:r>
        <w:t xml:space="preserve"> </w:t>
      </w:r>
      <w:r>
        <w:t xml:space="preserve">— the two counsel briefs (for the DPO/owner + PH counsel)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to a compliant baseline ahead of counsel per the standing compliance-by-default rule. Finalize with Indalecio Sacdalan Casasola II (DPO) + PH counsel before filing/publishing.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2026-07-07T15:46:12Z</dcterms:created>
  <dcterms:modified xsi:type="dcterms:W3CDTF">2026-07-07T15:46:12Z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