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121fce816c8d4c344bda1d15572e353fbc1f3b"/>
    <w:p>
      <w:pPr>
        <w:pStyle w:val="Heading1"/>
      </w:pPr>
      <w:r>
        <w:t xml:space="preserve">Setnayan — Data Breach / Security Incident Management Policy</w:t>
      </w:r>
    </w:p>
    <w:p>
      <w:pPr>
        <w:pStyle w:val="BlockText"/>
      </w:pPr>
      <w:r>
        <w:rPr>
          <w:b/>
          <w:bCs/>
        </w:rPr>
        <w:t xml:space="preserve">DRAFT — for DPO (Indalecio Sacdalan Casasola II) + PH counsel finalization; not yet adopted. · 2026-07-05.</w:t>
      </w:r>
    </w:p>
    <w:p>
      <w:pPr>
        <w:pStyle w:val="BlockText"/>
      </w:pPr>
      <w:r>
        <w:t xml:space="preserve">This policy is issued under the Data Privacy Act of 2012 (Republic Act No. 10173,</w:t>
      </w:r>
      <w:r>
        <w:t xml:space="preserve"> </w:t>
      </w:r>
      <w:r>
        <w:t xml:space="preserve">“</w:t>
      </w:r>
      <w:r>
        <w:rPr>
          <w:b/>
          <w:bCs/>
        </w:rPr>
        <w:t xml:space="preserve">RA 10173</w:t>
      </w:r>
      <w:r>
        <w:t xml:space="preserve">”</w:t>
      </w:r>
      <w:r>
        <w:t xml:space="preserve">), its Implementing Rules and Regulations (IRR), and</w:t>
      </w:r>
      <w:r>
        <w:t xml:space="preserve"> </w:t>
      </w:r>
      <w:r>
        <w:rPr>
          <w:b/>
          <w:bCs/>
        </w:rPr>
        <w:t xml:space="preserve">NPC Circular No. 16-03 (Personal Data Breach Management)</w:t>
      </w:r>
      <w:r>
        <w:t xml:space="preserve">. It sets out how SETNAYAN SOFTWARE DEVELOPMENT SERVICE prevents, detects, assesses, contains, and reports personal data breaches and security incidents.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Information Controller (PIC)</w:t>
            </w:r>
          </w:p>
        </w:tc>
        <w:tc>
          <w:tcPr/>
          <w:p>
            <w:pPr>
              <w:pStyle w:val="Compact"/>
            </w:pPr>
            <w:r>
              <w:t xml:space="preserve">SETNAYAN SOFTWARE DEVELOPMENT SERVICE — sole proprietorship of Indalecio Sacdalan Casasola II · DTI Business Name No. 8297508. Brand:</w:t>
            </w:r>
            <w:r>
              <w:t xml:space="preserve"> </w:t>
            </w:r>
            <w:r>
              <w:rPr>
                <w:b/>
                <w:bCs/>
              </w:rPr>
              <w:t xml:space="preserve">Setnayan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 (DPO)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 · iscasasolaii@gmail.com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Data Protection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/ date</w:t>
            </w:r>
          </w:p>
        </w:tc>
        <w:tc>
          <w:tcPr/>
          <w:p>
            <w:pPr>
              <w:pStyle w:val="Compact"/>
            </w:pPr>
            <w:r>
              <w:t xml:space="preserve">DRAFT v0.1 · 2026-07-05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cadence</w:t>
            </w:r>
          </w:p>
        </w:tc>
        <w:tc>
          <w:tcPr/>
          <w:p>
            <w:pPr>
              <w:pStyle w:val="Compact"/>
            </w:pPr>
            <w:r>
              <w:t xml:space="preserve">At least annually, and after any notifiable breach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RA 10173 §§ 20, 26–31; IRR Rule VIII (Security Measures); Rule IX (Security Incidents &amp; Breaches);</w:t>
            </w:r>
            <w:r>
              <w:t xml:space="preserve"> </w:t>
            </w:r>
            <w:r>
              <w:rPr>
                <w:b/>
                <w:bCs/>
              </w:rPr>
              <w:t xml:space="preserve">NPC Circular 16-03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purpose-scope"/>
    <w:p>
      <w:pPr>
        <w:pStyle w:val="Heading2"/>
      </w:pPr>
      <w:r>
        <w:t xml:space="preserve">1. Purpose &amp; Scope</w:t>
      </w:r>
    </w:p>
    <w:bookmarkStart w:id="9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policy establishes Setnayan’s mandatory procedure for managing</w:t>
      </w:r>
      <w:r>
        <w:t xml:space="preserve"> </w:t>
      </w:r>
      <w:r>
        <w:rPr>
          <w:b/>
          <w:bCs/>
        </w:rPr>
        <w:t xml:space="preserve">security incidents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personal data breaches</w:t>
      </w:r>
      <w:r>
        <w:t xml:space="preserve"> </w:t>
      </w:r>
      <w:r>
        <w:t xml:space="preserve">so that the PIC can:</w:t>
      </w:r>
    </w:p>
    <w:p>
      <w:pPr>
        <w:pStyle w:val="Compact"/>
        <w:numPr>
          <w:ilvl w:val="0"/>
          <w:numId w:val="1001"/>
        </w:numPr>
      </w:pPr>
      <w:r>
        <w:t xml:space="preserve">prevent breaches through documented organizational, physical, and technical measures;</w:t>
      </w:r>
    </w:p>
    <w:p>
      <w:pPr>
        <w:pStyle w:val="Compact"/>
        <w:numPr>
          <w:ilvl w:val="0"/>
          <w:numId w:val="1001"/>
        </w:numPr>
      </w:pPr>
      <w:r>
        <w:t xml:space="preserve">detect and assess incidents promptly and consistently;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notify the National Privacy Commission (NPC) and affected data subjects within 72 hours</w:t>
      </w:r>
      <w:r>
        <w:t xml:space="preserve"> </w:t>
      </w:r>
      <w:r>
        <w:t xml:space="preserve">where the breach is notifiable;</w:t>
      </w:r>
    </w:p>
    <w:p>
      <w:pPr>
        <w:pStyle w:val="Compact"/>
        <w:numPr>
          <w:ilvl w:val="0"/>
          <w:numId w:val="1001"/>
        </w:numPr>
      </w:pPr>
      <w:r>
        <w:t xml:space="preserve">contain, eradicate, and recover from incidents while preserving evidence; and</w:t>
      </w:r>
    </w:p>
    <w:p>
      <w:pPr>
        <w:pStyle w:val="Compact"/>
        <w:numPr>
          <w:ilvl w:val="0"/>
          <w:numId w:val="1001"/>
        </w:numPr>
      </w:pPr>
      <w:r>
        <w:t xml:space="preserve">maintain records and continuously improve through post-incident review.</w:t>
      </w:r>
    </w:p>
    <w:bookmarkEnd w:id="9"/>
    <w:bookmarkStart w:id="10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policy applies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personal data processed by Setnayan across every processing system, whether stored, transmitted, or handled by:</w:t>
      </w:r>
    </w:p>
    <w:p>
      <w:pPr>
        <w:pStyle w:val="Compact"/>
        <w:numPr>
          <w:ilvl w:val="0"/>
          <w:numId w:val="1002"/>
        </w:numPr>
      </w:pPr>
      <w:r>
        <w:t xml:space="preserve">Setnayan personnel (the sole proprietor, the DPO, any engaged contractors / team members);</w:t>
      </w:r>
    </w:p>
    <w:p>
      <w:pPr>
        <w:pStyle w:val="Compact"/>
        <w:numPr>
          <w:ilvl w:val="0"/>
          <w:numId w:val="1002"/>
        </w:numPr>
      </w:pPr>
      <w:r>
        <w:t xml:space="preserve">Setnayan’s processing systems — the Next.js web application, admin console, and databases; and</w:t>
      </w:r>
    </w:p>
    <w:p>
      <w:pPr>
        <w:pStyle w:val="Compact"/>
        <w:numPr>
          <w:ilvl w:val="0"/>
          <w:numId w:val="1002"/>
        </w:numPr>
      </w:pPr>
      <w:r>
        <w:t xml:space="preserve">Setnayan’s</w:t>
      </w:r>
      <w:r>
        <w:t xml:space="preserve"> </w:t>
      </w:r>
      <w:r>
        <w:rPr>
          <w:b/>
          <w:bCs/>
        </w:rPr>
        <w:t xml:space="preserve">sub-processors / personal information processors</w:t>
      </w:r>
      <w:r>
        <w:t xml:space="preserve"> </w:t>
      </w:r>
      <w:r>
        <w:t xml:space="preserve">(Vercel, Supabase, Cloudflare R2, Resend, Persona/Veriff/Onfido, and any other processor listed in the Privacy &amp; Security Policy § 10).</w:t>
      </w:r>
    </w:p>
    <w:p>
      <w:pPr>
        <w:pStyle w:val="FirstParagraph"/>
      </w:pPr>
      <w:r>
        <w:t xml:space="preserve">It covers customer (couple/organizer), vendor, and guest personal data, including</w:t>
      </w:r>
      <w:r>
        <w:t xml:space="preserve"> </w:t>
      </w:r>
      <w:r>
        <w:rPr>
          <w:b/>
          <w:bCs/>
        </w:rPr>
        <w:t xml:space="preserve">sensitive personal information</w:t>
      </w:r>
      <w:r>
        <w:t xml:space="preserve"> </w:t>
      </w:r>
      <w:r>
        <w:t xml:space="preserve">and the special category of</w:t>
      </w:r>
      <w:r>
        <w:t xml:space="preserve"> </w:t>
      </w:r>
      <w:r>
        <w:rPr>
          <w:b/>
          <w:bCs/>
        </w:rPr>
        <w:t xml:space="preserve">face vectors</w:t>
      </w:r>
      <w:r>
        <w:t xml:space="preserve"> </w:t>
      </w:r>
      <w:r>
        <w:t xml:space="preserve">described in the Privacy &amp; Security Policy § 1.</w:t>
      </w:r>
    </w:p>
    <w:bookmarkEnd w:id="10"/>
    <w:bookmarkStart w:id="11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 (per NPC Circular 16-03 &amp; RA 10173 IRR)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An event or occurrence that</w:t>
            </w:r>
            <w:r>
              <w:t xml:space="preserve"> </w:t>
            </w:r>
            <w:r>
              <w:rPr>
                <w:b/>
                <w:bCs/>
              </w:rPr>
              <w:t xml:space="preserve">affects or tends to affect</w:t>
            </w:r>
            <w:r>
              <w:t xml:space="preserve"> </w:t>
            </w:r>
            <w:r>
              <w:t xml:space="preserve">data protection, or may compromise the availability, integrity, or confidentiality of personal data. Includes incidents that would result in a personal data breach if not for safeguards that were in place.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security incidents are logged; not all are breaches.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breach</w:t>
            </w:r>
          </w:p>
        </w:tc>
        <w:tc>
          <w:tcPr/>
          <w:p>
            <w:pPr>
              <w:pStyle w:val="Compact"/>
            </w:pPr>
            <w:r>
              <w:t xml:space="preserve">A breach of security leading to the</w:t>
            </w:r>
            <w:r>
              <w:t xml:space="preserve"> </w:t>
            </w:r>
            <w:r>
              <w:rPr>
                <w:b/>
                <w:bCs/>
              </w:rPr>
              <w:t xml:space="preserve">accidental or unlawful destruction, loss, alteration, unauthorized disclosure of, or access to</w:t>
            </w:r>
            <w:r>
              <w:t xml:space="preserve"> </w:t>
            </w:r>
            <w:r>
              <w:t xml:space="preserve">personal data transmitted, stored, or otherwise processed.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breach</w:t>
            </w:r>
          </w:p>
        </w:tc>
        <w:tc>
          <w:tcPr/>
          <w:p>
            <w:pPr>
              <w:pStyle w:val="Compact"/>
            </w:pPr>
            <w:r>
              <w:t xml:space="preserve">Loss, accidental or unlawful destruction, or</w:t>
            </w:r>
            <w:r>
              <w:t xml:space="preserve"> </w:t>
            </w:r>
            <w:r>
              <w:rPr>
                <w:b/>
                <w:bCs/>
              </w:rPr>
              <w:t xml:space="preserve">loss of access</w:t>
            </w:r>
            <w:r>
              <w:t xml:space="preserve"> </w:t>
            </w:r>
            <w:r>
              <w:t xml:space="preserve">to personal data (e.g. R2/Supabase outage causing data loss; ransomware locking records).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 breach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Unauthorized or accidental alteration</w:t>
            </w:r>
            <w:r>
              <w:t xml:space="preserve"> </w:t>
            </w:r>
            <w:r>
              <w:t xml:space="preserve">of personal data (e.g. tampered records, corrupted face-vector store, malicious edits via a compromised admin account).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 breach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Unauthorized or accidental disclosure of, or access to,</w:t>
            </w:r>
            <w:r>
              <w:t xml:space="preserve"> </w:t>
            </w:r>
            <w:r>
              <w:t xml:space="preserve">personal data (e.g. leaked credentials, an RLS bypass exposing another user’s rows, a mis-issued signed URL).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 personal information (SPI)</w:t>
            </w:r>
          </w:p>
        </w:tc>
        <w:tc>
          <w:tcPr/>
          <w:p>
            <w:pPr>
              <w:pStyle w:val="Compact"/>
            </w:pPr>
            <w:r>
              <w:t xml:space="preserve">As defined in RA 10173 § 3(l) — includes government-issued IDs, and, for Setnayan,</w:t>
            </w:r>
            <w:r>
              <w:t xml:space="preserve"> </w:t>
            </w:r>
            <w:r>
              <w:rPr>
                <w:b/>
                <w:bCs/>
              </w:rPr>
              <w:t xml:space="preserve">face vectors / biometric data</w:t>
            </w:r>
            <w:r>
              <w:t xml:space="preserve"> </w:t>
            </w:r>
            <w:r>
              <w:t xml:space="preserve">and vendor government-ID images.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Notifiable breach</w:t>
            </w:r>
          </w:p>
        </w:tc>
        <w:tc>
          <w:tcPr/>
          <w:p>
            <w:pPr>
              <w:pStyle w:val="Compact"/>
            </w:pPr>
            <w:r>
              <w:t xml:space="preserve">A personal data breach meeting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the criteria in § 5.2 (SPI or identity-fraud-enabling data, AND real risk of serious harm).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DBRT</w:t>
            </w:r>
          </w:p>
        </w:tc>
        <w:tc>
          <w:tcPr/>
          <w:p>
            <w:pPr>
              <w:pStyle w:val="Compact"/>
            </w:pPr>
            <w:r>
              <w:t xml:space="preserve">Data Breach Response Team (§ 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National Privacy Commission.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data-breach-response-team-dbrt"/>
    <w:p>
      <w:pPr>
        <w:pStyle w:val="Heading2"/>
      </w:pPr>
      <w:r>
        <w:t xml:space="preserve">2. Data Breach Response Team (DBRT)</w:t>
      </w:r>
    </w:p>
    <w:p>
      <w:pPr>
        <w:pStyle w:val="FirstParagraph"/>
      </w:pPr>
      <w:r>
        <w:t xml:space="preserve">Per NPC Circular 16-03 § 5, the PIC constitutes a Data Breach Response Team responsible for the entire incident lifecycle. Given Setnayan’s size as a sole proprietorship, roles may be held by the same individual or by engaged contractors, but each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below is assigned and accountable.</w:t>
      </w:r>
    </w:p>
    <w:bookmarkStart w:id="13" w:name="composition-roles"/>
    <w:p>
      <w:pPr>
        <w:pStyle w:val="Heading3"/>
      </w:pPr>
      <w:r>
        <w:t xml:space="preserve">2.1 Composition &amp;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Held by</w:t>
            </w:r>
          </w:p>
        </w:tc>
        <w:tc>
          <w:tcPr/>
          <w:p>
            <w:pPr>
              <w:pStyle w:val="Compact"/>
            </w:pPr>
            <w:r>
              <w:t xml:space="preserve">Core 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DBRT Lead / Data Protection Officer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 · iscasasolaii@gmail.com</w:t>
            </w:r>
          </w:p>
        </w:tc>
        <w:tc>
          <w:tcPr/>
          <w:p>
            <w:pPr>
              <w:pStyle w:val="Compact"/>
            </w:pPr>
            <w:r>
              <w:t xml:space="preserve">Overall accountability; convenes the DBRT; makes the notifiability determination (§ 5); signs and files NPC and data-subject notifications; primary NPC liaison.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 / Business Owner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 (SETNAYAN SOFTWARE DEVELOPMENT SERVICE)</w:t>
            </w:r>
          </w:p>
        </w:tc>
        <w:tc>
          <w:tcPr/>
          <w:p>
            <w:pPr>
              <w:pStyle w:val="Compact"/>
            </w:pPr>
            <w:r>
              <w:t xml:space="preserve">Ultimate PIC accountability under RA 10173; approves external communications and remediation spend; authorizes sub-processor escalation.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/ Engineering 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Detection, containment, eradication, recovery; evidence preservation; forensic timeline; coordination with Vercel/Supabase/Cloudflare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Operations 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Monitors Sentry / Better Stack / PostHog alerts; triages user-reported incidents; maintains the breach register; runs the annual drill.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 / Legal liaison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(external PH counsel on retainer)</w:t>
            </w:r>
          </w:p>
        </w:tc>
        <w:tc>
          <w:tcPr/>
          <w:p>
            <w:pPr>
              <w:pStyle w:val="Compact"/>
            </w:pPr>
            <w:r>
              <w:t xml:space="preserve">Drafts data-subject notifications and the public</w:t>
            </w:r>
            <w:r>
              <w:t xml:space="preserve"> </w:t>
            </w:r>
            <w:r>
              <w:rPr>
                <w:rStyle w:val="VerbatimChar"/>
              </w:rPr>
              <w:t xml:space="preserve">setnayan.com/security</w:t>
            </w:r>
            <w:r>
              <w:t xml:space="preserve"> </w:t>
            </w:r>
            <w:r>
              <w:t xml:space="preserve">disclosure; legal review of NPC filings; media handling if applicable.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DBRT contacts (24/7 escalation):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— primary phone, secondary phone, escalation email distribution list.</w:t>
      </w:r>
    </w:p>
    <w:bookmarkEnd w:id="13"/>
    <w:bookmarkStart w:id="14" w:name="activation-operation"/>
    <w:p>
      <w:pPr>
        <w:pStyle w:val="Heading3"/>
      </w:pPr>
      <w:r>
        <w:t xml:space="preserve">2.2 Activation &amp; operation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Any</w:t>
      </w:r>
      <w:r>
        <w:t xml:space="preserve"> </w:t>
      </w:r>
      <w:r>
        <w:t xml:space="preserve">Setnayan person or sub-processor notification that suggests a possible breach must be reported to the DPO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Security/Operations Coordinator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(target: within 1 hour of discovery).</w:t>
      </w:r>
    </w:p>
    <w:p>
      <w:pPr>
        <w:pStyle w:val="Compact"/>
        <w:numPr>
          <w:ilvl w:val="0"/>
          <w:numId w:val="1003"/>
        </w:numPr>
      </w:pPr>
      <w:r>
        <w:t xml:space="preserve">The DPO convenes the DBRT upon any credible report. The</w:t>
      </w:r>
      <w:r>
        <w:t xml:space="preserve"> </w:t>
      </w:r>
      <w:r>
        <w:t xml:space="preserve">“72-hour clock”</w:t>
      </w:r>
      <w:r>
        <w:t xml:space="preserve"> </w:t>
      </w:r>
      <w:r>
        <w:t xml:space="preserve">begins on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of a personal data breach (see § 5.1), not on convening the team — so the DBRT is convened without delay.</w:t>
      </w:r>
    </w:p>
    <w:p>
      <w:pPr>
        <w:pStyle w:val="Compact"/>
        <w:numPr>
          <w:ilvl w:val="0"/>
          <w:numId w:val="1003"/>
        </w:numPr>
      </w:pPr>
      <w:r>
        <w:t xml:space="preserve">The DBRT operates against the quick-flow in § 10 and documents every step in the breach register (§ 8).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evention-preparedness"/>
    <w:p>
      <w:pPr>
        <w:pStyle w:val="Heading2"/>
      </w:pPr>
      <w:r>
        <w:t xml:space="preserve">3. Prevention &amp; Preparedness</w:t>
      </w:r>
    </w:p>
    <w:p>
      <w:pPr>
        <w:pStyle w:val="FirstParagraph"/>
      </w:pPr>
      <w:r>
        <w:t xml:space="preserve">Setnayan reduces breach likelihood and impact through the organizational, physical, and technical measures below — the operative controls are set out in the</w:t>
      </w:r>
      <w:r>
        <w:t xml:space="preserve"> </w:t>
      </w:r>
      <w:r>
        <w:rPr>
          <w:b/>
          <w:bCs/>
        </w:rPr>
        <w:t xml:space="preserve">Privacy &amp; Security Policy §§ 5 and 7</w:t>
      </w:r>
      <w:r>
        <w:t xml:space="preserve"> </w:t>
      </w:r>
      <w:r>
        <w:t xml:space="preserve">and summarized here.</w:t>
      </w:r>
    </w:p>
    <w:bookmarkStart w:id="16" w:name="technical-measures-in-place"/>
    <w:p>
      <w:pPr>
        <w:pStyle w:val="Heading3"/>
      </w:pPr>
      <w:r>
        <w:t xml:space="preserve">3.1 Technical measures (in place)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Deny-by-default access (RLS)</w:t>
            </w:r>
          </w:p>
        </w:tc>
        <w:tc>
          <w:tcPr/>
          <w:p>
            <w:pPr>
              <w:pStyle w:val="Compact"/>
            </w:pPr>
            <w:r>
              <w:t xml:space="preserve">All Postgres queries gate through Supabase</w:t>
            </w:r>
            <w:r>
              <w:t xml:space="preserve"> </w:t>
            </w:r>
            <w:r>
              <w:rPr>
                <w:b/>
                <w:bCs/>
              </w:rPr>
              <w:t xml:space="preserve">Row-Level Security</w:t>
            </w:r>
            <w:r>
              <w:t xml:space="preserve">; no client can read another user’s row (Privacy Policy § 5.3). Canonical deny-by-default RLS patterns; RLS enabled at table-creation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1.3</w:t>
            </w:r>
            <w:r>
              <w:t xml:space="preserve"> </w:t>
            </w:r>
            <w:r>
              <w:t xml:space="preserve">on all external connections and WebSocket channels; HSTS enabled; mixed-content blocked (§ 7.2).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AES-256</w:t>
            </w:r>
            <w:r>
              <w:t xml:space="preserve"> </w:t>
            </w:r>
            <w:r>
              <w:t xml:space="preserve">on Supabase Postgres and Cloudflare R2; keys managed by Supabase/Cloudflare KMS. Face vectors stored in a per-event</w:t>
            </w:r>
            <w:r>
              <w:t xml:space="preserve"> </w:t>
            </w:r>
            <w:r>
              <w:rPr>
                <w:b/>
                <w:bCs/>
              </w:rPr>
              <w:t xml:space="preserve">encrypted</w:t>
            </w:r>
            <w:r>
              <w:t xml:space="preserve"> </w:t>
            </w:r>
            <w:r>
              <w:t xml:space="preserve">vector index (§ 7.1, § 1.4).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Least-privilege access</w:t>
            </w:r>
          </w:p>
        </w:tc>
        <w:tc>
          <w:tcPr/>
          <w:p>
            <w:pPr>
              <w:pStyle w:val="Compact"/>
            </w:pPr>
            <w:r>
              <w:t xml:space="preserve">Production DB access restricted to designated roles; granular admin roles;</w:t>
            </w:r>
            <w:r>
              <w:t xml:space="preserve"> </w:t>
            </w:r>
            <w:r>
              <w:rPr>
                <w:b/>
                <w:bCs/>
              </w:rPr>
              <w:t xml:space="preserve">two-admin approval</w:t>
            </w:r>
            <w:r>
              <w:t xml:space="preserve"> </w:t>
            </w:r>
            <w:r>
              <w:t xml:space="preserve">for high-risk actions (role provisioning, refunds/grants &gt; ₱10K); signed URLs for media are short-lived (5 min for sensitive media) (§ 5.3).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authentication</w:t>
            </w:r>
          </w:p>
        </w:tc>
        <w:tc>
          <w:tcPr/>
          <w:p>
            <w:pPr>
              <w:pStyle w:val="Compact"/>
            </w:pPr>
            <w:r>
              <w:t xml:space="preserve">bcrypt-hashed passwords; OTP/SSO options;</w:t>
            </w:r>
            <w:r>
              <w:t xml:space="preserve"> </w:t>
            </w:r>
            <w:r>
              <w:rPr>
                <w:b/>
                <w:bCs/>
              </w:rPr>
              <w:t xml:space="preserve">TOTP 2FA mandatory for all admin roles</w:t>
            </w:r>
            <w:r>
              <w:t xml:space="preserve"> </w:t>
            </w:r>
            <w:r>
              <w:t xml:space="preserve">(§ 5.1).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Append-only audit log</w:t>
            </w:r>
          </w:p>
        </w:tc>
        <w:tc>
          <w:tcPr/>
          <w:p>
            <w:pPr>
              <w:pStyle w:val="Compact"/>
            </w:pPr>
            <w:r>
              <w:t xml:space="preserve">Every admin action logged with timestamp, actor, action, target, before/after state, rationale;</w:t>
            </w:r>
            <w:r>
              <w:t xml:space="preserve"> </w:t>
            </w:r>
            <w:r>
              <w:rPr>
                <w:b/>
                <w:bCs/>
              </w:rPr>
              <w:t xml:space="preserve">no UPDATE permission</w:t>
            </w:r>
            <w:r>
              <w:t xml:space="preserve">; export restricted (§ 5.4).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hardening</w:t>
            </w:r>
          </w:p>
        </w:tc>
        <w:tc>
          <w:tcPr/>
          <w:p>
            <w:pPr>
              <w:pStyle w:val="Compact"/>
            </w:pPr>
            <w:r>
              <w:t xml:space="preserve">Input validation (zod), parameterized queries, React escaping + CSP, CSRF tokens, rate limiting on auth endpoints (§ 7.3).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Encrypted backups</w:t>
            </w:r>
          </w:p>
        </w:tc>
        <w:tc>
          <w:tcPr/>
          <w:p>
            <w:pPr>
              <w:pStyle w:val="Compact"/>
            </w:pPr>
            <w:r>
              <w:t xml:space="preserve">Daily encrypted Postgres backups retained 30 days (§ 7.1) — supports recovery from availability/integrity breaches.</w:t>
            </w:r>
          </w:p>
        </w:tc>
      </w:tr>
    </w:tbl>
    <w:bookmarkEnd w:id="16"/>
    <w:bookmarkStart w:id="17" w:name="monitoring-observability-in-place"/>
    <w:p>
      <w:pPr>
        <w:pStyle w:val="Heading3"/>
      </w:pPr>
      <w:r>
        <w:t xml:space="preserve">3.2 Monitoring &amp; observability (in place)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— application error and exception monitoring; anomalous error spikes surface potential incidents.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Better Stack</w:t>
      </w:r>
      <w:r>
        <w:t xml:space="preserve"> </w:t>
      </w:r>
      <w:r>
        <w:t xml:space="preserve">— uptime, heartbeat, and on-call alerting; drives availability-breach detection and the status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PostHog</w:t>
      </w:r>
      <w:r>
        <w:t xml:space="preserve"> </w:t>
      </w:r>
      <w:r>
        <w:t xml:space="preserve">— product analytics (opt-out honored, no PII in events) used to spot anomalous behavioral patterns.</w:t>
      </w:r>
    </w:p>
    <w:p>
      <w:pPr>
        <w:pStyle w:val="Compact"/>
        <w:numPr>
          <w:ilvl w:val="0"/>
          <w:numId w:val="1004"/>
        </w:numPr>
      </w:pPr>
      <w:r>
        <w:t xml:space="preserve">Vercel platform logs; Supabase logs and advisors; Cloudflare R2 access is signed-URL-only (no public reads).</w:t>
      </w:r>
    </w:p>
    <w:bookmarkEnd w:id="17"/>
    <w:bookmarkStart w:id="18" w:name="organizational-measures"/>
    <w:p>
      <w:pPr>
        <w:pStyle w:val="Heading3"/>
      </w:pPr>
      <w:r>
        <w:t xml:space="preserve">3.3 Organizational measures</w:t>
      </w:r>
    </w:p>
    <w:p>
      <w:pPr>
        <w:pStyle w:val="Compact"/>
        <w:numPr>
          <w:ilvl w:val="0"/>
          <w:numId w:val="1005"/>
        </w:numPr>
      </w:pPr>
      <w:r>
        <w:t xml:space="preserve">This policy plus the Privacy &amp; Security Policy are the standing breach-management framework.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Staff awareness:</w:t>
      </w:r>
      <w:r>
        <w:t xml:space="preserve"> </w:t>
      </w:r>
      <w:r>
        <w:t xml:space="preserve">every person with data access reads this policy on onboarding and at each annual review; the DBRT runs at least one</w:t>
      </w:r>
      <w:r>
        <w:t xml:space="preserve"> </w:t>
      </w:r>
      <w:r>
        <w:rPr>
          <w:b/>
          <w:bCs/>
        </w:rPr>
        <w:t xml:space="preserve">table-top breach drill per year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Sub-processor controls:</w:t>
      </w:r>
      <w:r>
        <w:t xml:space="preserve"> </w:t>
      </w:r>
      <w:r>
        <w:t xml:space="preserve">all sub-processors are bound by DPAs / SCCs; the Anthropic Console workspace runs zero-retention mode; Persona/Veriff/Onfido and AMLC screenings are batch-call-only (Privacy Policy § 10).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Regular review:</w:t>
      </w:r>
      <w:r>
        <w:t xml:space="preserve"> </w:t>
      </w:r>
      <w:r>
        <w:t xml:space="preserve">this policy, access lists, and the sub-processor register are reviewed at least annually and after any notifiable breach (§ 9).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detection-assessment"/>
    <w:p>
      <w:pPr>
        <w:pStyle w:val="Heading2"/>
      </w:pPr>
      <w:r>
        <w:t xml:space="preserve">4. Detection &amp; Assessment</w:t>
      </w:r>
    </w:p>
    <w:bookmarkStart w:id="20" w:name="how-incidents-are-detected"/>
    <w:p>
      <w:pPr>
        <w:pStyle w:val="Heading3"/>
      </w:pPr>
      <w:r>
        <w:t xml:space="preserve">4.1 How incidents are detected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Automated monitoring / alerts</w:t>
      </w:r>
      <w:r>
        <w:t xml:space="preserve"> </w:t>
      </w:r>
      <w:r>
        <w:t xml:space="preserve">— Sentry error spikes, Better Stack downtime/heartbeat failures, PostHog anomalies, Supabase advisors, auth rate-limit triggers.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/ data-subject reports</w:t>
      </w:r>
      <w:r>
        <w:t xml:space="preserve"> </w:t>
      </w:r>
      <w:r>
        <w:t xml:space="preserve">— a customer, vendor, or guest reports suspicious activity or exposure via iscasasolaii@gmail.com or in-app support (0029 Help Center ticket).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Sub-processor notifications</w:t>
      </w:r>
      <w:r>
        <w:t xml:space="preserve"> </w:t>
      </w:r>
      <w:r>
        <w:t xml:space="preserve">— Vercel, Supabase, Cloudflare, Resend, or an identity-verification provider notifies Setnayan of a security event affecting Setnayan data. Setnayan’s knowledge for the 72-hour clock arises when it receives such notice with sufficient detail (see § 5.1).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Internal discovery</w:t>
      </w:r>
      <w:r>
        <w:t xml:space="preserve"> </w:t>
      </w:r>
      <w:r>
        <w:t xml:space="preserve">— a team member or contractor identifies a misconfiguration, leaked credential, RLS gap, or anomalous audit-log entry.</w:t>
      </w:r>
    </w:p>
    <w:bookmarkEnd w:id="20"/>
    <w:bookmarkStart w:id="21" w:name="X91c23406647fa477359047a27b5e2b029293281"/>
    <w:p>
      <w:pPr>
        <w:pStyle w:val="Heading3"/>
      </w:pPr>
      <w:r>
        <w:t xml:space="preserve">4.2 Initial triage (within 24 hours of discovery)</w:t>
      </w:r>
    </w:p>
    <w:p>
      <w:pPr>
        <w:pStyle w:val="FirstParagraph"/>
      </w:pPr>
      <w:r>
        <w:t xml:space="preserve">The Security/Operations Coordinator (or DPO) opens a breach-register entry and records:</w:t>
      </w:r>
    </w:p>
    <w:p>
      <w:pPr>
        <w:pStyle w:val="Compact"/>
        <w:numPr>
          <w:ilvl w:val="0"/>
          <w:numId w:val="1007"/>
        </w:numPr>
      </w:pPr>
      <w:r>
        <w:t xml:space="preserve">what happened, when discovered, how discovered, systems involved;</w:t>
      </w:r>
    </w:p>
    <w:p>
      <w:pPr>
        <w:pStyle w:val="Compact"/>
        <w:numPr>
          <w:ilvl w:val="0"/>
          <w:numId w:val="1007"/>
        </w:numPr>
      </w:pPr>
      <w:r>
        <w:t xml:space="preserve">whether</w:t>
      </w:r>
      <w:r>
        <w:t xml:space="preserve"> </w:t>
      </w:r>
      <w:r>
        <w:rPr>
          <w:b/>
          <w:bCs/>
        </w:rPr>
        <w:t xml:space="preserve">personal data</w:t>
      </w:r>
      <w:r>
        <w:t xml:space="preserve"> </w:t>
      </w:r>
      <w:r>
        <w:t xml:space="preserve">is involved (if not → security incident only, log and monitor);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categories of data</w:t>
      </w:r>
      <w:r>
        <w:t xml:space="preserve"> </w:t>
      </w:r>
      <w:r>
        <w:t xml:space="preserve">involved (ordinary PII, SPI, face vectors, credentials, financial receipts);</w:t>
      </w:r>
    </w:p>
    <w:p>
      <w:pPr>
        <w:pStyle w:val="Compact"/>
        <w:numPr>
          <w:ilvl w:val="0"/>
          <w:numId w:val="1007"/>
        </w:numPr>
      </w:pPr>
      <w:r>
        <w:t xml:space="preserve">estimated</w:t>
      </w:r>
      <w:r>
        <w:t xml:space="preserve"> </w:t>
      </w:r>
      <w:r>
        <w:rPr>
          <w:b/>
          <w:bCs/>
        </w:rPr>
        <w:t xml:space="preserve">number and categories of affected data subjects</w:t>
      </w:r>
      <w:r>
        <w:t xml:space="preserve">; and</w:t>
      </w:r>
    </w:p>
    <w:p>
      <w:pPr>
        <w:pStyle w:val="Compact"/>
        <w:numPr>
          <w:ilvl w:val="0"/>
          <w:numId w:val="1007"/>
        </w:numPr>
      </w:pPr>
      <w:r>
        <w:t xml:space="preserve">whether the incident is ongoing or contained.</w:t>
      </w:r>
    </w:p>
    <w:bookmarkEnd w:id="21"/>
    <w:bookmarkStart w:id="22" w:name="severity-notifiability-assessment"/>
    <w:p>
      <w:pPr>
        <w:pStyle w:val="Heading3"/>
      </w:pPr>
      <w:r>
        <w:t xml:space="preserve">4.3 Severity &amp; notifiability assessment</w:t>
      </w:r>
    </w:p>
    <w:p>
      <w:pPr>
        <w:pStyle w:val="FirstParagraph"/>
      </w:pPr>
      <w:r>
        <w:t xml:space="preserve">The DPO assesses severity and applies the notifiability test in § 5.2. If any input is unknown, the DBRT treats the breach as</w:t>
      </w:r>
      <w:r>
        <w:t xml:space="preserve"> </w:t>
      </w:r>
      <w:r>
        <w:rPr>
          <w:b/>
          <w:bCs/>
        </w:rPr>
        <w:t xml:space="preserve">potentially notifiable</w:t>
      </w:r>
      <w:r>
        <w:t xml:space="preserve"> </w:t>
      </w:r>
      <w:r>
        <w:t xml:space="preserve">and proceeds toward the 72-hour deadline while facts are confirmed, rather than delaying the clock.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he-72-hour-rule"/>
    <w:p>
      <w:pPr>
        <w:pStyle w:val="Heading2"/>
      </w:pPr>
      <w:r>
        <w:t xml:space="preserve">5. The 72-Hour Rule</w:t>
      </w:r>
    </w:p>
    <w:bookmarkStart w:id="24" w:name="when-the-clock-starts"/>
    <w:p>
      <w:pPr>
        <w:pStyle w:val="Heading3"/>
      </w:pPr>
      <w:r>
        <w:t xml:space="preserve">5.1 When the clock starts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72-hour</w:t>
      </w:r>
      <w:r>
        <w:t xml:space="preserve"> </w:t>
      </w:r>
      <w:r>
        <w:t xml:space="preserve">period runs from the time Setnayan has</w:t>
      </w:r>
      <w:r>
        <w:t xml:space="preserve"> </w:t>
      </w:r>
      <w:r>
        <w:rPr>
          <w:b/>
          <w:bCs/>
        </w:rPr>
        <w:t xml:space="preserve">knowledge of, or a reasonable belief that,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notifiable personal data breach</w:t>
      </w:r>
      <w:r>
        <w:t xml:space="preserve"> </w:t>
      </w:r>
      <w:r>
        <w:t xml:space="preserve">has occurred. Knowledge is presumed once the DPO or DBRT has sufficient information to conclude the § 5.2 criteria are (or are likely) met — including on receipt of a sub-processor’s breach notice with adequate detail. Setnayan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wait for full forensic certainty before notifying; it notifies within 72 hours and supplements the report as facts develop.</w:t>
      </w:r>
    </w:p>
    <w:bookmarkEnd w:id="24"/>
    <w:bookmarkStart w:id="25" w:name="Xbf465060fb7f2609b986a2bf34373d3bc959609"/>
    <w:p>
      <w:pPr>
        <w:pStyle w:val="Heading3"/>
      </w:pPr>
      <w:r>
        <w:t xml:space="preserve">5.2 Notification criteria (all must be present)</w:t>
      </w:r>
    </w:p>
    <w:p>
      <w:pPr>
        <w:pStyle w:val="FirstParagraph"/>
      </w:pPr>
      <w:r>
        <w:t xml:space="preserve">Per RA 10173 § 20(f) and NPC Circular 16-03 § 11, notification of the NPC and affected data subjects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of the following are met: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There is a personal data breach</w:t>
      </w:r>
      <w:r>
        <w:t xml:space="preserve"> </w:t>
      </w:r>
      <w:r>
        <w:t xml:space="preserve">(confidentiality, integrity, or availability);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08"/>
        </w:numPr>
      </w:pPr>
      <w:r>
        <w:t xml:space="preserve">The personal data involved is either</w:t>
      </w:r>
      <w:r>
        <w:t xml:space="preserve"> </w:t>
      </w:r>
      <w:r>
        <w:rPr>
          <w:b/>
          <w:bCs/>
        </w:rPr>
        <w:t xml:space="preserve">(a) sensitive personal information</w:t>
      </w:r>
      <w:r>
        <w:t xml:space="preserve"> </w:t>
      </w:r>
      <w:r>
        <w:t xml:space="preserve">— for Setnayan this includes government-issued IDs,</w:t>
      </w:r>
      <w:r>
        <w:t xml:space="preserve"> </w:t>
      </w:r>
      <w:r>
        <w:rPr>
          <w:b/>
          <w:bCs/>
        </w:rPr>
        <w:t xml:space="preserve">face vectors / biometric data</w:t>
      </w:r>
      <w:r>
        <w:t xml:space="preserve">, and vendor gov-ID images —</w:t>
      </w:r>
      <w:r>
        <w:t xml:space="preserve"> </w:t>
      </w:r>
      <w:r>
        <w:rPr>
          <w:b/>
          <w:bCs/>
        </w:rPr>
        <w:t xml:space="preserve">OR (b) any other information that may be used to enable identity fraud</w:t>
      </w:r>
      <w:r>
        <w:t xml:space="preserve"> </w:t>
      </w:r>
      <w:r>
        <w:t xml:space="preserve">(e.g. full name + email + credentials, payment-reference data, partial financial details);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08"/>
        </w:numPr>
      </w:pPr>
      <w:r>
        <w:t xml:space="preserve">There is a</w:t>
      </w:r>
      <w:r>
        <w:t xml:space="preserve"> </w:t>
      </w:r>
      <w:r>
        <w:rPr>
          <w:b/>
          <w:bCs/>
        </w:rPr>
        <w:t xml:space="preserve">real risk of serious harm</w:t>
      </w:r>
      <w:r>
        <w:t xml:space="preserve"> </w:t>
      </w:r>
      <w:r>
        <w:t xml:space="preserve">to the affected data subjects (e.g. identity theft, financial loss, fraud, reputational harm, discrimination, or unauthorized use of biometric identity).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criterion is absent, the breach is logged in the register (§ 8) and monitored, but NPC/data-subject notification is not mandatory — though Setnayan may still notify voluntarily where prudent. The DPO documents the reasoning either way.</w:t>
      </w:r>
    </w:p>
    <w:bookmarkEnd w:id="25"/>
    <w:bookmarkStart w:id="26" w:name="what-must-happen-within-72-hours"/>
    <w:p>
      <w:pPr>
        <w:pStyle w:val="Heading3"/>
      </w:pPr>
      <w:r>
        <w:t xml:space="preserve">5.3 What must happen within 72 hours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Notify the NPC</w:t>
      </w:r>
      <w:r>
        <w:t xml:space="preserve"> </w:t>
      </w:r>
      <w:r>
        <w:t xml:space="preserve">(§ 6.1) — file the breach notification with the NPC.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Notify affected data subjects</w:t>
      </w:r>
      <w:r>
        <w:t xml:space="preserve"> </w:t>
      </w:r>
      <w:r>
        <w:t xml:space="preserve">(§ 6.2) — in-app + email, per the required content.</w:t>
      </w:r>
    </w:p>
    <w:p>
      <w:pPr>
        <w:pStyle w:val="FirstParagraph"/>
      </w:pPr>
      <w:r>
        <w:t xml:space="preserve">Where notification within 72 hours is not feasible, Setnayan may, in</w:t>
      </w:r>
      <w:r>
        <w:t xml:space="preserve"> </w:t>
      </w:r>
      <w:r>
        <w:rPr>
          <w:b/>
          <w:bCs/>
        </w:rPr>
        <w:t xml:space="preserve">exceptional cases</w:t>
      </w:r>
      <w:r>
        <w:t xml:space="preserve">, request that the NPC allow a delay or a phased notification, giving reasons; and it may postpone data-subject notification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the extent, and for the period, the NPC directs or law-enforcement necessity requires. Any such deviation is documented and approved by the DPO with counsel.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notification-content-channels"/>
    <w:p>
      <w:pPr>
        <w:pStyle w:val="Heading2"/>
      </w:pPr>
      <w:r>
        <w:t xml:space="preserve">6. Notification Content &amp; Channels</w:t>
      </w:r>
    </w:p>
    <w:bookmarkStart w:id="28" w:name="npc-notification"/>
    <w:p>
      <w:pPr>
        <w:pStyle w:val="Heading3"/>
      </w:pPr>
      <w:r>
        <w:t xml:space="preserve">6.1 NPC notification</w:t>
      </w:r>
    </w:p>
    <w:p>
      <w:pPr>
        <w:pStyle w:val="FirstParagraph"/>
      </w:pPr>
      <w:r>
        <w:rPr>
          <w:b/>
          <w:bCs/>
        </w:rPr>
        <w:t xml:space="preserve">Channel:</w:t>
      </w:r>
      <w:r>
        <w:t xml:space="preserve"> </w:t>
      </w:r>
      <w:r>
        <w:t xml:space="preserve">filed with the National Privacy Commission via the NPC’s prescribed breach-notification means (email / NPC portal as then in force), signed by the DPO.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 </w:t>
      </w:r>
      <w:r>
        <w:t xml:space="preserve">(NPC Circular 16-03 § 12):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Nature of the breach</w:t>
      </w:r>
      <w:r>
        <w:t xml:space="preserve"> </w:t>
      </w:r>
      <w:r>
        <w:t xml:space="preserve">— a description of how and when it occurred and the type of breach (availability/integrity/confidentiality).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Personal data possibly involved</w:t>
      </w:r>
      <w:r>
        <w:t xml:space="preserve"> </w:t>
      </w:r>
      <w:r>
        <w:t xml:space="preserve">— the categories and approximate number of data subjects and records affected (including whether SPI / face vectors).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Measures taken</w:t>
      </w:r>
      <w:r>
        <w:t xml:space="preserve"> </w:t>
      </w:r>
      <w:r>
        <w:t xml:space="preserve">— actions taken or proposed to address the breach, to secure or recover the data, and to mitigate possible harm; and measures to prevent recurrence.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Name and contact details of the DPO</w:t>
      </w:r>
      <w:r>
        <w:t xml:space="preserve"> </w:t>
      </w:r>
      <w:r>
        <w:t xml:space="preserve">or other accountable person from whom the NPC can obtain further information.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preliminary</w:t>
      </w:r>
      <w:r>
        <w:t xml:space="preserve"> </w:t>
      </w:r>
      <w:r>
        <w:t xml:space="preserve">notification may be filed within 72 hours with available facts, followed by supplemental submissions as the investigation completes.</w:t>
      </w:r>
    </w:p>
    <w:bookmarkEnd w:id="28"/>
    <w:bookmarkStart w:id="29" w:name="data-subject-notification"/>
    <w:p>
      <w:pPr>
        <w:pStyle w:val="Heading3"/>
      </w:pPr>
      <w:r>
        <w:t xml:space="preserve">6.2 Data-subject notification</w:t>
      </w:r>
    </w:p>
    <w:p>
      <w:pPr>
        <w:pStyle w:val="FirstParagraph"/>
      </w:pPr>
      <w:r>
        <w:rPr>
          <w:b/>
          <w:bCs/>
        </w:rPr>
        <w:t xml:space="preserve">Channels:</w:t>
      </w:r>
      <w:r>
        <w:t xml:space="preserve"> </w:t>
      </w:r>
      <w:r>
        <w:t xml:space="preserve">primary —</w:t>
      </w:r>
      <w:r>
        <w:t xml:space="preserve"> </w:t>
      </w:r>
      <w:r>
        <w:rPr>
          <w:b/>
          <w:bCs/>
        </w:rPr>
        <w:t xml:space="preserve">in-app notice + email (via Resend)</w:t>
      </w:r>
      <w:r>
        <w:t xml:space="preserve"> </w:t>
      </w:r>
      <w:r>
        <w:t xml:space="preserve">to each affected data subject; a summary disclosure may also be posted at</w:t>
      </w:r>
      <w:r>
        <w:t xml:space="preserve"> </w:t>
      </w:r>
      <w:r>
        <w:rPr>
          <w:rStyle w:val="VerbatimChar"/>
        </w:rPr>
        <w:t xml:space="preserve">setnayan.com/security</w:t>
      </w:r>
      <w:r>
        <w:t xml:space="preserve"> </w:t>
      </w:r>
      <w:r>
        <w:t xml:space="preserve">where appropriate. Where individual notice is not reasonably possible, the DPO will use a substitute means (e.g. prominent public notice) as the NPC allows.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 </w:t>
      </w:r>
      <w:r>
        <w:t xml:space="preserve">(must be written in clear, plain language):</w:t>
      </w:r>
    </w:p>
    <w:p>
      <w:pPr>
        <w:pStyle w:val="Compact"/>
        <w:numPr>
          <w:ilvl w:val="0"/>
          <w:numId w:val="1011"/>
        </w:numPr>
      </w:pPr>
      <w:r>
        <w:t xml:space="preserve">A description of the</w:t>
      </w:r>
      <w:r>
        <w:t xml:space="preserve"> </w:t>
      </w:r>
      <w:r>
        <w:rPr>
          <w:b/>
          <w:bCs/>
        </w:rPr>
        <w:t xml:space="preserve">nature of the breach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personal data</w:t>
      </w:r>
      <w:r>
        <w:t xml:space="preserve"> </w:t>
      </w:r>
      <w:r>
        <w:t xml:space="preserve">possibly involved.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Measures taken</w:t>
      </w:r>
      <w:r>
        <w:t xml:space="preserve"> </w:t>
      </w:r>
      <w:r>
        <w:t xml:space="preserve">by Setnayan to address the breach.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Measures the data subject may take</w:t>
      </w:r>
      <w:r>
        <w:t xml:space="preserve"> </w:t>
      </w:r>
      <w:r>
        <w:t xml:space="preserve">to reduce risk (e.g. change password, enable 2FA, monitor bank/e-wallet activity, revoke face data via the</w:t>
      </w:r>
      <w:r>
        <w:t xml:space="preserve"> </w:t>
      </w:r>
      <w:r>
        <w:t xml:space="preserve">“Delete my face data”</w:t>
      </w:r>
      <w:r>
        <w:t xml:space="preserve"> </w:t>
      </w:r>
      <w:r>
        <w:t xml:space="preserve">link).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DPO contact</w:t>
      </w:r>
      <w:r>
        <w:t xml:space="preserve"> </w:t>
      </w:r>
      <w:r>
        <w:t xml:space="preserve">— iscasasolaii@gmail.com (and severity-high hotline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) for questions and assistance.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8cff1beff9bcbd85e92f3f4c33fe5a8fff5bd20"/>
    <w:p>
      <w:pPr>
        <w:pStyle w:val="Heading2"/>
      </w:pPr>
      <w:r>
        <w:t xml:space="preserve">7. Containment, Eradication &amp; Recovery; Evidence Preservation</w:t>
      </w:r>
    </w:p>
    <w:bookmarkStart w:id="31" w:name="containment-immediate"/>
    <w:p>
      <w:pPr>
        <w:pStyle w:val="Heading3"/>
      </w:pPr>
      <w:r>
        <w:t xml:space="preserve">7.1 Containment (immediate)</w:t>
      </w:r>
    </w:p>
    <w:p>
      <w:pPr>
        <w:pStyle w:val="Compact"/>
        <w:numPr>
          <w:ilvl w:val="0"/>
          <w:numId w:val="1012"/>
        </w:numPr>
      </w:pPr>
      <w:r>
        <w:t xml:space="preserve">Isolate affected systems / revoke compromised credentials, tokens, and signed URLs; rotate keys and secrets.</w:t>
      </w:r>
    </w:p>
    <w:p>
      <w:pPr>
        <w:pStyle w:val="Compact"/>
        <w:numPr>
          <w:ilvl w:val="0"/>
          <w:numId w:val="1012"/>
        </w:numPr>
      </w:pPr>
      <w:r>
        <w:t xml:space="preserve">Disable or lock affected accounts; force re-authentication where credentials may be exposed.</w:t>
      </w:r>
    </w:p>
    <w:p>
      <w:pPr>
        <w:pStyle w:val="Compact"/>
        <w:numPr>
          <w:ilvl w:val="0"/>
          <w:numId w:val="1012"/>
        </w:numPr>
      </w:pPr>
      <w:r>
        <w:t xml:space="preserve">Engage sub-processor support (Vercel / Supabase / Cloudflare / Resend) to halt ongoing exposure.</w:t>
      </w:r>
    </w:p>
    <w:p>
      <w:pPr>
        <w:pStyle w:val="Compact"/>
        <w:numPr>
          <w:ilvl w:val="0"/>
          <w:numId w:val="1012"/>
        </w:numPr>
      </w:pPr>
      <w:r>
        <w:t xml:space="preserve">Where an RLS/authorization gap is implicated, deploy an emergency policy fix or take the affected surface offline.</w:t>
      </w:r>
    </w:p>
    <w:bookmarkEnd w:id="31"/>
    <w:bookmarkStart w:id="32" w:name="eradication"/>
    <w:p>
      <w:pPr>
        <w:pStyle w:val="Heading3"/>
      </w:pPr>
      <w:r>
        <w:t xml:space="preserve">7.2 Eradication</w:t>
      </w:r>
    </w:p>
    <w:p>
      <w:pPr>
        <w:pStyle w:val="Compact"/>
        <w:numPr>
          <w:ilvl w:val="0"/>
          <w:numId w:val="1013"/>
        </w:numPr>
      </w:pPr>
      <w:r>
        <w:t xml:space="preserve">Remove the root cause — patch the vulnerability, correct the misconfiguration, revoke unauthorized access, remove malicious artifacts.</w:t>
      </w:r>
    </w:p>
    <w:p>
      <w:pPr>
        <w:pStyle w:val="Compact"/>
        <w:numPr>
          <w:ilvl w:val="0"/>
          <w:numId w:val="1013"/>
        </w:numPr>
      </w:pPr>
      <w:r>
        <w:t xml:space="preserve">Verify no persistence (backdoors, residual tokens, altered RLS policies, injected data).</w:t>
      </w:r>
    </w:p>
    <w:bookmarkEnd w:id="32"/>
    <w:bookmarkStart w:id="33" w:name="recovery"/>
    <w:p>
      <w:pPr>
        <w:pStyle w:val="Heading3"/>
      </w:pPr>
      <w:r>
        <w:t xml:space="preserve">7.3 Recovery</w:t>
      </w:r>
    </w:p>
    <w:p>
      <w:pPr>
        <w:pStyle w:val="Compact"/>
        <w:numPr>
          <w:ilvl w:val="0"/>
          <w:numId w:val="1014"/>
        </w:numPr>
      </w:pPr>
      <w:r>
        <w:t xml:space="preserve">Restore data/service from encrypted daily backups where availability/integrity is affected; validate integrity against the audit log before returning to production.</w:t>
      </w:r>
    </w:p>
    <w:p>
      <w:pPr>
        <w:pStyle w:val="Compact"/>
        <w:numPr>
          <w:ilvl w:val="0"/>
          <w:numId w:val="1014"/>
        </w:numPr>
      </w:pPr>
      <w:r>
        <w:t xml:space="preserve">Monitor closely post-recovery (heightened Sentry/Better Stack watch) for recurrence.</w:t>
      </w:r>
    </w:p>
    <w:bookmarkEnd w:id="33"/>
    <w:bookmarkStart w:id="34" w:name="evidence-preservation"/>
    <w:p>
      <w:pPr>
        <w:pStyle w:val="Heading3"/>
      </w:pPr>
      <w:r>
        <w:t xml:space="preserve">7.4 Evidence preservation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Preserve, do not destroy.</w:t>
      </w:r>
      <w:r>
        <w:t xml:space="preserve"> </w:t>
      </w:r>
      <w:r>
        <w:t xml:space="preserve">Capture and retain logs, timestamps, audit-log excerpts (append-only), Sentry events, access records, sub-processor notices, and system snapshots relevant to the incident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remediation alters state where feasible.</w:t>
      </w:r>
    </w:p>
    <w:p>
      <w:pPr>
        <w:pStyle w:val="Compact"/>
        <w:numPr>
          <w:ilvl w:val="0"/>
          <w:numId w:val="1015"/>
        </w:numPr>
      </w:pPr>
      <w:r>
        <w:t xml:space="preserve">Maintain a chain-of-custody note in the register entry. Evidence supports NPC filings, potential law-enforcement referral, and post-incident review.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ocumentation-record-keeping"/>
    <w:p>
      <w:pPr>
        <w:pStyle w:val="Heading2"/>
      </w:pPr>
      <w:r>
        <w:t xml:space="preserve">8. Documentation &amp; Record-Keeping</w:t>
      </w:r>
    </w:p>
    <w:bookmarkStart w:id="36" w:name="breach-register-mandatory"/>
    <w:p>
      <w:pPr>
        <w:pStyle w:val="Heading3"/>
      </w:pPr>
      <w:r>
        <w:t xml:space="preserve">8.1 Breach register (mandatory)</w:t>
      </w:r>
    </w:p>
    <w:p>
      <w:pPr>
        <w:pStyle w:val="FirstParagraph"/>
      </w:pPr>
      <w:r>
        <w:t xml:space="preserve">Setnayan maintains a</w:t>
      </w:r>
      <w:r>
        <w:t xml:space="preserve"> </w:t>
      </w:r>
      <w:r>
        <w:rPr>
          <w:b/>
          <w:bCs/>
        </w:rPr>
        <w:t xml:space="preserve">breach register</w:t>
      </w:r>
      <w:r>
        <w:t xml:space="preserve"> </w:t>
      </w:r>
      <w:r>
        <w:t xml:space="preserve">recording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security incidents and personal data breaches — notifiable or not — per NPC Circular 16-03 § 14. The register is maintained by the Security/Operations Coordinator under DPO oversight and stored access-restricted. Template in § 10.</w:t>
      </w:r>
    </w:p>
    <w:bookmarkEnd w:id="36"/>
    <w:bookmarkStart w:id="37" w:name="annual-report-to-the-npc"/>
    <w:p>
      <w:pPr>
        <w:pStyle w:val="Heading3"/>
      </w:pPr>
      <w:r>
        <w:t xml:space="preserve">8.2 Annual report to the NPC</w:t>
      </w:r>
    </w:p>
    <w:p>
      <w:pPr>
        <w:pStyle w:val="FirstParagraph"/>
      </w:pPr>
      <w:r>
        <w:t xml:space="preserve">Setnayan submits an</w:t>
      </w:r>
      <w:r>
        <w:t xml:space="preserve"> </w:t>
      </w:r>
      <w:r>
        <w:rPr>
          <w:b/>
          <w:bCs/>
        </w:rPr>
        <w:t xml:space="preserve">annual report of the summary of security incidents and personal data breaches</w:t>
      </w:r>
      <w:r>
        <w:t xml:space="preserve"> </w:t>
      </w:r>
      <w:r>
        <w:t xml:space="preserve">to the NPC in the form and period the NPC prescribes. The DPO compiles this from the breach register.</w:t>
      </w:r>
    </w:p>
    <w:bookmarkEnd w:id="37"/>
    <w:bookmarkStart w:id="38" w:name="retention"/>
    <w:p>
      <w:pPr>
        <w:pStyle w:val="Heading3"/>
      </w:pPr>
      <w:r>
        <w:t xml:space="preserve">8.3 Retention</w:t>
      </w:r>
    </w:p>
    <w:p>
      <w:pPr>
        <w:pStyle w:val="FirstParagraph"/>
      </w:pPr>
      <w:r>
        <w:t xml:space="preserve">Breach-register entries and supporting evidence are retained consistent with the Privacy &amp; Security Policy § 4 audit-log retention (</w:t>
      </w:r>
      <w:r>
        <w:rPr>
          <w:b/>
          <w:bCs/>
        </w:rPr>
        <w:t xml:space="preserve">5 years</w:t>
      </w:r>
      <w:r>
        <w:t xml:space="preserve">) and any longer period required for pending NPC or legal proceedings.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ost-incident-review"/>
    <w:p>
      <w:pPr>
        <w:pStyle w:val="Heading2"/>
      </w:pPr>
      <w:r>
        <w:t xml:space="preserve">9. Post-Incident Review</w:t>
      </w:r>
    </w:p>
    <w:p>
      <w:pPr>
        <w:pStyle w:val="FirstParagraph"/>
      </w:pPr>
      <w:r>
        <w:t xml:space="preserve">After every notifiable breach (and periodically for aggregated non-notifiable incidents), the DBRT conducts a documented review covering: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Root-cause analysis</w:t>
      </w:r>
      <w:r>
        <w:t xml:space="preserve"> </w:t>
      </w:r>
      <w:r>
        <w:t xml:space="preserve">— the technical and organizational cause, and why existing controls did not prevent 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Remediation</w:t>
      </w:r>
      <w:r>
        <w:t xml:space="preserve"> </w:t>
      </w:r>
      <w:r>
        <w:t xml:space="preserve">— permanent fixes, additional controls, and verification that they work.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Policy &amp; control update</w:t>
      </w:r>
      <w:r>
        <w:t xml:space="preserve"> </w:t>
      </w:r>
      <w:r>
        <w:t xml:space="preserve">— amend this policy, the Privacy &amp; Security Policy, RLS patterns, monitoring rules, access lists, or sub-processor terms as needed.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Awareness</w:t>
      </w:r>
      <w:r>
        <w:t xml:space="preserve"> </w:t>
      </w:r>
      <w:r>
        <w:t xml:space="preserve">— brief the team; update onboarding materials; schedule/refresh the annual drill.</w:t>
      </w:r>
    </w:p>
    <w:p>
      <w:pPr>
        <w:pStyle w:val="Compact"/>
        <w:numPr>
          <w:ilvl w:val="0"/>
          <w:numId w:val="1016"/>
        </w:numPr>
      </w:pPr>
      <w:r>
        <w:t xml:space="preserve">The DPO signs off the review; changes to this policy follow the review cadence in the header.</w:t>
      </w:r>
    </w:p>
    <w:p>
      <w:r>
        <w:pict>
          <v:rect style="width:0;height:1.5pt" o:hralign="center" o:hrstd="t" o:hr="t"/>
        </w:pict>
      </w:r>
    </w:p>
    <w:bookmarkEnd w:id="40"/>
    <w:bookmarkStart w:id="43" w:name="X1aa62a5570cb32dea60acdc897fd205476e3ee0"/>
    <w:p>
      <w:pPr>
        <w:pStyle w:val="Heading2"/>
      </w:pPr>
      <w:r>
        <w:t xml:space="preserve">10. Incident Response Quick-Flow &amp; Breach Register Template</w:t>
      </w:r>
    </w:p>
    <w:bookmarkStart w:id="41" w:name="quick-flow-one-page"/>
    <w:p>
      <w:pPr>
        <w:pStyle w:val="Heading3"/>
      </w:pPr>
      <w:r>
        <w:t xml:space="preserve">10.1 Quick-flow (one page)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SETNAYAN INCIDENT RESPONSE — QUICK-FLOW                                    │</w:t>
      </w:r>
      <w:r>
        <w:br/>
      </w:r>
      <w:r>
        <w:rPr>
          <w:rStyle w:val="VerbatimChar"/>
        </w:rPr>
        <w:t xml:space="preserve">│  (72-hour clock starts on KNOWLEDGE of a notifiable breach)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1. DETECT                                                                 │</w:t>
      </w:r>
      <w:r>
        <w:br/>
      </w:r>
      <w:r>
        <w:rPr>
          <w:rStyle w:val="VerbatimChar"/>
        </w:rPr>
        <w:t xml:space="preserve">│     Sentry / Better Stack alert · user report (iscasasolaii@gmail.com) ·         │</w:t>
      </w:r>
      <w:r>
        <w:br/>
      </w:r>
      <w:r>
        <w:rPr>
          <w:rStyle w:val="VerbatimChar"/>
        </w:rPr>
        <w:t xml:space="preserve">│     sub-processor notice · internal discovery                              │</w:t>
      </w:r>
      <w:r>
        <w:br/>
      </w:r>
      <w:r>
        <w:rPr>
          <w:rStyle w:val="VerbatimChar"/>
        </w:rPr>
        <w:t xml:space="preserve">│         │  report to DPO + Ops Coordinator ≤ 1 hour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2. CONTAIN                                                                 │</w:t>
      </w:r>
      <w:r>
        <w:br/>
      </w:r>
      <w:r>
        <w:rPr>
          <w:rStyle w:val="VerbatimChar"/>
        </w:rPr>
        <w:t xml:space="preserve">│     Isolate systems · revoke credentials/tokens/signed URLs · rotate keys ·│</w:t>
      </w:r>
      <w:r>
        <w:br/>
      </w:r>
      <w:r>
        <w:rPr>
          <w:rStyle w:val="VerbatimChar"/>
        </w:rPr>
        <w:t xml:space="preserve">│     lock affected accounts · engage sub-processor support                  │</w:t>
      </w:r>
      <w:r>
        <w:br/>
      </w:r>
      <w:r>
        <w:rPr>
          <w:rStyle w:val="VerbatimChar"/>
        </w:rPr>
        <w:t xml:space="preserve">│     &gt;&gt; PRESERVE EVIDENCE (logs, audit trail, snapshots)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3. ASSESS  (DPO)                                                          │</w:t>
      </w:r>
      <w:r>
        <w:br/>
      </w:r>
      <w:r>
        <w:rPr>
          <w:rStyle w:val="VerbatimChar"/>
        </w:rPr>
        <w:t xml:space="preserve">│     Personal data involved?  ──No──▶ log as security incident, monitor     │</w:t>
      </w:r>
      <w:r>
        <w:br/>
      </w:r>
      <w:r>
        <w:rPr>
          <w:rStyle w:val="VerbatimChar"/>
        </w:rPr>
        <w:t xml:space="preserve">│         │ Yes  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   NOTIFIABILITY TEST — ALL three?                                        │</w:t>
      </w:r>
      <w:r>
        <w:br/>
      </w:r>
      <w:r>
        <w:rPr>
          <w:rStyle w:val="VerbatimChar"/>
        </w:rPr>
        <w:t xml:space="preserve">│       (1) personal data breach  AND                                        │</w:t>
      </w:r>
      <w:r>
        <w:br/>
      </w:r>
      <w:r>
        <w:rPr>
          <w:rStyle w:val="VerbatimChar"/>
        </w:rPr>
        <w:t xml:space="preserve">│       (2) SPI / face vectors OR identity-fraud-enabling data  AND          │</w:t>
      </w:r>
      <w:r>
        <w:br/>
      </w:r>
      <w:r>
        <w:rPr>
          <w:rStyle w:val="VerbatimChar"/>
        </w:rPr>
        <w:t xml:space="preserve">│       (3) real risk of serious harm                                        │</w:t>
      </w:r>
      <w:r>
        <w:br/>
      </w:r>
      <w:r>
        <w:rPr>
          <w:rStyle w:val="VerbatimChar"/>
        </w:rPr>
        <w:t xml:space="preserve">│         │ No ──▶ record in register + reasoning, monitor                    │</w:t>
      </w:r>
      <w:r>
        <w:br/>
      </w:r>
      <w:r>
        <w:rPr>
          <w:rStyle w:val="VerbatimChar"/>
        </w:rPr>
        <w:t xml:space="preserve">│         │ Yes / Uncertain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4. NOTIFY  ≤ 72 HOURS from knowledge                                       │</w:t>
      </w:r>
      <w:r>
        <w:br/>
      </w:r>
      <w:r>
        <w:rPr>
          <w:rStyle w:val="VerbatimChar"/>
        </w:rPr>
        <w:t xml:space="preserve">│     • NPC  — nature · data involved · measures taken · DPO contact         │</w:t>
      </w:r>
      <w:r>
        <w:br/>
      </w:r>
      <w:r>
        <w:rPr>
          <w:rStyle w:val="VerbatimChar"/>
        </w:rPr>
        <w:t xml:space="preserve">│     • Affected data subjects — in-app + email (Resend); what happened,     │</w:t>
      </w:r>
      <w:r>
        <w:br/>
      </w:r>
      <w:r>
        <w:rPr>
          <w:rStyle w:val="VerbatimChar"/>
        </w:rPr>
        <w:t xml:space="preserve">│       what we did, what they should do, DPO contact                        │</w:t>
      </w:r>
      <w:r>
        <w:br/>
      </w:r>
      <w:r>
        <w:rPr>
          <w:rStyle w:val="VerbatimChar"/>
        </w:rPr>
        <w:t xml:space="preserve">│     • (as appropriate) public notice at setnayan.com/security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5. REMEDIATE                                                              │</w:t>
      </w:r>
      <w:r>
        <w:br/>
      </w:r>
      <w:r>
        <w:rPr>
          <w:rStyle w:val="VerbatimChar"/>
        </w:rPr>
        <w:t xml:space="preserve">│     Eradicate root cause · recover from encrypted backups · verify         │</w:t>
      </w:r>
      <w:r>
        <w:br/>
      </w:r>
      <w:r>
        <w:rPr>
          <w:rStyle w:val="VerbatimChar"/>
        </w:rPr>
        <w:t xml:space="preserve">│     integrity vs audit log · heightened monitoring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6. REVIEW                                                                 │</w:t>
      </w:r>
      <w:r>
        <w:br/>
      </w:r>
      <w:r>
        <w:rPr>
          <w:rStyle w:val="VerbatimChar"/>
        </w:rPr>
        <w:t xml:space="preserve">│     Root-cause · remediation · update policy/controls · record in register │</w:t>
      </w:r>
      <w:r>
        <w:br/>
      </w:r>
      <w:r>
        <w:rPr>
          <w:rStyle w:val="VerbatimChar"/>
        </w:rPr>
        <w:t xml:space="preserve">│     · feed the annual NPC summary report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breach-register-template"/>
    <w:p>
      <w:pPr>
        <w:pStyle w:val="Heading3"/>
      </w:pPr>
      <w:r>
        <w:t xml:space="preserve">10.2 Breach register template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 #</w:t>
            </w:r>
          </w:p>
        </w:tc>
        <w:tc>
          <w:tcPr/>
          <w:p>
            <w:pPr>
              <w:pStyle w:val="Compact"/>
            </w:pPr>
            <w:r>
              <w:t xml:space="preserve">Date discovered</w:t>
            </w:r>
          </w:p>
        </w:tc>
        <w:tc>
          <w:tcPr/>
          <w:p>
            <w:pPr>
              <w:pStyle w:val="Compact"/>
            </w:pPr>
            <w:r>
              <w:t xml:space="preserve">Date occurred</w:t>
            </w:r>
          </w:p>
        </w:tc>
        <w:tc>
          <w:tcPr/>
          <w:p>
            <w:pPr>
              <w:pStyle w:val="Compact"/>
            </w:pPr>
            <w:r>
              <w:t xml:space="preserve">Description (type: A/I/C)</w:t>
            </w:r>
          </w:p>
        </w:tc>
        <w:tc>
          <w:tcPr/>
          <w:p>
            <w:pPr>
              <w:pStyle w:val="Compact"/>
            </w:pPr>
            <w:r>
              <w:t xml:space="preserve">Data affected</w:t>
            </w:r>
          </w:p>
        </w:tc>
        <w:tc>
          <w:tcPr/>
          <w:p>
            <w:pPr>
              <w:pStyle w:val="Compact"/>
            </w:pPr>
            <w:r>
              <w:t xml:space="preserve">Data subjects affected (no. + category)</w:t>
            </w:r>
          </w:p>
        </w:tc>
        <w:tc>
          <w:tcPr/>
          <w:p>
            <w:pPr>
              <w:pStyle w:val="Compact"/>
            </w:pPr>
            <w:r>
              <w:t xml:space="preserve">Notifiable? (Y/N + reason)</w:t>
            </w:r>
          </w:p>
        </w:tc>
        <w:tc>
          <w:tcPr/>
          <w:p>
            <w:pPr>
              <w:pStyle w:val="Compact"/>
            </w:pPr>
            <w:r>
              <w:t xml:space="preserve">NPC notified (date)</w:t>
            </w:r>
          </w:p>
        </w:tc>
        <w:tc>
          <w:tcPr/>
          <w:p>
            <w:pPr>
              <w:pStyle w:val="Compact"/>
            </w:pPr>
            <w:r>
              <w:t xml:space="preserve">Data subjects notified (date)</w:t>
            </w:r>
          </w:p>
        </w:tc>
        <w:tc>
          <w:tcPr/>
          <w:p>
            <w:pPr>
              <w:pStyle w:val="Compact"/>
            </w:pPr>
            <w:r>
              <w:t xml:space="preserve">Containment / remediation actions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DPO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2026-0001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(example row)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e.g. Confidentiality — signed-URL misconfiguration</w:t>
            </w:r>
          </w:p>
        </w:tc>
        <w:tc>
          <w:tcPr/>
          <w:p>
            <w:pPr>
              <w:pStyle w:val="Compact"/>
            </w:pPr>
            <w:r>
              <w:t xml:space="preserve">e.g. guest photos, no SPI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 / Closed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Legend — breach type:</w:t>
      </w:r>
      <w:r>
        <w:t xml:space="preserve"> </w:t>
      </w:r>
      <w:r>
        <w:t xml:space="preserve">A = Availability · I = Integrity · C = Confidentiality.</w:t>
      </w:r>
      <w:r>
        <w:t xml:space="preserve"> </w:t>
      </w:r>
      <w:r>
        <w:rPr>
          <w:b/>
          <w:bCs/>
        </w:rPr>
        <w:t xml:space="preserve">Notifiable?</w:t>
      </w:r>
      <w:r>
        <w:t xml:space="preserve"> </w:t>
      </w:r>
      <w:r>
        <w:t xml:space="preserve">applies the § 5.2 three-part test; record the reason in either direction.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ppendix-cross-references"/>
    <w:p>
      <w:pPr>
        <w:pStyle w:val="Heading2"/>
      </w:pPr>
      <w:r>
        <w:t xml:space="preserve">Appendix — Cross-references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Setnayan Privacy &amp; Security Policy</w:t>
      </w:r>
      <w:r>
        <w:t xml:space="preserve"> </w:t>
      </w:r>
      <w:r>
        <w:t xml:space="preserve">— § 5 (access control &amp; audit log), § 7 (security practices), § 8 (breach notification), § 10 (sub-processors &amp; cross-border transfers).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NPC Circular 16-03</w:t>
      </w:r>
      <w:r>
        <w:t xml:space="preserve"> </w:t>
      </w:r>
      <w:r>
        <w:t xml:space="preserve">— Personal Data Breach Management (governing circular for this policy).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 10173</w:t>
      </w:r>
      <w:r>
        <w:t xml:space="preserve"> </w:t>
      </w:r>
      <w:r>
        <w:t xml:space="preserve">§§ 20, 26–31 and IRR Rules VIII–IX.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0028 Email 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security_alert</w:t>
      </w:r>
      <w:r>
        <w:t xml:space="preserve"> </w:t>
      </w:r>
      <w:r>
        <w:t xml:space="preserve">template used for data-subject notification via Resend.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0023 Admin Console</w:t>
      </w:r>
      <w:r>
        <w:t xml:space="preserve"> </w:t>
      </w:r>
      <w:r>
        <w:t xml:space="preserve">— append-only audit log and role-based access supporting detection and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Compliant baseline ahead of counsel review; not a substitute for legal review. This DRAFT must be finalized and adopted by the DPO (Indalecio Sacdalan Casasola II) and PH counsel before it takes effect.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2026-07-07T15:46:12Z</dcterms:created>
  <dcterms:modified xsi:type="dcterms:W3CDTF">2026-07-07T15:46:12Z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